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c274743203" w:displacedByCustomXml="next"/>
    <w:sdt>
      <w:sdtPr>
        <w:rPr>
          <w:rFonts w:ascii="Franklin Gothic Book" w:eastAsia="Times New Roman" w:hAnsi="Franklin Gothic Book"/>
          <w:noProof/>
          <w:color w:val="595959"/>
          <w:sz w:val="28"/>
          <w:szCs w:val="28"/>
        </w:rPr>
        <w:id w:val="-1735845303"/>
        <w:docPartObj>
          <w:docPartGallery w:val="Cover Pages"/>
          <w:docPartUnique/>
        </w:docPartObj>
      </w:sdtPr>
      <w:sdtEndPr>
        <w:rPr>
          <w:rFonts w:ascii="Calibri" w:eastAsia="Calibri" w:hAnsi="Calibri"/>
          <w:noProof w:val="0"/>
          <w:color w:val="auto"/>
          <w:sz w:val="22"/>
          <w:szCs w:val="22"/>
        </w:rPr>
      </w:sdtEndPr>
      <w:sdtContent>
        <w:p w14:paraId="14B594E8" w14:textId="6844605A" w:rsidR="0057547B" w:rsidRDefault="000C6EF4" w:rsidP="00676804">
          <w:pPr>
            <w:pStyle w:val="CoverTitle"/>
            <w:tabs>
              <w:tab w:val="left" w:pos="2434"/>
            </w:tabs>
            <w:spacing w:after="0"/>
          </w:pPr>
          <w:r>
            <w:t>OMB Clearance Request:</w:t>
          </w:r>
        </w:p>
        <w:p w14:paraId="151E4A4C" w14:textId="5F86F57A" w:rsidR="0057547B" w:rsidRDefault="000C6EF4">
          <w:pPr>
            <w:pStyle w:val="CoverTitle"/>
            <w:spacing w:before="0"/>
          </w:pPr>
          <w:r>
            <w:t>Part B—Statistical Methods</w:t>
          </w:r>
        </w:p>
        <w:p w14:paraId="1188BA24" w14:textId="04A7C891" w:rsidR="00676804" w:rsidRDefault="000C6EF4" w:rsidP="00676804">
          <w:pPr>
            <w:pStyle w:val="CoverSubtitle"/>
          </w:pPr>
          <w:r>
            <w:t xml:space="preserve">Study of </w:t>
          </w:r>
          <w:r w:rsidR="00BD56DA">
            <w:t xml:space="preserve">Weighted Student Funding and </w:t>
          </w:r>
          <w:r w:rsidR="008300AA">
            <w:t>School-Based</w:t>
          </w:r>
          <w:r>
            <w:t xml:space="preserve"> </w:t>
          </w:r>
          <w:r w:rsidR="00A901F8">
            <w:t xml:space="preserve">Budgeting </w:t>
          </w:r>
          <w:r>
            <w:t>Systems</w:t>
          </w:r>
          <w:r w:rsidR="00D0445C">
            <w:t>: Study Design and District Recruitment</w:t>
          </w:r>
        </w:p>
        <w:p w14:paraId="2DC9F0FC" w14:textId="77777777" w:rsidR="0057547B" w:rsidRDefault="0057547B">
          <w:pPr>
            <w:pStyle w:val="CoverSubtitle"/>
          </w:pPr>
        </w:p>
        <w:p w14:paraId="372EBDBA" w14:textId="77777777" w:rsidR="0057547B" w:rsidRDefault="000C6EF4">
          <w:pPr>
            <w:ind w:left="2430"/>
            <w:rPr>
              <w:rFonts w:ascii="Franklin Gothic Demi" w:hAnsi="Franklin Gothic Demi"/>
              <w:color w:val="595959"/>
              <w:sz w:val="28"/>
              <w:szCs w:val="28"/>
            </w:rPr>
          </w:pPr>
          <w:r>
            <w:rPr>
              <w:rFonts w:ascii="Franklin Gothic Demi" w:hAnsi="Franklin Gothic Demi"/>
              <w:noProof/>
              <w:color w:val="595959"/>
              <w:sz w:val="28"/>
              <w:szCs w:val="28"/>
            </w:rPr>
            <mc:AlternateContent>
              <mc:Choice Requires="wps">
                <w:drawing>
                  <wp:anchor distT="0" distB="0" distL="114300" distR="114300" simplePos="0" relativeHeight="251659776" behindDoc="0" locked="0" layoutInCell="1" allowOverlap="1" wp14:anchorId="7D7FDB06" wp14:editId="2D027DB3">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989EE3" w14:textId="77777777" w:rsidR="007E790F" w:rsidRDefault="007E790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53.45pt;margin-top:330.3pt;width:159.25pt;height:3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CN6tQIAALkFAAAOAAAAZHJzL2Uyb0RvYy54bWysVNtunDAQfa/Uf7D8TrjU7C4obJQsS1Up&#10;vUhJP8ALZrEKNrW9C2nVf+/Y7C3JS9WWB2R7xmcu53iub8auRXumNJciw+FVgBETpay42Gb462Ph&#10;LTDShoqKtlKwDD8xjW+Wb99cD33KItnItmIKAYjQ6dBnuDGmT31flw3rqL6SPRNgrKXqqIGt2vqV&#10;ogOgd60fBcHMH6SqeiVLpjWc5pMRLx1+XbPSfK5rzQxqMwy5GfdX7r+xf395TdOton3Dy0Ma9C+y&#10;6CgXEPQElVND0U7xV1AdL5XUsjZXpex8Wde8ZK4GqCYMXlTz0NCeuVqgObo/tUn/P9jy0/6LQrzK&#10;MBAlaAcUPbLRoDs5ooXtztDrFJweenAzIxwDy65S3d/L8ptGQq4aKrbsVik5NIxWkF1ob/oXVycc&#10;bUE2w0dZQRi6M9IBjbXqbOugGQjQgaWnEzM2lRIOoyCKyDzGqAQbCeMocdT5ND3e7pU275nskF1k&#10;WAHzDp3u77Wx2dD06GKDCVnwtnXst+LZAThOJxAbrlqbzcKR+TMJkvVivSAeiWZrjwR57t0WK+LN&#10;inAe5+/y1SoPf9m4IUkbXlVM2DBHYYXkz4g7SHySxElaWra8snA2Ja22m1Wr0J6CsAv3uZ6D5ezm&#10;P0/DNQFqeVFSGJHgLkq8YraYe6QgsZfMg4UXhMldMgtIQvLieUn3XLB/LwkNGU7iKJ7EdE76RW2B&#10;+17XRtOOGxgdLe9AuycnmloJrkXlqDWUt9P6ohU2/XMrgO4j0U6wVqOTWs24GQHFqngjqyeQrpKg&#10;LNAnzDtYNFL9wGiA2ZFh/X1HFcOo/SBA/klIiB02bkPieQQbdWnZXFqoKAEqwwajabky04Da9Ypv&#10;G4g0PTghb+HJ1Nyp+ZzV4aHBfHBFHWaZHUCXe+d1nrjL3wAAAP//AwBQSwMEFAAGAAgAAAAhAMNk&#10;MnHfAAAADAEAAA8AAABkcnMvZG93bnJldi54bWxMj8FOwzAMhu9IvENkJG5b0grCVppOCMQVxIBJ&#10;3LLGaysap2qytbw95sRutvzp9/eXm9n34oRj7AIZyJYKBFIdXEeNgY/358UKREyWnO0DoYEfjLCp&#10;Li9KW7gw0RuetqkRHEKxsAbalIZCyli36G1chgGJb4cwept4HRvpRjtxuO9lrpSW3nbEH1o74GOL&#10;9ff26A18vhy+djfqtXnyt8MUZiXJr6Ux11fzwz2IhHP6h+FPn9WhYqd9OJKLojewyJReM2tAa6VB&#10;MJJnGQ97A3e5ViCrUp6XqH4BAAD//wMAUEsBAi0AFAAGAAgAAAAhALaDOJL+AAAA4QEAABMAAAAA&#10;AAAAAAAAAAAAAAAAAFtDb250ZW50X1R5cGVzXS54bWxQSwECLQAUAAYACAAAACEAOP0h/9YAAACU&#10;AQAACwAAAAAAAAAAAAAAAAAvAQAAX3JlbHMvLnJlbHNQSwECLQAUAAYACAAAACEALZwjerUCAAC5&#10;BQAADgAAAAAAAAAAAAAAAAAuAgAAZHJzL2Uyb0RvYy54bWxQSwECLQAUAAYACAAAACEAw2Qycd8A&#10;AAAMAQAADwAAAAAAAAAAAAAAAAAPBQAAZHJzL2Rvd25yZXYueG1sUEsFBgAAAAAEAAQA8wAAABsG&#10;AAAAAA==&#10;" filled="f" stroked="f">
                    <v:textbox>
                      <w:txbxContent>
                        <w:p w14:paraId="6E989EE3" w14:textId="77777777" w:rsidR="007E790F" w:rsidRDefault="007E790F"/>
                      </w:txbxContent>
                    </v:textbox>
                  </v:shape>
                </w:pict>
              </mc:Fallback>
            </mc:AlternateContent>
          </w:r>
          <w:r>
            <w:rPr>
              <w:rFonts w:ascii="Franklin Gothic Demi" w:hAnsi="Franklin Gothic Demi"/>
              <w:color w:val="595959"/>
              <w:sz w:val="28"/>
              <w:szCs w:val="28"/>
            </w:rPr>
            <w:t>PREPARED BY:</w:t>
          </w:r>
        </w:p>
        <w:p w14:paraId="17315BAB" w14:textId="77777777" w:rsidR="0057547B" w:rsidRDefault="000C6EF4">
          <w:pPr>
            <w:spacing w:after="0"/>
            <w:ind w:left="2434"/>
          </w:pPr>
          <w:r>
            <w:t>American Institutes for Research</w:t>
          </w:r>
          <w:r>
            <w:rPr>
              <w:vertAlign w:val="superscript"/>
            </w:rPr>
            <w:br/>
          </w:r>
          <w:r>
            <w:t>1000 Thomas Jefferson St. NW, Suite 200</w:t>
          </w:r>
        </w:p>
        <w:p w14:paraId="5B967374" w14:textId="77777777" w:rsidR="0057547B" w:rsidRDefault="000C6EF4">
          <w:pPr>
            <w:spacing w:after="0"/>
            <w:ind w:left="2430"/>
          </w:pPr>
          <w:r>
            <w:t>Washington, DC 20007-3835</w:t>
          </w:r>
        </w:p>
        <w:p w14:paraId="35D81C28" w14:textId="77777777" w:rsidR="0057547B" w:rsidRDefault="0057547B">
          <w:pPr>
            <w:spacing w:after="0"/>
            <w:ind w:left="2430"/>
          </w:pPr>
        </w:p>
        <w:p w14:paraId="3EBCFD67" w14:textId="77777777" w:rsidR="0057547B" w:rsidRDefault="000C6EF4">
          <w:pPr>
            <w:spacing w:before="240"/>
            <w:ind w:left="2434"/>
            <w:rPr>
              <w:rFonts w:ascii="Franklin Gothic Demi" w:hAnsi="Franklin Gothic Demi"/>
              <w:color w:val="595959"/>
              <w:sz w:val="28"/>
              <w:szCs w:val="28"/>
            </w:rPr>
          </w:pPr>
          <w:r>
            <w:rPr>
              <w:rFonts w:ascii="Franklin Gothic Demi" w:hAnsi="Franklin Gothic Demi"/>
              <w:color w:val="595959"/>
              <w:sz w:val="28"/>
              <w:szCs w:val="28"/>
            </w:rPr>
            <w:t>PREPARED FOR:</w:t>
          </w:r>
        </w:p>
        <w:p w14:paraId="73522E35" w14:textId="77777777" w:rsidR="0057547B" w:rsidRDefault="000C6EF4">
          <w:pPr>
            <w:spacing w:after="0"/>
            <w:ind w:left="2434"/>
          </w:pPr>
          <w:r>
            <w:t>U.S. Department of Education</w:t>
          </w:r>
        </w:p>
        <w:p w14:paraId="32C3A6A2" w14:textId="77777777" w:rsidR="0057547B" w:rsidRDefault="000C6EF4">
          <w:pPr>
            <w:spacing w:after="0"/>
            <w:ind w:left="2430"/>
          </w:pPr>
          <w:r>
            <w:t>Policy and Program Studies Service</w:t>
          </w:r>
        </w:p>
        <w:p w14:paraId="16DC669A" w14:textId="77777777" w:rsidR="0057547B" w:rsidRDefault="0057547B">
          <w:pPr>
            <w:ind w:left="2430"/>
          </w:pPr>
        </w:p>
        <w:p w14:paraId="2058DBF1" w14:textId="77777777" w:rsidR="0057547B" w:rsidRDefault="0057547B">
          <w:pPr>
            <w:ind w:left="2430"/>
            <w:rPr>
              <w:rFonts w:ascii="Franklin Gothic Demi" w:hAnsi="Franklin Gothic Demi"/>
              <w:color w:val="595959"/>
              <w:sz w:val="28"/>
              <w:szCs w:val="28"/>
            </w:rPr>
          </w:pPr>
        </w:p>
        <w:p w14:paraId="0BFA76A9" w14:textId="33C6206B" w:rsidR="0057547B" w:rsidRDefault="00D0445C">
          <w:pPr>
            <w:ind w:left="2430"/>
            <w:rPr>
              <w:rFonts w:ascii="Franklin Gothic Demi" w:hAnsi="Franklin Gothic Demi"/>
              <w:color w:val="595959"/>
              <w:sz w:val="28"/>
              <w:szCs w:val="28"/>
            </w:rPr>
            <w:sectPr w:rsidR="0057547B">
              <w:pgSz w:w="12240" w:h="15840"/>
              <w:pgMar w:top="1440" w:right="1440" w:bottom="1440" w:left="1440" w:header="720" w:footer="720" w:gutter="0"/>
              <w:pgNumType w:start="0"/>
              <w:cols w:space="720"/>
              <w:titlePg/>
              <w:docGrid w:linePitch="360"/>
            </w:sectPr>
          </w:pPr>
          <w:r>
            <w:rPr>
              <w:rFonts w:ascii="Franklin Gothic Demi" w:hAnsi="Franklin Gothic Demi"/>
              <w:color w:val="595959"/>
              <w:sz w:val="28"/>
              <w:szCs w:val="28"/>
            </w:rPr>
            <w:t>June 21</w:t>
          </w:r>
          <w:r w:rsidR="000C6EF4">
            <w:rPr>
              <w:rFonts w:ascii="Franklin Gothic Demi" w:hAnsi="Franklin Gothic Demi"/>
              <w:color w:val="595959"/>
              <w:sz w:val="28"/>
              <w:szCs w:val="28"/>
            </w:rPr>
            <w:t>, 2017</w:t>
          </w:r>
        </w:p>
      </w:sdtContent>
    </w:sdt>
    <w:p w14:paraId="22A6D729" w14:textId="77777777" w:rsidR="0057547B" w:rsidRDefault="0057547B">
      <w:pPr>
        <w:rPr>
          <w:rFonts w:ascii="Franklin Gothic Book" w:hAnsi="Franklin Gothic Book"/>
          <w:sz w:val="20"/>
          <w:szCs w:val="20"/>
        </w:rPr>
      </w:pPr>
    </w:p>
    <w:p w14:paraId="75990859" w14:textId="77777777" w:rsidR="0057547B" w:rsidRDefault="0057547B">
      <w:pPr>
        <w:tabs>
          <w:tab w:val="right" w:pos="9360"/>
        </w:tabs>
        <w:spacing w:before="120" w:after="240"/>
        <w:rPr>
          <w:rFonts w:eastAsia="Times New Roman"/>
          <w:szCs w:val="24"/>
        </w:rPr>
      </w:pPr>
    </w:p>
    <w:p w14:paraId="227D9700" w14:textId="77777777" w:rsidR="0057547B" w:rsidRDefault="0057547B">
      <w:pPr>
        <w:spacing w:after="0" w:line="240" w:lineRule="auto"/>
        <w:rPr>
          <w:bCs/>
        </w:rPr>
      </w:pPr>
    </w:p>
    <w:p w14:paraId="4716ACF9" w14:textId="77777777" w:rsidR="0057547B" w:rsidRDefault="000C6EF4">
      <w:pPr>
        <w:pStyle w:val="TOCHeading"/>
      </w:pPr>
      <w:r>
        <w:t>Contents</w:t>
      </w:r>
    </w:p>
    <w:p w14:paraId="59B955B4" w14:textId="77777777" w:rsidR="00814D69" w:rsidRDefault="000C6EF4">
      <w:pPr>
        <w:pStyle w:val="TOC1"/>
        <w:rPr>
          <w:rFonts w:eastAsiaTheme="minorEastAsia" w:cstheme="minorBidi"/>
          <w:b w:val="0"/>
          <w:noProof/>
          <w:sz w:val="22"/>
        </w:rPr>
      </w:pPr>
      <w:r>
        <w:fldChar w:fldCharType="begin"/>
      </w:r>
      <w:r>
        <w:instrText xml:space="preserve"> TOC \o "1-3" \h \z \u </w:instrText>
      </w:r>
      <w:r>
        <w:fldChar w:fldCharType="separate"/>
      </w:r>
      <w:hyperlink w:anchor="_Toc482978863" w:history="1">
        <w:r w:rsidR="00814D69" w:rsidRPr="006B0B6F">
          <w:rPr>
            <w:rStyle w:val="Hyperlink"/>
            <w:bCs/>
            <w:noProof/>
          </w:rPr>
          <w:t>Introduction</w:t>
        </w:r>
        <w:r w:rsidR="00814D69">
          <w:rPr>
            <w:noProof/>
            <w:webHidden/>
          </w:rPr>
          <w:tab/>
        </w:r>
        <w:r w:rsidR="00814D69">
          <w:rPr>
            <w:noProof/>
            <w:webHidden/>
          </w:rPr>
          <w:fldChar w:fldCharType="begin"/>
        </w:r>
        <w:r w:rsidR="00814D69">
          <w:rPr>
            <w:noProof/>
            <w:webHidden/>
          </w:rPr>
          <w:instrText xml:space="preserve"> PAGEREF _Toc482978863 \h </w:instrText>
        </w:r>
        <w:r w:rsidR="00814D69">
          <w:rPr>
            <w:noProof/>
            <w:webHidden/>
          </w:rPr>
        </w:r>
        <w:r w:rsidR="00814D69">
          <w:rPr>
            <w:noProof/>
            <w:webHidden/>
          </w:rPr>
          <w:fldChar w:fldCharType="separate"/>
        </w:r>
        <w:r w:rsidR="00814D69">
          <w:rPr>
            <w:noProof/>
            <w:webHidden/>
          </w:rPr>
          <w:t>1</w:t>
        </w:r>
        <w:r w:rsidR="00814D69">
          <w:rPr>
            <w:noProof/>
            <w:webHidden/>
          </w:rPr>
          <w:fldChar w:fldCharType="end"/>
        </w:r>
      </w:hyperlink>
    </w:p>
    <w:p w14:paraId="3619BD5F" w14:textId="77777777" w:rsidR="00814D69" w:rsidRDefault="009F7DF7">
      <w:pPr>
        <w:pStyle w:val="TOC1"/>
        <w:rPr>
          <w:rFonts w:eastAsiaTheme="minorEastAsia" w:cstheme="minorBidi"/>
          <w:b w:val="0"/>
          <w:noProof/>
          <w:sz w:val="22"/>
        </w:rPr>
      </w:pPr>
      <w:hyperlink w:anchor="_Toc482978864" w:history="1">
        <w:r w:rsidR="00814D69" w:rsidRPr="006B0B6F">
          <w:rPr>
            <w:rStyle w:val="Hyperlink"/>
            <w:noProof/>
          </w:rPr>
          <w:t>Study Overview</w:t>
        </w:r>
        <w:r w:rsidR="00814D69">
          <w:rPr>
            <w:noProof/>
            <w:webHidden/>
          </w:rPr>
          <w:tab/>
        </w:r>
        <w:r w:rsidR="00814D69">
          <w:rPr>
            <w:noProof/>
            <w:webHidden/>
          </w:rPr>
          <w:fldChar w:fldCharType="begin"/>
        </w:r>
        <w:r w:rsidR="00814D69">
          <w:rPr>
            <w:noProof/>
            <w:webHidden/>
          </w:rPr>
          <w:instrText xml:space="preserve"> PAGEREF _Toc482978864 \h </w:instrText>
        </w:r>
        <w:r w:rsidR="00814D69">
          <w:rPr>
            <w:noProof/>
            <w:webHidden/>
          </w:rPr>
        </w:r>
        <w:r w:rsidR="00814D69">
          <w:rPr>
            <w:noProof/>
            <w:webHidden/>
          </w:rPr>
          <w:fldChar w:fldCharType="separate"/>
        </w:r>
        <w:r w:rsidR="00814D69">
          <w:rPr>
            <w:noProof/>
            <w:webHidden/>
          </w:rPr>
          <w:t>2</w:t>
        </w:r>
        <w:r w:rsidR="00814D69">
          <w:rPr>
            <w:noProof/>
            <w:webHidden/>
          </w:rPr>
          <w:fldChar w:fldCharType="end"/>
        </w:r>
      </w:hyperlink>
    </w:p>
    <w:p w14:paraId="1482BD55" w14:textId="77777777" w:rsidR="00814D69" w:rsidRDefault="009F7DF7">
      <w:pPr>
        <w:pStyle w:val="TOC2"/>
        <w:rPr>
          <w:rFonts w:eastAsiaTheme="minorEastAsia" w:cstheme="minorBidi"/>
          <w:noProof/>
          <w:sz w:val="22"/>
        </w:rPr>
      </w:pPr>
      <w:hyperlink w:anchor="_Toc482978865" w:history="1">
        <w:r w:rsidR="00814D69" w:rsidRPr="006B0B6F">
          <w:rPr>
            <w:rStyle w:val="Hyperlink"/>
            <w:noProof/>
          </w:rPr>
          <w:t>Study Purpose and Policy Context</w:t>
        </w:r>
        <w:r w:rsidR="00814D69">
          <w:rPr>
            <w:noProof/>
            <w:webHidden/>
          </w:rPr>
          <w:tab/>
        </w:r>
        <w:r w:rsidR="00814D69">
          <w:rPr>
            <w:noProof/>
            <w:webHidden/>
          </w:rPr>
          <w:fldChar w:fldCharType="begin"/>
        </w:r>
        <w:r w:rsidR="00814D69">
          <w:rPr>
            <w:noProof/>
            <w:webHidden/>
          </w:rPr>
          <w:instrText xml:space="preserve"> PAGEREF _Toc482978865 \h </w:instrText>
        </w:r>
        <w:r w:rsidR="00814D69">
          <w:rPr>
            <w:noProof/>
            <w:webHidden/>
          </w:rPr>
        </w:r>
        <w:r w:rsidR="00814D69">
          <w:rPr>
            <w:noProof/>
            <w:webHidden/>
          </w:rPr>
          <w:fldChar w:fldCharType="separate"/>
        </w:r>
        <w:r w:rsidR="00814D69">
          <w:rPr>
            <w:noProof/>
            <w:webHidden/>
          </w:rPr>
          <w:t>2</w:t>
        </w:r>
        <w:r w:rsidR="00814D69">
          <w:rPr>
            <w:noProof/>
            <w:webHidden/>
          </w:rPr>
          <w:fldChar w:fldCharType="end"/>
        </w:r>
      </w:hyperlink>
    </w:p>
    <w:p w14:paraId="76A614DB" w14:textId="77777777" w:rsidR="00814D69" w:rsidRDefault="009F7DF7">
      <w:pPr>
        <w:pStyle w:val="TOC2"/>
        <w:rPr>
          <w:rFonts w:eastAsiaTheme="minorEastAsia" w:cstheme="minorBidi"/>
          <w:noProof/>
          <w:sz w:val="22"/>
        </w:rPr>
      </w:pPr>
      <w:hyperlink w:anchor="_Toc482978866" w:history="1">
        <w:r w:rsidR="00814D69" w:rsidRPr="006B0B6F">
          <w:rPr>
            <w:rStyle w:val="Hyperlink"/>
            <w:noProof/>
          </w:rPr>
          <w:t>Conceptual Approach</w:t>
        </w:r>
        <w:r w:rsidR="00814D69">
          <w:rPr>
            <w:noProof/>
            <w:webHidden/>
          </w:rPr>
          <w:tab/>
        </w:r>
        <w:r w:rsidR="00814D69">
          <w:rPr>
            <w:noProof/>
            <w:webHidden/>
          </w:rPr>
          <w:fldChar w:fldCharType="begin"/>
        </w:r>
        <w:r w:rsidR="00814D69">
          <w:rPr>
            <w:noProof/>
            <w:webHidden/>
          </w:rPr>
          <w:instrText xml:space="preserve"> PAGEREF _Toc482978866 \h </w:instrText>
        </w:r>
        <w:r w:rsidR="00814D69">
          <w:rPr>
            <w:noProof/>
            <w:webHidden/>
          </w:rPr>
        </w:r>
        <w:r w:rsidR="00814D69">
          <w:rPr>
            <w:noProof/>
            <w:webHidden/>
          </w:rPr>
          <w:fldChar w:fldCharType="separate"/>
        </w:r>
        <w:r w:rsidR="00814D69">
          <w:rPr>
            <w:noProof/>
            <w:webHidden/>
          </w:rPr>
          <w:t>3</w:t>
        </w:r>
        <w:r w:rsidR="00814D69">
          <w:rPr>
            <w:noProof/>
            <w:webHidden/>
          </w:rPr>
          <w:fldChar w:fldCharType="end"/>
        </w:r>
      </w:hyperlink>
    </w:p>
    <w:p w14:paraId="5C7B117D" w14:textId="77777777" w:rsidR="00814D69" w:rsidRDefault="009F7DF7">
      <w:pPr>
        <w:pStyle w:val="TOC2"/>
        <w:rPr>
          <w:rFonts w:eastAsiaTheme="minorEastAsia" w:cstheme="minorBidi"/>
          <w:noProof/>
          <w:sz w:val="22"/>
        </w:rPr>
      </w:pPr>
      <w:hyperlink w:anchor="_Toc482978867" w:history="1">
        <w:r w:rsidR="00814D69" w:rsidRPr="006B0B6F">
          <w:rPr>
            <w:rStyle w:val="Hyperlink"/>
            <w:noProof/>
          </w:rPr>
          <w:t>Mapping Study Questions to Study Components</w:t>
        </w:r>
        <w:r w:rsidR="00814D69">
          <w:rPr>
            <w:noProof/>
            <w:webHidden/>
          </w:rPr>
          <w:tab/>
        </w:r>
        <w:r w:rsidR="00814D69">
          <w:rPr>
            <w:noProof/>
            <w:webHidden/>
          </w:rPr>
          <w:fldChar w:fldCharType="begin"/>
        </w:r>
        <w:r w:rsidR="00814D69">
          <w:rPr>
            <w:noProof/>
            <w:webHidden/>
          </w:rPr>
          <w:instrText xml:space="preserve"> PAGEREF _Toc482978867 \h </w:instrText>
        </w:r>
        <w:r w:rsidR="00814D69">
          <w:rPr>
            <w:noProof/>
            <w:webHidden/>
          </w:rPr>
        </w:r>
        <w:r w:rsidR="00814D69">
          <w:rPr>
            <w:noProof/>
            <w:webHidden/>
          </w:rPr>
          <w:fldChar w:fldCharType="separate"/>
        </w:r>
        <w:r w:rsidR="00814D69">
          <w:rPr>
            <w:noProof/>
            <w:webHidden/>
          </w:rPr>
          <w:t>5</w:t>
        </w:r>
        <w:r w:rsidR="00814D69">
          <w:rPr>
            <w:noProof/>
            <w:webHidden/>
          </w:rPr>
          <w:fldChar w:fldCharType="end"/>
        </w:r>
      </w:hyperlink>
    </w:p>
    <w:p w14:paraId="785AD308" w14:textId="77777777" w:rsidR="00814D69" w:rsidRDefault="009F7DF7">
      <w:pPr>
        <w:pStyle w:val="TOC1"/>
        <w:rPr>
          <w:rFonts w:eastAsiaTheme="minorEastAsia" w:cstheme="minorBidi"/>
          <w:b w:val="0"/>
          <w:noProof/>
          <w:sz w:val="22"/>
        </w:rPr>
      </w:pPr>
      <w:hyperlink w:anchor="_Toc482978868" w:history="1">
        <w:r w:rsidR="00814D69" w:rsidRPr="006B0B6F">
          <w:rPr>
            <w:rStyle w:val="Hyperlink"/>
            <w:noProof/>
          </w:rPr>
          <w:t>Supporting Statement for Paperwork Reduction Act Submission</w:t>
        </w:r>
        <w:r w:rsidR="00814D69">
          <w:rPr>
            <w:noProof/>
            <w:webHidden/>
          </w:rPr>
          <w:tab/>
        </w:r>
        <w:r w:rsidR="00814D69">
          <w:rPr>
            <w:noProof/>
            <w:webHidden/>
          </w:rPr>
          <w:fldChar w:fldCharType="begin"/>
        </w:r>
        <w:r w:rsidR="00814D69">
          <w:rPr>
            <w:noProof/>
            <w:webHidden/>
          </w:rPr>
          <w:instrText xml:space="preserve"> PAGEREF _Toc482978868 \h </w:instrText>
        </w:r>
        <w:r w:rsidR="00814D69">
          <w:rPr>
            <w:noProof/>
            <w:webHidden/>
          </w:rPr>
        </w:r>
        <w:r w:rsidR="00814D69">
          <w:rPr>
            <w:noProof/>
            <w:webHidden/>
          </w:rPr>
          <w:fldChar w:fldCharType="separate"/>
        </w:r>
        <w:r w:rsidR="00814D69">
          <w:rPr>
            <w:noProof/>
            <w:webHidden/>
          </w:rPr>
          <w:t>7</w:t>
        </w:r>
        <w:r w:rsidR="00814D69">
          <w:rPr>
            <w:noProof/>
            <w:webHidden/>
          </w:rPr>
          <w:fldChar w:fldCharType="end"/>
        </w:r>
      </w:hyperlink>
    </w:p>
    <w:p w14:paraId="4F5EC5F4" w14:textId="77777777" w:rsidR="00814D69" w:rsidRDefault="009F7DF7">
      <w:pPr>
        <w:pStyle w:val="TOC2"/>
        <w:rPr>
          <w:rFonts w:eastAsiaTheme="minorEastAsia" w:cstheme="minorBidi"/>
          <w:noProof/>
          <w:sz w:val="22"/>
        </w:rPr>
      </w:pPr>
      <w:hyperlink w:anchor="_Toc482978869" w:history="1">
        <w:r w:rsidR="00814D69" w:rsidRPr="006B0B6F">
          <w:rPr>
            <w:rStyle w:val="Hyperlink"/>
            <w:noProof/>
          </w:rPr>
          <w:t>Description of Statistical Methods</w:t>
        </w:r>
        <w:r w:rsidR="00814D69">
          <w:rPr>
            <w:noProof/>
            <w:webHidden/>
          </w:rPr>
          <w:tab/>
        </w:r>
        <w:r w:rsidR="00814D69">
          <w:rPr>
            <w:noProof/>
            <w:webHidden/>
          </w:rPr>
          <w:fldChar w:fldCharType="begin"/>
        </w:r>
        <w:r w:rsidR="00814D69">
          <w:rPr>
            <w:noProof/>
            <w:webHidden/>
          </w:rPr>
          <w:instrText xml:space="preserve"> PAGEREF _Toc482978869 \h </w:instrText>
        </w:r>
        <w:r w:rsidR="00814D69">
          <w:rPr>
            <w:noProof/>
            <w:webHidden/>
          </w:rPr>
        </w:r>
        <w:r w:rsidR="00814D69">
          <w:rPr>
            <w:noProof/>
            <w:webHidden/>
          </w:rPr>
          <w:fldChar w:fldCharType="separate"/>
        </w:r>
        <w:r w:rsidR="00814D69">
          <w:rPr>
            <w:noProof/>
            <w:webHidden/>
          </w:rPr>
          <w:t>7</w:t>
        </w:r>
        <w:r w:rsidR="00814D69">
          <w:rPr>
            <w:noProof/>
            <w:webHidden/>
          </w:rPr>
          <w:fldChar w:fldCharType="end"/>
        </w:r>
      </w:hyperlink>
    </w:p>
    <w:p w14:paraId="01DCF8C9" w14:textId="77777777" w:rsidR="00814D69" w:rsidRDefault="009F7DF7">
      <w:pPr>
        <w:pStyle w:val="TOC3"/>
        <w:rPr>
          <w:rFonts w:eastAsiaTheme="minorEastAsia" w:cstheme="minorBidi"/>
          <w:noProof/>
          <w:sz w:val="22"/>
        </w:rPr>
      </w:pPr>
      <w:hyperlink w:anchor="_Toc482978870" w:history="1">
        <w:r w:rsidR="00814D69" w:rsidRPr="006B0B6F">
          <w:rPr>
            <w:rStyle w:val="Hyperlink"/>
            <w:noProof/>
          </w:rPr>
          <w:t>1. Sampling Design</w:t>
        </w:r>
        <w:r w:rsidR="00814D69">
          <w:rPr>
            <w:noProof/>
            <w:webHidden/>
          </w:rPr>
          <w:tab/>
        </w:r>
        <w:r w:rsidR="00814D69">
          <w:rPr>
            <w:noProof/>
            <w:webHidden/>
          </w:rPr>
          <w:fldChar w:fldCharType="begin"/>
        </w:r>
        <w:r w:rsidR="00814D69">
          <w:rPr>
            <w:noProof/>
            <w:webHidden/>
          </w:rPr>
          <w:instrText xml:space="preserve"> PAGEREF _Toc482978870 \h </w:instrText>
        </w:r>
        <w:r w:rsidR="00814D69">
          <w:rPr>
            <w:noProof/>
            <w:webHidden/>
          </w:rPr>
        </w:r>
        <w:r w:rsidR="00814D69">
          <w:rPr>
            <w:noProof/>
            <w:webHidden/>
          </w:rPr>
          <w:fldChar w:fldCharType="separate"/>
        </w:r>
        <w:r w:rsidR="00814D69">
          <w:rPr>
            <w:noProof/>
            <w:webHidden/>
          </w:rPr>
          <w:t>7</w:t>
        </w:r>
        <w:r w:rsidR="00814D69">
          <w:rPr>
            <w:noProof/>
            <w:webHidden/>
          </w:rPr>
          <w:fldChar w:fldCharType="end"/>
        </w:r>
      </w:hyperlink>
    </w:p>
    <w:p w14:paraId="1540F404" w14:textId="77777777" w:rsidR="00814D69" w:rsidRDefault="009F7DF7">
      <w:pPr>
        <w:pStyle w:val="TOC3"/>
        <w:rPr>
          <w:rFonts w:eastAsiaTheme="minorEastAsia" w:cstheme="minorBidi"/>
          <w:noProof/>
          <w:sz w:val="22"/>
        </w:rPr>
      </w:pPr>
      <w:hyperlink w:anchor="_Toc482978871" w:history="1">
        <w:r w:rsidR="00814D69" w:rsidRPr="006B0B6F">
          <w:rPr>
            <w:rStyle w:val="Hyperlink"/>
            <w:noProof/>
          </w:rPr>
          <w:t>2. Procedures for Data Collection</w:t>
        </w:r>
        <w:r w:rsidR="00814D69">
          <w:rPr>
            <w:noProof/>
            <w:webHidden/>
          </w:rPr>
          <w:tab/>
        </w:r>
        <w:r w:rsidR="00814D69">
          <w:rPr>
            <w:noProof/>
            <w:webHidden/>
          </w:rPr>
          <w:fldChar w:fldCharType="begin"/>
        </w:r>
        <w:r w:rsidR="00814D69">
          <w:rPr>
            <w:noProof/>
            <w:webHidden/>
          </w:rPr>
          <w:instrText xml:space="preserve"> PAGEREF _Toc482978871 \h </w:instrText>
        </w:r>
        <w:r w:rsidR="00814D69">
          <w:rPr>
            <w:noProof/>
            <w:webHidden/>
          </w:rPr>
        </w:r>
        <w:r w:rsidR="00814D69">
          <w:rPr>
            <w:noProof/>
            <w:webHidden/>
          </w:rPr>
          <w:fldChar w:fldCharType="separate"/>
        </w:r>
        <w:r w:rsidR="00814D69">
          <w:rPr>
            <w:noProof/>
            <w:webHidden/>
          </w:rPr>
          <w:t>13</w:t>
        </w:r>
        <w:r w:rsidR="00814D69">
          <w:rPr>
            <w:noProof/>
            <w:webHidden/>
          </w:rPr>
          <w:fldChar w:fldCharType="end"/>
        </w:r>
      </w:hyperlink>
    </w:p>
    <w:p w14:paraId="77DDEB62" w14:textId="77777777" w:rsidR="00814D69" w:rsidRDefault="009F7DF7">
      <w:pPr>
        <w:pStyle w:val="TOC3"/>
        <w:rPr>
          <w:rFonts w:eastAsiaTheme="minorEastAsia" w:cstheme="minorBidi"/>
          <w:noProof/>
          <w:sz w:val="22"/>
        </w:rPr>
      </w:pPr>
      <w:hyperlink w:anchor="_Toc482978872" w:history="1">
        <w:r w:rsidR="00814D69" w:rsidRPr="006B0B6F">
          <w:rPr>
            <w:rStyle w:val="Hyperlink"/>
            <w:noProof/>
          </w:rPr>
          <w:t>3. Methods to Maximize Response Rates in the Survey</w:t>
        </w:r>
        <w:r w:rsidR="00814D69">
          <w:rPr>
            <w:noProof/>
            <w:webHidden/>
          </w:rPr>
          <w:tab/>
        </w:r>
        <w:r w:rsidR="00814D69">
          <w:rPr>
            <w:noProof/>
            <w:webHidden/>
          </w:rPr>
          <w:fldChar w:fldCharType="begin"/>
        </w:r>
        <w:r w:rsidR="00814D69">
          <w:rPr>
            <w:noProof/>
            <w:webHidden/>
          </w:rPr>
          <w:instrText xml:space="preserve"> PAGEREF _Toc482978872 \h </w:instrText>
        </w:r>
        <w:r w:rsidR="00814D69">
          <w:rPr>
            <w:noProof/>
            <w:webHidden/>
          </w:rPr>
        </w:r>
        <w:r w:rsidR="00814D69">
          <w:rPr>
            <w:noProof/>
            <w:webHidden/>
          </w:rPr>
          <w:fldChar w:fldCharType="separate"/>
        </w:r>
        <w:r w:rsidR="00814D69">
          <w:rPr>
            <w:noProof/>
            <w:webHidden/>
          </w:rPr>
          <w:t>18</w:t>
        </w:r>
        <w:r w:rsidR="00814D69">
          <w:rPr>
            <w:noProof/>
            <w:webHidden/>
          </w:rPr>
          <w:fldChar w:fldCharType="end"/>
        </w:r>
      </w:hyperlink>
    </w:p>
    <w:p w14:paraId="179C0CB5" w14:textId="77777777" w:rsidR="00814D69" w:rsidRDefault="009F7DF7">
      <w:pPr>
        <w:pStyle w:val="TOC3"/>
        <w:rPr>
          <w:rFonts w:eastAsiaTheme="minorEastAsia" w:cstheme="minorBidi"/>
          <w:noProof/>
          <w:sz w:val="22"/>
        </w:rPr>
      </w:pPr>
      <w:hyperlink w:anchor="_Toc482978873" w:history="1">
        <w:r w:rsidR="00814D69" w:rsidRPr="006B0B6F">
          <w:rPr>
            <w:rStyle w:val="Hyperlink"/>
            <w:noProof/>
          </w:rPr>
          <w:t>4. Expert Review and Piloting Procedures</w:t>
        </w:r>
        <w:r w:rsidR="00814D69">
          <w:rPr>
            <w:noProof/>
            <w:webHidden/>
          </w:rPr>
          <w:tab/>
        </w:r>
        <w:r w:rsidR="00814D69">
          <w:rPr>
            <w:noProof/>
            <w:webHidden/>
          </w:rPr>
          <w:fldChar w:fldCharType="begin"/>
        </w:r>
        <w:r w:rsidR="00814D69">
          <w:rPr>
            <w:noProof/>
            <w:webHidden/>
          </w:rPr>
          <w:instrText xml:space="preserve"> PAGEREF _Toc482978873 \h </w:instrText>
        </w:r>
        <w:r w:rsidR="00814D69">
          <w:rPr>
            <w:noProof/>
            <w:webHidden/>
          </w:rPr>
        </w:r>
        <w:r w:rsidR="00814D69">
          <w:rPr>
            <w:noProof/>
            <w:webHidden/>
          </w:rPr>
          <w:fldChar w:fldCharType="separate"/>
        </w:r>
        <w:r w:rsidR="00814D69">
          <w:rPr>
            <w:noProof/>
            <w:webHidden/>
          </w:rPr>
          <w:t>20</w:t>
        </w:r>
        <w:r w:rsidR="00814D69">
          <w:rPr>
            <w:noProof/>
            <w:webHidden/>
          </w:rPr>
          <w:fldChar w:fldCharType="end"/>
        </w:r>
      </w:hyperlink>
    </w:p>
    <w:p w14:paraId="58A04A34" w14:textId="77777777" w:rsidR="00814D69" w:rsidRDefault="009F7DF7">
      <w:pPr>
        <w:pStyle w:val="TOC3"/>
        <w:rPr>
          <w:rFonts w:eastAsiaTheme="minorEastAsia" w:cstheme="minorBidi"/>
          <w:noProof/>
          <w:sz w:val="22"/>
        </w:rPr>
      </w:pPr>
      <w:hyperlink w:anchor="_Toc482978874" w:history="1">
        <w:r w:rsidR="00814D69" w:rsidRPr="006B0B6F">
          <w:rPr>
            <w:rStyle w:val="Hyperlink"/>
            <w:noProof/>
          </w:rPr>
          <w:t>5. Individuals and Organizations Involved in the Project</w:t>
        </w:r>
        <w:r w:rsidR="00814D69">
          <w:rPr>
            <w:noProof/>
            <w:webHidden/>
          </w:rPr>
          <w:tab/>
        </w:r>
        <w:r w:rsidR="00814D69">
          <w:rPr>
            <w:noProof/>
            <w:webHidden/>
          </w:rPr>
          <w:fldChar w:fldCharType="begin"/>
        </w:r>
        <w:r w:rsidR="00814D69">
          <w:rPr>
            <w:noProof/>
            <w:webHidden/>
          </w:rPr>
          <w:instrText xml:space="preserve"> PAGEREF _Toc482978874 \h </w:instrText>
        </w:r>
        <w:r w:rsidR="00814D69">
          <w:rPr>
            <w:noProof/>
            <w:webHidden/>
          </w:rPr>
        </w:r>
        <w:r w:rsidR="00814D69">
          <w:rPr>
            <w:noProof/>
            <w:webHidden/>
          </w:rPr>
          <w:fldChar w:fldCharType="separate"/>
        </w:r>
        <w:r w:rsidR="00814D69">
          <w:rPr>
            <w:noProof/>
            <w:webHidden/>
          </w:rPr>
          <w:t>20</w:t>
        </w:r>
        <w:r w:rsidR="00814D69">
          <w:rPr>
            <w:noProof/>
            <w:webHidden/>
          </w:rPr>
          <w:fldChar w:fldCharType="end"/>
        </w:r>
      </w:hyperlink>
    </w:p>
    <w:p w14:paraId="184B8D8D" w14:textId="77777777" w:rsidR="00814D69" w:rsidRDefault="009F7DF7">
      <w:pPr>
        <w:pStyle w:val="TOC1"/>
        <w:rPr>
          <w:rFonts w:eastAsiaTheme="minorEastAsia" w:cstheme="minorBidi"/>
          <w:b w:val="0"/>
          <w:noProof/>
          <w:sz w:val="22"/>
        </w:rPr>
      </w:pPr>
      <w:hyperlink w:anchor="_Toc482978875" w:history="1">
        <w:r w:rsidR="00814D69" w:rsidRPr="006B0B6F">
          <w:rPr>
            <w:rStyle w:val="Hyperlink"/>
            <w:noProof/>
          </w:rPr>
          <w:t>References</w:t>
        </w:r>
        <w:r w:rsidR="00814D69">
          <w:rPr>
            <w:noProof/>
            <w:webHidden/>
          </w:rPr>
          <w:tab/>
        </w:r>
        <w:r w:rsidR="00814D69">
          <w:rPr>
            <w:noProof/>
            <w:webHidden/>
          </w:rPr>
          <w:fldChar w:fldCharType="begin"/>
        </w:r>
        <w:r w:rsidR="00814D69">
          <w:rPr>
            <w:noProof/>
            <w:webHidden/>
          </w:rPr>
          <w:instrText xml:space="preserve"> PAGEREF _Toc482978875 \h </w:instrText>
        </w:r>
        <w:r w:rsidR="00814D69">
          <w:rPr>
            <w:noProof/>
            <w:webHidden/>
          </w:rPr>
        </w:r>
        <w:r w:rsidR="00814D69">
          <w:rPr>
            <w:noProof/>
            <w:webHidden/>
          </w:rPr>
          <w:fldChar w:fldCharType="separate"/>
        </w:r>
        <w:r w:rsidR="00814D69">
          <w:rPr>
            <w:noProof/>
            <w:webHidden/>
          </w:rPr>
          <w:t>21</w:t>
        </w:r>
        <w:r w:rsidR="00814D69">
          <w:rPr>
            <w:noProof/>
            <w:webHidden/>
          </w:rPr>
          <w:fldChar w:fldCharType="end"/>
        </w:r>
      </w:hyperlink>
    </w:p>
    <w:p w14:paraId="470593AA" w14:textId="77777777" w:rsidR="0057547B" w:rsidRDefault="000C6EF4">
      <w:pPr>
        <w:rPr>
          <w:b/>
          <w:bCs/>
          <w:noProof/>
        </w:rPr>
      </w:pPr>
      <w:r>
        <w:rPr>
          <w:b/>
          <w:bCs/>
          <w:noProof/>
        </w:rPr>
        <w:fldChar w:fldCharType="end"/>
      </w:r>
    </w:p>
    <w:p w14:paraId="3BFEAEE9" w14:textId="77777777" w:rsidR="0057547B" w:rsidRDefault="0057547B">
      <w:pPr>
        <w:spacing w:after="0" w:line="240" w:lineRule="auto"/>
        <w:rPr>
          <w:b/>
          <w:bCs/>
          <w:noProof/>
        </w:rPr>
        <w:sectPr w:rsidR="0057547B">
          <w:footerReference w:type="default" r:id="rId12"/>
          <w:pgSz w:w="12240" w:h="15840" w:code="1"/>
          <w:pgMar w:top="1152" w:right="1152" w:bottom="1152" w:left="1152" w:header="720" w:footer="720" w:gutter="0"/>
          <w:pgNumType w:start="1"/>
          <w:cols w:space="720"/>
          <w:docGrid w:linePitch="360"/>
        </w:sectPr>
      </w:pPr>
    </w:p>
    <w:p w14:paraId="46B41DAD" w14:textId="77777777" w:rsidR="000555E5" w:rsidRDefault="000555E5">
      <w:pPr>
        <w:pStyle w:val="Heading1"/>
        <w:rPr>
          <w:bCs/>
        </w:rPr>
      </w:pPr>
      <w:bookmarkStart w:id="1" w:name="_Toc479691742"/>
      <w:bookmarkStart w:id="2" w:name="_Toc482978863"/>
      <w:bookmarkStart w:id="3" w:name="_Toc468353965"/>
      <w:bookmarkStart w:id="4" w:name="_Toc274743223"/>
      <w:bookmarkEnd w:id="0"/>
      <w:r>
        <w:rPr>
          <w:bCs/>
        </w:rPr>
        <w:lastRenderedPageBreak/>
        <w:t>Introduction</w:t>
      </w:r>
      <w:bookmarkEnd w:id="1"/>
      <w:bookmarkEnd w:id="2"/>
    </w:p>
    <w:p w14:paraId="11455B3A" w14:textId="77777777" w:rsidR="00910D1F" w:rsidRDefault="00910D1F" w:rsidP="00910D1F">
      <w:pPr>
        <w:pStyle w:val="BodyText"/>
      </w:pPr>
      <w:r>
        <w:t xml:space="preserve">The Policy and Program Studies Service (PPSS) of the U.S. Department of Education (ED) requests Office of Management and Budget (OMB) clearance for the study design, sampling procedures, and district sample recruitment activities for the Study of Weighted Student Funding and School-Based Budgeting Systems. </w:t>
      </w:r>
      <w:r>
        <w:rPr>
          <w:rFonts w:eastAsia="Calibri"/>
        </w:rPr>
        <w:t>The study will investiga</w:t>
      </w:r>
      <w:bookmarkStart w:id="5" w:name="_GoBack"/>
      <w:bookmarkEnd w:id="5"/>
      <w:r>
        <w:rPr>
          <w:rFonts w:eastAsia="Calibri"/>
        </w:rPr>
        <w:t xml:space="preserve">te how districts vary in their implementation of weighted student funding (WSF) and school-based budgeting (SBB); outcomes in terms of levels of principal autonomy, transparency of resource allocation, and extent to which resources are distributed </w:t>
      </w:r>
      <w:r>
        <w:t>based on student needs</w:t>
      </w:r>
      <w:r>
        <w:rPr>
          <w:rFonts w:eastAsia="Calibri"/>
        </w:rPr>
        <w:t>; interactions of WSF and SBB systems with school choice policies; and challenges that districts may have faced in transitioning to and implementing these systems</w:t>
      </w:r>
      <w:r>
        <w:t>. Data collection will include: a) nationally representative surveys of districts and principals, and b) case studies of nine districts that are implementing WSF systems, including site visits, in-person interviews with district officials and school staff, and analysis of relevant extant data such as descriptive documents, budgets, and audited expenditure files.</w:t>
      </w:r>
    </w:p>
    <w:p w14:paraId="2830FE8F" w14:textId="77777777" w:rsidR="00D0445C" w:rsidRDefault="00D0445C" w:rsidP="00D0445C">
      <w:pPr>
        <w:pStyle w:val="BodyText"/>
        <w:rPr>
          <w:rFonts w:ascii="Calibri" w:hAnsi="Calibri"/>
        </w:rPr>
      </w:pPr>
      <w:r>
        <w:t xml:space="preserve">The clearance request </w:t>
      </w:r>
      <w:r>
        <w:rPr>
          <w:szCs w:val="23"/>
        </w:rPr>
        <w:t>for this study will be submitted in two stages in order to provide more advance time to recruit sample districts, which sometimes have their own extended application processes for conducting research in their districts, before the start of the school year and the actual data collection</w:t>
      </w:r>
      <w:r>
        <w:rPr>
          <w:rFonts w:cs="TimesNewRomanPSMT"/>
          <w:szCs w:val="23"/>
        </w:rPr>
        <w:t xml:space="preserve">. In this clearance package, we are requesting approval for </w:t>
      </w:r>
      <w:r>
        <w:rPr>
          <w:szCs w:val="23"/>
        </w:rPr>
        <w:t>the study design, including sampling plan and data collection procedures, as well as for recruiting the sample districts. The</w:t>
      </w:r>
      <w:r>
        <w:rPr>
          <w:rFonts w:ascii="Calibri" w:hAnsi="Calibri"/>
        </w:rPr>
        <w:t xml:space="preserve"> data collection instruments will be submitted through a separate OMB package.</w:t>
      </w:r>
    </w:p>
    <w:p w14:paraId="7AA27189" w14:textId="77777777" w:rsidR="00D0445C" w:rsidRDefault="00D0445C" w:rsidP="00D0445C">
      <w:pPr>
        <w:pStyle w:val="BodyText"/>
        <w:spacing w:after="120"/>
        <w:rPr>
          <w:rFonts w:ascii="Calibri" w:hAnsi="Calibri"/>
        </w:rPr>
      </w:pPr>
      <w:r>
        <w:rPr>
          <w:rFonts w:ascii="Calibri" w:hAnsi="Calibri"/>
          <w:szCs w:val="23"/>
        </w:rPr>
        <w:t>This</w:t>
      </w:r>
      <w:r>
        <w:rPr>
          <w:rFonts w:ascii="Calibri" w:hAnsi="Calibri"/>
        </w:rPr>
        <w:t xml:space="preserve"> OMB package contains two documents: </w:t>
      </w:r>
    </w:p>
    <w:p w14:paraId="44EAA0CF" w14:textId="77777777" w:rsidR="00D0445C" w:rsidRDefault="00D0445C" w:rsidP="00D0445C">
      <w:pPr>
        <w:pStyle w:val="BodyText"/>
        <w:numPr>
          <w:ilvl w:val="0"/>
          <w:numId w:val="19"/>
        </w:numPr>
        <w:spacing w:after="120"/>
        <w:ind w:left="720"/>
        <w:rPr>
          <w:rFonts w:ascii="Calibri" w:hAnsi="Calibri"/>
        </w:rPr>
      </w:pPr>
      <w:r>
        <w:rPr>
          <w:rFonts w:ascii="Calibri" w:hAnsi="Calibri"/>
        </w:rPr>
        <w:t xml:space="preserve">OMB Clearance Request: Part A—Justification </w:t>
      </w:r>
    </w:p>
    <w:p w14:paraId="782811C4" w14:textId="77777777" w:rsidR="00D0445C" w:rsidRDefault="00D0445C" w:rsidP="00D0445C">
      <w:pPr>
        <w:pStyle w:val="BodyText"/>
        <w:numPr>
          <w:ilvl w:val="0"/>
          <w:numId w:val="19"/>
        </w:numPr>
        <w:spacing w:after="0"/>
        <w:ind w:left="720"/>
        <w:rPr>
          <w:rFonts w:ascii="Calibri" w:hAnsi="Calibri"/>
        </w:rPr>
      </w:pPr>
      <w:r>
        <w:rPr>
          <w:rFonts w:ascii="Calibri" w:hAnsi="Calibri"/>
        </w:rPr>
        <w:t>OMB Clearance Request: Part B—Statistical Methods [this document]</w:t>
      </w:r>
    </w:p>
    <w:p w14:paraId="343E93F9" w14:textId="77777777" w:rsidR="00D0445C" w:rsidRDefault="00D0445C" w:rsidP="00D0445C">
      <w:pPr>
        <w:pStyle w:val="BodyText"/>
        <w:spacing w:before="120"/>
        <w:ind w:firstLine="360"/>
        <w:rPr>
          <w:rFonts w:ascii="Calibri" w:hAnsi="Calibri"/>
        </w:rPr>
      </w:pPr>
      <w:r>
        <w:rPr>
          <w:rFonts w:ascii="Calibri" w:hAnsi="Calibri"/>
        </w:rPr>
        <w:t>Note that Part A and Part B both contain an identical study overview (pp. 2-6).</w:t>
      </w:r>
    </w:p>
    <w:p w14:paraId="5FBF9664" w14:textId="77777777" w:rsidR="00D0445C" w:rsidRDefault="00D0445C" w:rsidP="00D0445C">
      <w:pPr>
        <w:pStyle w:val="BodyText"/>
        <w:spacing w:before="360" w:after="120"/>
        <w:rPr>
          <w:rFonts w:ascii="Calibri" w:hAnsi="Calibri"/>
        </w:rPr>
      </w:pPr>
      <w:r>
        <w:rPr>
          <w:rFonts w:ascii="Calibri" w:hAnsi="Calibri"/>
        </w:rPr>
        <w:t>This OMB package also contains the following appendices:</w:t>
      </w:r>
    </w:p>
    <w:p w14:paraId="53F9597C" w14:textId="77777777" w:rsidR="00D0445C" w:rsidRDefault="00D0445C" w:rsidP="00D0445C">
      <w:pPr>
        <w:pStyle w:val="BodyText"/>
        <w:spacing w:after="120"/>
        <w:ind w:left="1530" w:hanging="1170"/>
        <w:rPr>
          <w:rFonts w:ascii="Calibri" w:hAnsi="Calibri"/>
        </w:rPr>
      </w:pPr>
      <w:r>
        <w:rPr>
          <w:rFonts w:ascii="Calibri" w:hAnsi="Calibri"/>
        </w:rPr>
        <w:t xml:space="preserve">Appendix A: </w:t>
      </w:r>
      <w:r w:rsidRPr="005328D3">
        <w:rPr>
          <w:rFonts w:ascii="Calibri" w:hAnsi="Calibri"/>
        </w:rPr>
        <w:t>Notification Letter for Sample Recruitment Chief State School Officer/State Superintendent</w:t>
      </w:r>
    </w:p>
    <w:p w14:paraId="1FEADE1D" w14:textId="77777777" w:rsidR="00D0445C" w:rsidRDefault="00D0445C" w:rsidP="00D0445C">
      <w:pPr>
        <w:pStyle w:val="BodyText"/>
        <w:spacing w:after="120"/>
        <w:ind w:left="360"/>
        <w:rPr>
          <w:rFonts w:ascii="Calibri" w:hAnsi="Calibri"/>
        </w:rPr>
      </w:pPr>
      <w:r>
        <w:rPr>
          <w:rFonts w:ascii="Calibri" w:hAnsi="Calibri"/>
        </w:rPr>
        <w:t xml:space="preserve">Appendix B: </w:t>
      </w:r>
      <w:r w:rsidRPr="005328D3">
        <w:rPr>
          <w:rFonts w:ascii="Calibri" w:hAnsi="Calibri"/>
        </w:rPr>
        <w:t xml:space="preserve">Notification Letter for Sample Recruitment </w:t>
      </w:r>
      <w:r>
        <w:rPr>
          <w:rFonts w:ascii="Calibri" w:hAnsi="Calibri"/>
        </w:rPr>
        <w:t xml:space="preserve">District </w:t>
      </w:r>
      <w:r w:rsidRPr="005328D3">
        <w:rPr>
          <w:rFonts w:ascii="Calibri" w:hAnsi="Calibri"/>
        </w:rPr>
        <w:t>Superintendent</w:t>
      </w:r>
    </w:p>
    <w:p w14:paraId="1057BFE0" w14:textId="77777777" w:rsidR="00D0445C" w:rsidRDefault="00D0445C" w:rsidP="00D0445C">
      <w:pPr>
        <w:pStyle w:val="BodyText"/>
        <w:spacing w:after="120"/>
        <w:ind w:left="360"/>
        <w:rPr>
          <w:rFonts w:ascii="Calibri" w:hAnsi="Calibri"/>
        </w:rPr>
      </w:pPr>
      <w:r>
        <w:rPr>
          <w:rFonts w:ascii="Calibri" w:hAnsi="Calibri"/>
        </w:rPr>
        <w:t xml:space="preserve">Appendix C: </w:t>
      </w:r>
      <w:r w:rsidRPr="005328D3">
        <w:rPr>
          <w:rFonts w:ascii="Calibri" w:hAnsi="Calibri"/>
        </w:rPr>
        <w:t>District Research Application (Generic Text Commonly Required)</w:t>
      </w:r>
    </w:p>
    <w:p w14:paraId="1168B6D7" w14:textId="77777777" w:rsidR="00D0445C" w:rsidRDefault="00D0445C" w:rsidP="00D0445C">
      <w:pPr>
        <w:pStyle w:val="BodyText"/>
        <w:spacing w:after="120"/>
        <w:ind w:left="360"/>
        <w:rPr>
          <w:rFonts w:ascii="Calibri" w:hAnsi="Calibri"/>
        </w:rPr>
      </w:pPr>
      <w:r>
        <w:rPr>
          <w:rFonts w:ascii="Calibri" w:hAnsi="Calibri"/>
        </w:rPr>
        <w:t xml:space="preserve">Appendix D: </w:t>
      </w:r>
      <w:r w:rsidRPr="005328D3">
        <w:rPr>
          <w:rFonts w:ascii="Calibri" w:hAnsi="Calibri"/>
        </w:rPr>
        <w:t>Example District Research Application (Los Angeles Unified School District</w:t>
      </w:r>
      <w:r>
        <w:rPr>
          <w:rFonts w:ascii="Calibri" w:hAnsi="Calibri"/>
        </w:rPr>
        <w:t>)</w:t>
      </w:r>
    </w:p>
    <w:p w14:paraId="047360EB" w14:textId="22B0CC0E" w:rsidR="00910D1F" w:rsidRDefault="00D0445C" w:rsidP="002A7824">
      <w:pPr>
        <w:pStyle w:val="BodyText"/>
        <w:spacing w:after="120" w:line="276" w:lineRule="auto"/>
        <w:ind w:left="360"/>
        <w:rPr>
          <w:rFonts w:ascii="Calibri" w:hAnsi="Calibri"/>
        </w:rPr>
      </w:pPr>
      <w:r>
        <w:rPr>
          <w:rFonts w:ascii="Calibri" w:hAnsi="Calibri"/>
        </w:rPr>
        <w:t xml:space="preserve">Appendix E: </w:t>
      </w:r>
      <w:r w:rsidRPr="005328D3">
        <w:rPr>
          <w:rFonts w:ascii="Calibri" w:hAnsi="Calibri"/>
        </w:rPr>
        <w:t xml:space="preserve">District </w:t>
      </w:r>
      <w:r>
        <w:rPr>
          <w:rFonts w:ascii="Calibri" w:hAnsi="Calibri"/>
        </w:rPr>
        <w:t>A</w:t>
      </w:r>
      <w:r w:rsidRPr="005328D3">
        <w:rPr>
          <w:rFonts w:ascii="Calibri" w:hAnsi="Calibri"/>
        </w:rPr>
        <w:t xml:space="preserve">dministrator </w:t>
      </w:r>
      <w:r>
        <w:rPr>
          <w:rFonts w:ascii="Calibri" w:hAnsi="Calibri"/>
        </w:rPr>
        <w:t>C</w:t>
      </w:r>
      <w:r w:rsidRPr="005328D3">
        <w:rPr>
          <w:rFonts w:ascii="Calibri" w:hAnsi="Calibri"/>
        </w:rPr>
        <w:t>onversation (Introductory Invitation Email)</w:t>
      </w:r>
    </w:p>
    <w:p w14:paraId="672E50E0" w14:textId="77777777" w:rsidR="000555E5" w:rsidRDefault="000555E5">
      <w:pPr>
        <w:spacing w:after="0" w:line="240" w:lineRule="auto"/>
        <w:rPr>
          <w:rFonts w:eastAsia="Times New Roman"/>
          <w:sz w:val="23"/>
          <w:szCs w:val="24"/>
        </w:rPr>
      </w:pPr>
      <w:r>
        <w:br w:type="page"/>
      </w:r>
    </w:p>
    <w:p w14:paraId="76E199A2" w14:textId="406F7A1B" w:rsidR="000555E5" w:rsidRDefault="000555E5" w:rsidP="00442EDC">
      <w:pPr>
        <w:pStyle w:val="Heading1"/>
        <w:rPr>
          <w:rFonts w:cs="Arial"/>
          <w:sz w:val="32"/>
        </w:rPr>
      </w:pPr>
      <w:bookmarkStart w:id="6" w:name="_Toc479691743"/>
      <w:bookmarkStart w:id="7" w:name="_Toc482978864"/>
      <w:bookmarkStart w:id="8" w:name="_Toc468353964"/>
      <w:bookmarkStart w:id="9" w:name="_Toc471750234"/>
      <w:bookmarkStart w:id="10" w:name="_Toc459811999"/>
      <w:bookmarkStart w:id="11" w:name="_Toc465415008"/>
      <w:r>
        <w:lastRenderedPageBreak/>
        <w:t>Study Overview</w:t>
      </w:r>
      <w:bookmarkEnd w:id="6"/>
      <w:bookmarkEnd w:id="7"/>
    </w:p>
    <w:p w14:paraId="47CFCA25" w14:textId="0FAC3BC6" w:rsidR="000555E5" w:rsidRDefault="000555E5" w:rsidP="00442EDC">
      <w:pPr>
        <w:pStyle w:val="Heading2"/>
      </w:pPr>
      <w:bookmarkStart w:id="12" w:name="_Toc479691744"/>
      <w:bookmarkStart w:id="13" w:name="_Toc482978865"/>
      <w:r>
        <w:t>Study Purpose and Policy Context</w:t>
      </w:r>
      <w:bookmarkEnd w:id="12"/>
      <w:bookmarkEnd w:id="13"/>
    </w:p>
    <w:p w14:paraId="098AD5AC" w14:textId="2EEF446E" w:rsidR="000555E5" w:rsidRPr="00EA3E5F" w:rsidRDefault="00111BAE" w:rsidP="00442EDC">
      <w:pPr>
        <w:pStyle w:val="NoSpacing"/>
        <w:spacing w:after="240"/>
        <w:rPr>
          <w:sz w:val="23"/>
          <w:szCs w:val="23"/>
        </w:rPr>
      </w:pPr>
      <w:r>
        <w:rPr>
          <w:sz w:val="23"/>
          <w:szCs w:val="23"/>
        </w:rPr>
        <w:t xml:space="preserve">The purpose of this study is to examine how districts have implemented school-based budgeting (SBB) systems—and more specifically, weighted student funding (WSF) systems, a type of SBB system that uses weights to distribute funds based on student needs-- for allocating funds to schools and how these districts and their schools compare with districts using traditional approaches to allocating school resources. </w:t>
      </w:r>
      <w:r w:rsidR="000555E5" w:rsidRPr="00EA3E5F">
        <w:rPr>
          <w:sz w:val="23"/>
          <w:szCs w:val="23"/>
        </w:rPr>
        <w:t xml:space="preserve">SBB and WSF systems typically allocate dollars to schools using student-based formulas and devolve decision-making regarding resource use to the school level rather than the central office. This study seeks to understand how SBB systems have been implemented; the outcomes of such systems in terms of levels of principal autonomy, transparency of resource allocation, empowerment of stakeholders in the decision-making process, and </w:t>
      </w:r>
      <w:r w:rsidR="000555E5">
        <w:rPr>
          <w:sz w:val="23"/>
          <w:szCs w:val="23"/>
        </w:rPr>
        <w:t xml:space="preserve">the extent to which </w:t>
      </w:r>
      <w:r w:rsidR="000555E5" w:rsidRPr="00093A59">
        <w:rPr>
          <w:sz w:val="23"/>
          <w:szCs w:val="23"/>
        </w:rPr>
        <w:t>resources are distributed based on student needs</w:t>
      </w:r>
      <w:r w:rsidR="000555E5" w:rsidRPr="00EA3E5F">
        <w:rPr>
          <w:sz w:val="23"/>
          <w:szCs w:val="23"/>
        </w:rPr>
        <w:t xml:space="preserve">; the interactions of </w:t>
      </w:r>
      <w:r w:rsidR="000555E5">
        <w:rPr>
          <w:sz w:val="23"/>
          <w:szCs w:val="23"/>
        </w:rPr>
        <w:t xml:space="preserve">WSF and </w:t>
      </w:r>
      <w:r w:rsidR="000555E5" w:rsidRPr="00EA3E5F">
        <w:rPr>
          <w:sz w:val="23"/>
          <w:szCs w:val="23"/>
        </w:rPr>
        <w:t>SBB systems with school choice policies; and the challenges that these districts experienced implementing changes to their resource allocation systems.</w:t>
      </w:r>
    </w:p>
    <w:p w14:paraId="2E33CE00" w14:textId="6B738E66" w:rsidR="000555E5" w:rsidRDefault="000555E5" w:rsidP="00442EDC">
      <w:pPr>
        <w:pStyle w:val="BodyText"/>
        <w:rPr>
          <w:rFonts w:eastAsia="Calibri"/>
        </w:rPr>
      </w:pPr>
      <w:r>
        <w:rPr>
          <w:rFonts w:eastAsia="Calibri"/>
        </w:rPr>
        <w:t>Most school districts in the United States distribute staffing and other resources to schools based on total student enrollment. School staffing allocations are generally provided in the form of full-time equivalents (FTEs) of teachers, school administrators, and other types of school staff, without regard for the different salary levels paid to individual staff. Education researchers and policymakers have raised concerns that because high-poverty schools often have teachers with less experience, this approach can result in actual per-pupil expenditures being lower in higher-need schools compared with other schools in the district (</w:t>
      </w:r>
      <w:proofErr w:type="spellStart"/>
      <w:r>
        <w:rPr>
          <w:rFonts w:eastAsia="Calibri"/>
        </w:rPr>
        <w:t>Roza</w:t>
      </w:r>
      <w:proofErr w:type="spellEnd"/>
      <w:r>
        <w:rPr>
          <w:rFonts w:eastAsia="Calibri"/>
        </w:rPr>
        <w:t xml:space="preserve"> and Hill 2003). </w:t>
      </w:r>
      <w:r>
        <w:rPr>
          <w:rFonts w:eastAsia="Calibri"/>
          <w:szCs w:val="22"/>
        </w:rPr>
        <w:t xml:space="preserve">Supplemental support for student needs is provided by federal and state-funded categorical programs that often distribute predetermined FTEs of staff. When funds from these categorical programs are made available to school sites, they are bound (or perceived to be bound) by certain restrictions on how the money may be spent. In addition, a large proportion of school budgets are already committed due to staffing obligations covered by collective bargaining agreements. </w:t>
      </w:r>
      <w:r>
        <w:rPr>
          <w:rFonts w:eastAsia="Calibri"/>
        </w:rPr>
        <w:t xml:space="preserve">Therefore, traditional systems of resource allocation provide little flexibility for principals to shift resources to respond to the unique needs of their school and increase efficiency (producing higher outcomes with a given budget). </w:t>
      </w:r>
    </w:p>
    <w:p w14:paraId="1472976A" w14:textId="5298602C" w:rsidR="000555E5" w:rsidRDefault="000555E5" w:rsidP="00442EDC">
      <w:pPr>
        <w:pStyle w:val="BodyText"/>
        <w:rPr>
          <w:rFonts w:eastAsia="Calibri"/>
        </w:rPr>
      </w:pPr>
      <w:r>
        <w:rPr>
          <w:rFonts w:eastAsia="Calibri"/>
        </w:rPr>
        <w:t xml:space="preserve">Some school districts have experimented with the use of SBB systems as a way to improve both resource efficiency and funding equity while enhancing accountability. In these districts, education leaders have implemented policies that shift decision-making responsibility regarding the utilization of resources away from the central office to schools. Specifically, the use of SBB has emerged as an alternative to the more traditional allocation systems; school districts utilizing SBB allocate dollars to schools rather than staffing positions. WSF systems specifically emphasize equity by differentially distributing dollars to schools on the basis of the individual learning needs of the students served, with more dollars distributed to school for students who may cost more to educate, such as those who are socioeconomically disadvantaged (e.g., from low-income households), English learners, and students with disabilities. </w:t>
      </w:r>
    </w:p>
    <w:p w14:paraId="0B2786F1" w14:textId="4F20BF52" w:rsidR="000555E5" w:rsidRDefault="000555E5" w:rsidP="00442EDC">
      <w:pPr>
        <w:pStyle w:val="BodyText"/>
        <w:rPr>
          <w:rFonts w:eastAsia="Calibri"/>
          <w:szCs w:val="22"/>
        </w:rPr>
      </w:pPr>
      <w:r>
        <w:rPr>
          <w:rFonts w:eastAsia="Calibri"/>
        </w:rPr>
        <w:t>Similar to other systemic reforms, implementation of SBB will vary according to how districts choose to design the policy. Canada’s Edmonton school district was one of the first to implement a large-scale SBB</w:t>
      </w:r>
      <w:r>
        <w:rPr>
          <w:rFonts w:eastAsia="Calibri"/>
          <w:color w:val="000000"/>
          <w:szCs w:val="22"/>
        </w:rPr>
        <w:t xml:space="preserve"> model in 1974 (named Results-Based Budgeting) that allowed schools to directly plan approximately 80 percent of the district’s budget with input from teachers, students, parents, and the community. A number of U.S. districts have also implemented SBB policies for allocating dollars directly to schools. In an effort to distribute dollars more equitably, some systems have employed different types of student weights and other factors to provide additional resources to schools to account for the higher costs </w:t>
      </w:r>
      <w:r>
        <w:rPr>
          <w:rFonts w:eastAsia="Calibri"/>
          <w:color w:val="000000"/>
          <w:szCs w:val="22"/>
        </w:rPr>
        <w:lastRenderedPageBreak/>
        <w:t>associated with various student need and scale of operation factors. These weights and factors have often included:</w:t>
      </w:r>
    </w:p>
    <w:p w14:paraId="06707F54" w14:textId="77777777" w:rsidR="000555E5" w:rsidRDefault="000555E5" w:rsidP="000555E5">
      <w:pPr>
        <w:pStyle w:val="Bullet1"/>
        <w:spacing w:after="120"/>
      </w:pPr>
      <w:r>
        <w:t>Students in specific grade or schooling levels (i.e., elementary, middle, or high)</w:t>
      </w:r>
    </w:p>
    <w:p w14:paraId="24D180B3" w14:textId="77777777" w:rsidR="000555E5" w:rsidRDefault="000555E5" w:rsidP="000555E5">
      <w:pPr>
        <w:pStyle w:val="Bullet1"/>
        <w:spacing w:after="120"/>
      </w:pPr>
      <w:r>
        <w:t>Students from low-income families</w:t>
      </w:r>
    </w:p>
    <w:p w14:paraId="14431BF0" w14:textId="77777777" w:rsidR="000555E5" w:rsidRDefault="000555E5" w:rsidP="000555E5">
      <w:pPr>
        <w:pStyle w:val="Bullet1"/>
        <w:spacing w:after="120"/>
      </w:pPr>
      <w:r>
        <w:t>English learners</w:t>
      </w:r>
    </w:p>
    <w:p w14:paraId="6D936F8C" w14:textId="77777777" w:rsidR="000555E5" w:rsidRDefault="000555E5" w:rsidP="000555E5">
      <w:pPr>
        <w:pStyle w:val="Bullet1"/>
        <w:spacing w:after="120"/>
      </w:pPr>
      <w:r>
        <w:t>Students not meeting educational targets</w:t>
      </w:r>
    </w:p>
    <w:p w14:paraId="4C2B31E3" w14:textId="77777777" w:rsidR="000555E5" w:rsidRDefault="000555E5" w:rsidP="000555E5">
      <w:pPr>
        <w:pStyle w:val="Bullet1"/>
        <w:spacing w:after="120"/>
      </w:pPr>
      <w:r>
        <w:t>Gifted and talented students</w:t>
      </w:r>
    </w:p>
    <w:p w14:paraId="3025BE30" w14:textId="77777777" w:rsidR="000555E5" w:rsidRDefault="000555E5" w:rsidP="000555E5">
      <w:pPr>
        <w:pStyle w:val="Bullet1"/>
        <w:spacing w:after="120"/>
      </w:pPr>
      <w:r>
        <w:t>Students with disabilities who are eligible for special education services</w:t>
      </w:r>
    </w:p>
    <w:p w14:paraId="32FE006B" w14:textId="77777777" w:rsidR="000555E5" w:rsidRDefault="000555E5" w:rsidP="000555E5">
      <w:pPr>
        <w:pStyle w:val="Bullet1"/>
        <w:spacing w:after="120"/>
      </w:pPr>
      <w:r>
        <w:t>Schools serving a small population of students</w:t>
      </w:r>
    </w:p>
    <w:p w14:paraId="5562DF90" w14:textId="34D2D735" w:rsidR="000555E5" w:rsidRPr="00EA3E5F" w:rsidRDefault="000555E5" w:rsidP="00442EDC">
      <w:pPr>
        <w:pStyle w:val="BodyText"/>
        <w:rPr>
          <w:szCs w:val="23"/>
        </w:rPr>
      </w:pPr>
      <w:r>
        <w:t xml:space="preserve">The existing literature base on SBB and WSF is limited, and relatively few studies have investigated how these systems operate and what outcomes they have achieved related to resource allocation, such as whether implementation is associated with significant increases in the equity with which resource are distributed, increased school autonomy, or changes in school programmatic decisions. This study will help to fill this gap in the </w:t>
      </w:r>
      <w:r w:rsidRPr="00EA3E5F">
        <w:rPr>
          <w:szCs w:val="23"/>
        </w:rPr>
        <w:t>literature through an in-depth qualitative and quantitative analysis of data from the following sources:</w:t>
      </w:r>
    </w:p>
    <w:p w14:paraId="4D277738" w14:textId="77777777" w:rsidR="000555E5" w:rsidRPr="00EA3E5F" w:rsidRDefault="000555E5" w:rsidP="000555E5">
      <w:pPr>
        <w:pStyle w:val="ListNumber"/>
        <w:numPr>
          <w:ilvl w:val="0"/>
          <w:numId w:val="24"/>
        </w:numPr>
        <w:ind w:left="720"/>
        <w:rPr>
          <w:sz w:val="23"/>
          <w:szCs w:val="23"/>
        </w:rPr>
      </w:pPr>
      <w:r w:rsidRPr="00EA3E5F">
        <w:rPr>
          <w:sz w:val="23"/>
          <w:szCs w:val="23"/>
        </w:rPr>
        <w:t>Nationally representative surveys of district administrators and school principals</w:t>
      </w:r>
    </w:p>
    <w:p w14:paraId="7E158C5C" w14:textId="11DB05D8" w:rsidR="000555E5" w:rsidRPr="00EA3E5F" w:rsidRDefault="000555E5" w:rsidP="000555E5">
      <w:pPr>
        <w:pStyle w:val="ListNumber"/>
        <w:numPr>
          <w:ilvl w:val="0"/>
          <w:numId w:val="24"/>
        </w:numPr>
        <w:ind w:left="720"/>
        <w:rPr>
          <w:rFonts w:asciiTheme="minorHAnsi" w:hAnsiTheme="minorHAnsi" w:cs="Calibri"/>
          <w:bCs/>
          <w:color w:val="000000"/>
          <w:sz w:val="23"/>
          <w:szCs w:val="23"/>
        </w:rPr>
      </w:pPr>
      <w:r w:rsidRPr="00EA3E5F">
        <w:rPr>
          <w:sz w:val="23"/>
          <w:szCs w:val="23"/>
        </w:rPr>
        <w:t xml:space="preserve">Case studies of nine WSF school districts, which include interviews and focus groups with district and school officials/staff as well as extant data </w:t>
      </w:r>
      <w:r w:rsidRPr="00EA3E5F">
        <w:rPr>
          <w:rFonts w:asciiTheme="minorHAnsi" w:hAnsiTheme="minorHAnsi" w:cs="Calibri"/>
          <w:bCs/>
          <w:color w:val="000000"/>
          <w:sz w:val="23"/>
          <w:szCs w:val="23"/>
        </w:rPr>
        <w:t xml:space="preserve">collection. </w:t>
      </w:r>
    </w:p>
    <w:p w14:paraId="4AA349EF" w14:textId="0DC07D5C" w:rsidR="000555E5" w:rsidRPr="00EA3E5F" w:rsidRDefault="000555E5" w:rsidP="00442EDC">
      <w:pPr>
        <w:pStyle w:val="BodyText"/>
        <w:rPr>
          <w:szCs w:val="23"/>
        </w:rPr>
      </w:pPr>
      <w:r w:rsidRPr="00EA3E5F">
        <w:rPr>
          <w:szCs w:val="23"/>
        </w:rPr>
        <w:t>The study will address four primary study questions:</w:t>
      </w:r>
    </w:p>
    <w:p w14:paraId="7558452A" w14:textId="77777777" w:rsidR="000555E5" w:rsidRPr="00A265BE" w:rsidRDefault="000555E5" w:rsidP="000555E5">
      <w:pPr>
        <w:pStyle w:val="ListParagraph"/>
        <w:numPr>
          <w:ilvl w:val="0"/>
          <w:numId w:val="20"/>
        </w:numPr>
        <w:spacing w:after="0" w:line="240" w:lineRule="auto"/>
        <w:contextualSpacing w:val="0"/>
        <w:rPr>
          <w:sz w:val="23"/>
          <w:szCs w:val="23"/>
        </w:rPr>
      </w:pPr>
      <w:r w:rsidRPr="00A265BE">
        <w:rPr>
          <w:sz w:val="23"/>
          <w:szCs w:val="23"/>
        </w:rPr>
        <w:t>How are resources allocated to schools in districts with SBB systems compared with districts with more traditional resource allocation practices?</w:t>
      </w:r>
    </w:p>
    <w:p w14:paraId="56625950" w14:textId="77777777" w:rsidR="000555E5" w:rsidRPr="00A265BE" w:rsidRDefault="000555E5" w:rsidP="000555E5">
      <w:pPr>
        <w:pStyle w:val="ListParagraph"/>
        <w:numPr>
          <w:ilvl w:val="0"/>
          <w:numId w:val="20"/>
        </w:numPr>
        <w:spacing w:after="0" w:line="240" w:lineRule="auto"/>
        <w:contextualSpacing w:val="0"/>
        <w:rPr>
          <w:sz w:val="23"/>
          <w:szCs w:val="23"/>
        </w:rPr>
      </w:pPr>
      <w:r w:rsidRPr="00A265BE">
        <w:rPr>
          <w:sz w:val="23"/>
          <w:szCs w:val="23"/>
        </w:rPr>
        <w:t xml:space="preserve">In what ways do </w:t>
      </w:r>
      <w:r w:rsidRPr="00A265BE">
        <w:rPr>
          <w:rFonts w:eastAsia="Times New Roman" w:cs="Calibri"/>
          <w:sz w:val="23"/>
          <w:szCs w:val="23"/>
        </w:rPr>
        <w:t>schools</w:t>
      </w:r>
      <w:r w:rsidRPr="00A265BE">
        <w:rPr>
          <w:sz w:val="23"/>
          <w:szCs w:val="23"/>
        </w:rPr>
        <w:t xml:space="preserve"> have autonomy and control over resource allocation decisions, and how does this vary between districts with SBB and other districts?</w:t>
      </w:r>
    </w:p>
    <w:p w14:paraId="1609320C" w14:textId="77777777" w:rsidR="000555E5" w:rsidRPr="00A265BE" w:rsidRDefault="000555E5" w:rsidP="000555E5">
      <w:pPr>
        <w:pStyle w:val="ListParagraph"/>
        <w:numPr>
          <w:ilvl w:val="0"/>
          <w:numId w:val="20"/>
        </w:numPr>
        <w:spacing w:after="0" w:line="240" w:lineRule="auto"/>
        <w:contextualSpacing w:val="0"/>
        <w:rPr>
          <w:sz w:val="23"/>
          <w:szCs w:val="23"/>
        </w:rPr>
      </w:pPr>
      <w:r w:rsidRPr="00A265BE">
        <w:rPr>
          <w:sz w:val="23"/>
          <w:szCs w:val="23"/>
        </w:rPr>
        <w:t xml:space="preserve">How has the implementation of SBB in districts using weights </w:t>
      </w:r>
      <w:r w:rsidRPr="00A265BE">
        <w:rPr>
          <w:rFonts w:eastAsia="Times New Roman"/>
          <w:sz w:val="23"/>
          <w:szCs w:val="23"/>
        </w:rPr>
        <w:t xml:space="preserve">to adjust funding based on student needs </w:t>
      </w:r>
      <w:r w:rsidRPr="00A265BE">
        <w:rPr>
          <w:sz w:val="23"/>
          <w:szCs w:val="23"/>
        </w:rPr>
        <w:t>affected the distribution of dollars to schools?</w:t>
      </w:r>
    </w:p>
    <w:p w14:paraId="79D1C3FB" w14:textId="77777777" w:rsidR="000555E5" w:rsidRPr="00A265BE" w:rsidRDefault="000555E5" w:rsidP="000555E5">
      <w:pPr>
        <w:pStyle w:val="ListParagraph"/>
        <w:numPr>
          <w:ilvl w:val="0"/>
          <w:numId w:val="20"/>
        </w:numPr>
        <w:spacing w:after="0" w:line="240" w:lineRule="auto"/>
        <w:contextualSpacing w:val="0"/>
        <w:rPr>
          <w:sz w:val="23"/>
          <w:szCs w:val="23"/>
        </w:rPr>
      </w:pPr>
      <w:r w:rsidRPr="00A265BE">
        <w:rPr>
          <w:sz w:val="23"/>
          <w:szCs w:val="23"/>
        </w:rPr>
        <w:t>What challenges did districts and schools experience in implementing SBB, and how did they respond to those challenges?</w:t>
      </w:r>
    </w:p>
    <w:p w14:paraId="7F587B47" w14:textId="77777777" w:rsidR="000555E5" w:rsidRDefault="000555E5" w:rsidP="00442EDC">
      <w:pPr>
        <w:pStyle w:val="Heading2"/>
      </w:pPr>
      <w:bookmarkStart w:id="14" w:name="_Toc479691745"/>
      <w:bookmarkStart w:id="15" w:name="_Toc482978866"/>
      <w:bookmarkEnd w:id="8"/>
      <w:bookmarkEnd w:id="9"/>
      <w:bookmarkEnd w:id="10"/>
      <w:bookmarkEnd w:id="11"/>
      <w:r>
        <w:t>Conceptual Approach</w:t>
      </w:r>
      <w:bookmarkEnd w:id="14"/>
      <w:bookmarkEnd w:id="15"/>
    </w:p>
    <w:p w14:paraId="007E3FD1" w14:textId="709C3BE4" w:rsidR="000555E5" w:rsidRPr="00A265BE" w:rsidRDefault="000555E5" w:rsidP="00442EDC">
      <w:pPr>
        <w:pStyle w:val="BodyText"/>
        <w:tabs>
          <w:tab w:val="left" w:pos="2340"/>
        </w:tabs>
      </w:pPr>
      <w:r>
        <w:t xml:space="preserve">Under a SBB system, changes in educational resource allocation and practice are thought to occur as a result of moving to a decentralized system that distributes dollars to schools coupled with enhanced principal decision-making autonomy. Greater autonomy will allow schools to improve the efficiency and appropriateness of resource usage and educational practice for their own students, which will translate into improved outcomes for students. SBB also often includes greater stakeholder involvement in decision-making and aims for more transparency in resource allocation systems. Under WSF systems, resources are also distributed with a greater focus on equity, with schools with higher student needs receiving more funds. Exhibit 1 provides a graphical depiction of a simple theory of action illustrating the underlying mechanism that links various SBB policy components to both resource allocation and educational practice outcomes and student outcomes. The discussion that follows describes how these SBB components work together and link to </w:t>
      </w:r>
      <w:r w:rsidRPr="00A265BE">
        <w:t>these outcomes. SBB</w:t>
      </w:r>
      <w:r>
        <w:t xml:space="preserve"> typically includes all or some of these components, and the focus of this study is on the prevalence of each component and the relationships among them.</w:t>
      </w:r>
    </w:p>
    <w:p w14:paraId="0662F37F" w14:textId="77777777" w:rsidR="000555E5" w:rsidRPr="00885663" w:rsidRDefault="000555E5" w:rsidP="00885663">
      <w:pPr>
        <w:pStyle w:val="ExhibitTitle"/>
        <w:rPr>
          <w:rFonts w:eastAsia="Calibri"/>
        </w:rPr>
      </w:pPr>
      <w:proofErr w:type="gramStart"/>
      <w:r w:rsidRPr="00885663">
        <w:rPr>
          <w:rFonts w:eastAsia="Calibri"/>
        </w:rPr>
        <w:lastRenderedPageBreak/>
        <w:t>Exhibit 1.</w:t>
      </w:r>
      <w:proofErr w:type="gramEnd"/>
      <w:r w:rsidRPr="00885663">
        <w:rPr>
          <w:rFonts w:eastAsia="Calibri"/>
        </w:rPr>
        <w:t xml:space="preserve"> Theory of Action Linking School-Based Budgeting (SBB) Policy Components to Changes in Resource Allocation and Improvements in School-Level Achievement</w:t>
      </w:r>
    </w:p>
    <w:p w14:paraId="1D23F5F4" w14:textId="77777777" w:rsidR="000555E5" w:rsidRDefault="000555E5" w:rsidP="00442EDC">
      <w:pPr>
        <w:pStyle w:val="BodyText"/>
      </w:pPr>
      <w:r>
        <w:rPr>
          <w:noProof/>
        </w:rPr>
        <w:drawing>
          <wp:inline distT="0" distB="0" distL="0" distR="0" wp14:anchorId="7B4024F0" wp14:editId="66D6137B">
            <wp:extent cx="5943600" cy="1618644"/>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1618644"/>
                    </a:xfrm>
                    <a:prstGeom prst="rect">
                      <a:avLst/>
                    </a:prstGeom>
                    <a:noFill/>
                  </pic:spPr>
                </pic:pic>
              </a:graphicData>
            </a:graphic>
          </wp:inline>
        </w:drawing>
      </w:r>
    </w:p>
    <w:p w14:paraId="079F5410" w14:textId="218F82D9" w:rsidR="000555E5" w:rsidRPr="008832A5" w:rsidRDefault="000555E5" w:rsidP="00442EDC">
      <w:pPr>
        <w:spacing w:after="240" w:line="240" w:lineRule="auto"/>
        <w:rPr>
          <w:sz w:val="23"/>
          <w:szCs w:val="23"/>
        </w:rPr>
      </w:pPr>
      <w:proofErr w:type="gramStart"/>
      <w:r w:rsidRPr="008832A5">
        <w:rPr>
          <w:b/>
          <w:sz w:val="23"/>
          <w:szCs w:val="23"/>
        </w:rPr>
        <w:t>Autonomy.</w:t>
      </w:r>
      <w:proofErr w:type="gramEnd"/>
      <w:r w:rsidRPr="008832A5">
        <w:rPr>
          <w:sz w:val="23"/>
          <w:szCs w:val="23"/>
        </w:rPr>
        <w:t xml:space="preserve"> </w:t>
      </w:r>
      <w:r>
        <w:rPr>
          <w:sz w:val="23"/>
          <w:szCs w:val="23"/>
        </w:rPr>
        <w:t>It has been argued that u</w:t>
      </w:r>
      <w:r>
        <w:rPr>
          <w:spacing w:val="-2"/>
        </w:rPr>
        <w:t>nder traditional resource allocation systems school leaders are given little discretion over</w:t>
      </w:r>
      <w:r>
        <w:t xml:space="preserve"> how dollars are spent at their </w:t>
      </w:r>
      <w:proofErr w:type="gramStart"/>
      <w:r>
        <w:t>schools,</w:t>
      </w:r>
      <w:proofErr w:type="gramEnd"/>
      <w:r>
        <w:t xml:space="preserve"> and the process of allocating resources becomes more </w:t>
      </w:r>
      <w:r>
        <w:rPr>
          <w:spacing w:val="-2"/>
        </w:rPr>
        <w:t>of an exercise in compliance rather than thoughtful planning to ensure that a more efficient combination</w:t>
      </w:r>
      <w:r>
        <w:t xml:space="preserve"> of resources is being employed to meet the individual needs of students. The impact of autonomy on student achievement is unclear, however, and it may depend on exactly what types of staff and other resources principals have authority to allocate. International studies have suggested that principal autonomy is associated with higher student achievement in high-achieving countries (</w:t>
      </w:r>
      <w:proofErr w:type="spellStart"/>
      <w:r>
        <w:t>Hanushek</w:t>
      </w:r>
      <w:proofErr w:type="spellEnd"/>
      <w:r>
        <w:t xml:space="preserve"> et al. 2013), but that autonomy in hiring decisions is associated with higher achievement while autonomy in formulating the school budget is not (</w:t>
      </w:r>
      <w:proofErr w:type="spellStart"/>
      <w:r>
        <w:t>Woessmann</w:t>
      </w:r>
      <w:proofErr w:type="spellEnd"/>
      <w:r>
        <w:t xml:space="preserve"> et al. 2007). </w:t>
      </w:r>
      <w:r>
        <w:rPr>
          <w:sz w:val="23"/>
          <w:szCs w:val="23"/>
        </w:rPr>
        <w:t xml:space="preserve">SBB systems </w:t>
      </w:r>
      <w:r w:rsidRPr="008832A5">
        <w:rPr>
          <w:sz w:val="23"/>
          <w:szCs w:val="23"/>
        </w:rPr>
        <w:t>provid</w:t>
      </w:r>
      <w:r>
        <w:rPr>
          <w:sz w:val="23"/>
          <w:szCs w:val="23"/>
        </w:rPr>
        <w:t>e</w:t>
      </w:r>
      <w:r w:rsidRPr="008832A5">
        <w:rPr>
          <w:sz w:val="23"/>
          <w:szCs w:val="23"/>
        </w:rPr>
        <w:t xml:space="preserve"> </w:t>
      </w:r>
      <w:r>
        <w:rPr>
          <w:sz w:val="23"/>
          <w:szCs w:val="23"/>
        </w:rPr>
        <w:t xml:space="preserve">schools with </w:t>
      </w:r>
      <w:r w:rsidRPr="008832A5">
        <w:rPr>
          <w:sz w:val="23"/>
          <w:szCs w:val="23"/>
        </w:rPr>
        <w:t xml:space="preserve">increased spending autonomy over the dollars they receive. This may allow for improved resource allocation </w:t>
      </w:r>
      <w:r>
        <w:rPr>
          <w:sz w:val="23"/>
          <w:szCs w:val="23"/>
        </w:rPr>
        <w:t xml:space="preserve">by allowing </w:t>
      </w:r>
      <w:r w:rsidRPr="008832A5">
        <w:rPr>
          <w:sz w:val="23"/>
          <w:szCs w:val="23"/>
        </w:rPr>
        <w:t>those who are closest to students and arguably most knowledgeable about how to best address their educational needs</w:t>
      </w:r>
      <w:r>
        <w:rPr>
          <w:sz w:val="23"/>
          <w:szCs w:val="23"/>
        </w:rPr>
        <w:t xml:space="preserve"> to make the spending decisions</w:t>
      </w:r>
      <w:r w:rsidRPr="008832A5">
        <w:rPr>
          <w:sz w:val="23"/>
          <w:szCs w:val="23"/>
        </w:rPr>
        <w:t>.</w:t>
      </w:r>
      <w:r>
        <w:rPr>
          <w:sz w:val="23"/>
          <w:szCs w:val="23"/>
        </w:rPr>
        <w:t xml:space="preserve"> </w:t>
      </w:r>
      <w:r w:rsidRPr="008832A5">
        <w:rPr>
          <w:sz w:val="23"/>
          <w:szCs w:val="23"/>
        </w:rPr>
        <w:t>Prior research suggests that increased principal autonomy can indeed lead to improved school quality and student outcomes (</w:t>
      </w:r>
      <w:proofErr w:type="spellStart"/>
      <w:r w:rsidRPr="008832A5">
        <w:rPr>
          <w:sz w:val="23"/>
          <w:szCs w:val="23"/>
        </w:rPr>
        <w:t>Honig</w:t>
      </w:r>
      <w:proofErr w:type="spellEnd"/>
      <w:r w:rsidRPr="008832A5">
        <w:rPr>
          <w:sz w:val="23"/>
          <w:szCs w:val="23"/>
        </w:rPr>
        <w:t xml:space="preserve"> and Rainey 2012; </w:t>
      </w:r>
      <w:proofErr w:type="spellStart"/>
      <w:r w:rsidRPr="008832A5">
        <w:rPr>
          <w:sz w:val="23"/>
          <w:szCs w:val="23"/>
        </w:rPr>
        <w:t>Mizrav</w:t>
      </w:r>
      <w:proofErr w:type="spellEnd"/>
      <w:r w:rsidRPr="008832A5">
        <w:rPr>
          <w:sz w:val="23"/>
          <w:szCs w:val="23"/>
        </w:rPr>
        <w:t xml:space="preserve"> 2014; </w:t>
      </w:r>
      <w:proofErr w:type="spellStart"/>
      <w:r w:rsidRPr="008832A5">
        <w:rPr>
          <w:sz w:val="23"/>
          <w:szCs w:val="23"/>
        </w:rPr>
        <w:t>Roza</w:t>
      </w:r>
      <w:proofErr w:type="spellEnd"/>
      <w:r w:rsidRPr="008832A5">
        <w:rPr>
          <w:sz w:val="23"/>
          <w:szCs w:val="23"/>
        </w:rPr>
        <w:t xml:space="preserve"> et al. 2007; Steinberg 2014).</w:t>
      </w:r>
    </w:p>
    <w:p w14:paraId="0668A9C5" w14:textId="2A575F5C" w:rsidR="000555E5" w:rsidRDefault="000555E5" w:rsidP="00442EDC">
      <w:pPr>
        <w:spacing w:after="240" w:line="240" w:lineRule="auto"/>
        <w:rPr>
          <w:sz w:val="23"/>
          <w:szCs w:val="23"/>
        </w:rPr>
      </w:pPr>
      <w:proofErr w:type="gramStart"/>
      <w:r>
        <w:rPr>
          <w:b/>
          <w:sz w:val="23"/>
          <w:szCs w:val="23"/>
        </w:rPr>
        <w:t>Accountability.</w:t>
      </w:r>
      <w:proofErr w:type="gramEnd"/>
      <w:r>
        <w:rPr>
          <w:b/>
          <w:sz w:val="23"/>
          <w:szCs w:val="23"/>
        </w:rPr>
        <w:t xml:space="preserve"> </w:t>
      </w:r>
      <w:r w:rsidRPr="008832A5">
        <w:rPr>
          <w:sz w:val="23"/>
          <w:szCs w:val="23"/>
        </w:rPr>
        <w:t xml:space="preserve">Increasing school autonomy also implicitly shifts a significant amount of responsibility for delivering results from the central office to school leadership. </w:t>
      </w:r>
      <w:r>
        <w:rPr>
          <w:sz w:val="23"/>
          <w:szCs w:val="23"/>
        </w:rPr>
        <w:t>As a result</w:t>
      </w:r>
      <w:r w:rsidRPr="008832A5">
        <w:rPr>
          <w:sz w:val="23"/>
          <w:szCs w:val="23"/>
        </w:rPr>
        <w:t xml:space="preserve">, the accountability to which schools are held under the </w:t>
      </w:r>
      <w:r>
        <w:rPr>
          <w:sz w:val="23"/>
          <w:szCs w:val="23"/>
        </w:rPr>
        <w:t>SBB</w:t>
      </w:r>
      <w:r w:rsidRPr="008832A5">
        <w:rPr>
          <w:sz w:val="23"/>
          <w:szCs w:val="23"/>
        </w:rPr>
        <w:t xml:space="preserve"> policy </w:t>
      </w:r>
      <w:r>
        <w:rPr>
          <w:sz w:val="23"/>
          <w:szCs w:val="23"/>
        </w:rPr>
        <w:t>may</w:t>
      </w:r>
      <w:r w:rsidRPr="008832A5">
        <w:rPr>
          <w:sz w:val="23"/>
          <w:szCs w:val="23"/>
        </w:rPr>
        <w:t xml:space="preserve"> increase because school leaders are given more discretion over the means to success. </w:t>
      </w:r>
      <w:r>
        <w:rPr>
          <w:sz w:val="23"/>
          <w:szCs w:val="23"/>
        </w:rPr>
        <w:t>Accountability requires that schools have more choice</w:t>
      </w:r>
      <w:r w:rsidRPr="008832A5">
        <w:rPr>
          <w:sz w:val="23"/>
          <w:szCs w:val="23"/>
        </w:rPr>
        <w:t xml:space="preserve"> of the staff </w:t>
      </w:r>
      <w:r>
        <w:rPr>
          <w:sz w:val="23"/>
          <w:szCs w:val="23"/>
        </w:rPr>
        <w:t>they</w:t>
      </w:r>
      <w:r w:rsidRPr="008832A5">
        <w:rPr>
          <w:sz w:val="23"/>
          <w:szCs w:val="23"/>
        </w:rPr>
        <w:t xml:space="preserve"> employ (i.e., in terms of both quantities and qualifications), the responsibilities school leadership assigns to staff, and the materials and support services (e.g., professional development or other contracted services) made available. The theory suggests that given the expanded autonomy afforded school sites and enhanced expectations to deliver results, schools will react by modifying both their resource allocations and educational practices, which should translate into improved student achievement. </w:t>
      </w:r>
    </w:p>
    <w:p w14:paraId="78458C05" w14:textId="718EEAA6" w:rsidR="000555E5" w:rsidRDefault="000555E5" w:rsidP="00442EDC">
      <w:pPr>
        <w:spacing w:after="240" w:line="240" w:lineRule="auto"/>
        <w:rPr>
          <w:sz w:val="23"/>
          <w:szCs w:val="23"/>
        </w:rPr>
      </w:pPr>
      <w:proofErr w:type="gramStart"/>
      <w:r w:rsidRPr="008832A5">
        <w:rPr>
          <w:b/>
          <w:sz w:val="23"/>
          <w:szCs w:val="23"/>
        </w:rPr>
        <w:t>Empowerment.</w:t>
      </w:r>
      <w:proofErr w:type="gramEnd"/>
      <w:r w:rsidRPr="008832A5">
        <w:rPr>
          <w:sz w:val="23"/>
          <w:szCs w:val="23"/>
        </w:rPr>
        <w:t xml:space="preserve"> Another key component of </w:t>
      </w:r>
      <w:r>
        <w:rPr>
          <w:sz w:val="23"/>
          <w:szCs w:val="23"/>
        </w:rPr>
        <w:t>SBB</w:t>
      </w:r>
      <w:r w:rsidRPr="008832A5">
        <w:rPr>
          <w:sz w:val="23"/>
          <w:szCs w:val="23"/>
        </w:rPr>
        <w:t xml:space="preserve"> is to empower school staff other than administrative leadership (e.g., teachers, instructional and pupil support staff), other local community stakeholders (e.g., parents, other educational advocates), and even students (e.g., at the high school level) by making them privy to information related to incoming funding</w:t>
      </w:r>
      <w:r>
        <w:rPr>
          <w:sz w:val="23"/>
          <w:szCs w:val="23"/>
        </w:rPr>
        <w:t xml:space="preserve"> and involved in decisions about how to use those funds</w:t>
      </w:r>
      <w:r w:rsidRPr="008832A5">
        <w:rPr>
          <w:sz w:val="23"/>
          <w:szCs w:val="23"/>
        </w:rPr>
        <w:t xml:space="preserve">. </w:t>
      </w:r>
      <w:r>
        <w:rPr>
          <w:sz w:val="23"/>
          <w:szCs w:val="23"/>
        </w:rPr>
        <w:t>Specifically, e</w:t>
      </w:r>
      <w:r w:rsidRPr="008832A5">
        <w:rPr>
          <w:sz w:val="23"/>
          <w:szCs w:val="23"/>
        </w:rPr>
        <w:t>nhancing empowerment involves the significant inclusion of these parties in the decision-making and governance processes, such as participating in developing the mission and vision of the school and helping to determine the resources and practices that will be employed to best serve students.</w:t>
      </w:r>
      <w:r w:rsidRPr="008832A5" w:rsidDel="0056243B">
        <w:rPr>
          <w:sz w:val="23"/>
          <w:szCs w:val="23"/>
        </w:rPr>
        <w:t xml:space="preserve"> In addition to the direct contributions that empowered staff and </w:t>
      </w:r>
      <w:r w:rsidRPr="008832A5">
        <w:rPr>
          <w:sz w:val="23"/>
          <w:szCs w:val="23"/>
        </w:rPr>
        <w:t xml:space="preserve">other </w:t>
      </w:r>
      <w:r w:rsidRPr="008832A5" w:rsidDel="0056243B">
        <w:rPr>
          <w:sz w:val="23"/>
          <w:szCs w:val="23"/>
        </w:rPr>
        <w:t>stakeholders make to resource allocation and educational practice decisions, empowerment also serves to enhance the accountability to which school sites are held through increased stakeholder understanding of funding and school operations. In sum</w:t>
      </w:r>
      <w:r w:rsidRPr="008832A5">
        <w:rPr>
          <w:sz w:val="23"/>
          <w:szCs w:val="23"/>
        </w:rPr>
        <w:t>mary</w:t>
      </w:r>
      <w:r w:rsidRPr="008832A5" w:rsidDel="0056243B">
        <w:rPr>
          <w:sz w:val="23"/>
          <w:szCs w:val="23"/>
        </w:rPr>
        <w:t xml:space="preserve">, empowerment should affect how autonomy is used to change both resource </w:t>
      </w:r>
      <w:r w:rsidRPr="008832A5" w:rsidDel="0056243B">
        <w:rPr>
          <w:sz w:val="23"/>
          <w:szCs w:val="23"/>
        </w:rPr>
        <w:lastRenderedPageBreak/>
        <w:t>allocation and educational practice, which should translate into improved student achievement and be reinforced by an increase in the degree to which schools are accountable for results.</w:t>
      </w:r>
    </w:p>
    <w:p w14:paraId="1F198CC6" w14:textId="08444CC3" w:rsidR="000555E5" w:rsidRPr="008832A5" w:rsidRDefault="000555E5" w:rsidP="00442EDC">
      <w:pPr>
        <w:spacing w:after="240" w:line="240" w:lineRule="auto"/>
        <w:rPr>
          <w:sz w:val="23"/>
          <w:szCs w:val="23"/>
        </w:rPr>
      </w:pPr>
      <w:proofErr w:type="gramStart"/>
      <w:r w:rsidRPr="008832A5">
        <w:rPr>
          <w:b/>
          <w:sz w:val="23"/>
          <w:szCs w:val="23"/>
        </w:rPr>
        <w:t>Equity.</w:t>
      </w:r>
      <w:proofErr w:type="gramEnd"/>
      <w:r w:rsidRPr="008832A5">
        <w:rPr>
          <w:sz w:val="23"/>
          <w:szCs w:val="23"/>
        </w:rPr>
        <w:t xml:space="preserve"> </w:t>
      </w:r>
      <w:r>
        <w:rPr>
          <w:sz w:val="23"/>
          <w:szCs w:val="23"/>
        </w:rPr>
        <w:t>SBB policies- and WSF systems in particular- often</w:t>
      </w:r>
      <w:r w:rsidRPr="008832A5">
        <w:rPr>
          <w:sz w:val="23"/>
          <w:szCs w:val="23"/>
        </w:rPr>
        <w:t xml:space="preserve"> intend to promote equity by implementing a funding model based on student needs. Providing funding </w:t>
      </w:r>
      <w:r>
        <w:rPr>
          <w:sz w:val="23"/>
          <w:szCs w:val="23"/>
        </w:rPr>
        <w:t>that is</w:t>
      </w:r>
      <w:r w:rsidRPr="008832A5">
        <w:rPr>
          <w:sz w:val="23"/>
          <w:szCs w:val="23"/>
        </w:rPr>
        <w:t xml:space="preserve"> based on the additional costs associated with achieving similar outcomes for students with specific needs and circumstances (i.e., those who are socioeconomically disadvantaged, English learners, disabled, or attend schools where it is more costly to provide services) increases</w:t>
      </w:r>
      <w:r>
        <w:rPr>
          <w:sz w:val="23"/>
          <w:szCs w:val="23"/>
        </w:rPr>
        <w:t xml:space="preserve"> </w:t>
      </w:r>
      <w:r w:rsidRPr="008832A5">
        <w:rPr>
          <w:sz w:val="23"/>
          <w:szCs w:val="23"/>
        </w:rPr>
        <w:t xml:space="preserve">equity </w:t>
      </w:r>
      <w:r>
        <w:rPr>
          <w:sz w:val="23"/>
          <w:szCs w:val="23"/>
        </w:rPr>
        <w:t>by providing schools serving students with higher needs relatively higher levels of resources</w:t>
      </w:r>
      <w:r w:rsidRPr="008832A5">
        <w:rPr>
          <w:sz w:val="23"/>
          <w:szCs w:val="23"/>
        </w:rPr>
        <w:t>.</w:t>
      </w:r>
      <w:r w:rsidRPr="008832A5" w:rsidDel="002F7A6C">
        <w:rPr>
          <w:sz w:val="23"/>
          <w:szCs w:val="23"/>
        </w:rPr>
        <w:t xml:space="preserve"> </w:t>
      </w:r>
      <w:r>
        <w:rPr>
          <w:sz w:val="23"/>
          <w:szCs w:val="23"/>
        </w:rPr>
        <w:t>T</w:t>
      </w:r>
      <w:r w:rsidRPr="008832A5" w:rsidDel="002F7A6C">
        <w:rPr>
          <w:sz w:val="23"/>
          <w:szCs w:val="23"/>
        </w:rPr>
        <w:t xml:space="preserve">he </w:t>
      </w:r>
      <w:r w:rsidRPr="008832A5">
        <w:rPr>
          <w:sz w:val="23"/>
          <w:szCs w:val="23"/>
        </w:rPr>
        <w:t xml:space="preserve">framework </w:t>
      </w:r>
      <w:r>
        <w:rPr>
          <w:sz w:val="23"/>
          <w:szCs w:val="23"/>
        </w:rPr>
        <w:t xml:space="preserve">therefore </w:t>
      </w:r>
      <w:r w:rsidRPr="008832A5" w:rsidDel="002F7A6C">
        <w:rPr>
          <w:sz w:val="23"/>
          <w:szCs w:val="23"/>
        </w:rPr>
        <w:t>suggests that changes in the proximal outcomes related to resource allocation and educational practice</w:t>
      </w:r>
      <w:r>
        <w:rPr>
          <w:sz w:val="23"/>
          <w:szCs w:val="23"/>
        </w:rPr>
        <w:t xml:space="preserve"> as a result of more equitable resource distribution</w:t>
      </w:r>
      <w:r w:rsidRPr="008832A5" w:rsidDel="002F7A6C">
        <w:rPr>
          <w:sz w:val="23"/>
          <w:szCs w:val="23"/>
        </w:rPr>
        <w:t xml:space="preserve"> will translate into improvements in more distal outcomes related to student achievement.</w:t>
      </w:r>
    </w:p>
    <w:p w14:paraId="323A47D8" w14:textId="1211DEAD" w:rsidR="000555E5" w:rsidRPr="008832A5" w:rsidRDefault="000555E5" w:rsidP="00442EDC">
      <w:pPr>
        <w:spacing w:line="240" w:lineRule="auto"/>
        <w:rPr>
          <w:iCs/>
          <w:sz w:val="23"/>
          <w:szCs w:val="23"/>
        </w:rPr>
      </w:pPr>
      <w:proofErr w:type="gramStart"/>
      <w:r w:rsidRPr="008832A5">
        <w:rPr>
          <w:b/>
          <w:sz w:val="23"/>
          <w:szCs w:val="23"/>
        </w:rPr>
        <w:t>Transparency.</w:t>
      </w:r>
      <w:proofErr w:type="gramEnd"/>
      <w:r w:rsidRPr="008832A5">
        <w:rPr>
          <w:sz w:val="23"/>
          <w:szCs w:val="23"/>
        </w:rPr>
        <w:t xml:space="preserve"> Pervading all of the </w:t>
      </w:r>
      <w:r>
        <w:rPr>
          <w:sz w:val="23"/>
          <w:szCs w:val="23"/>
        </w:rPr>
        <w:t>SBB</w:t>
      </w:r>
      <w:r w:rsidRPr="008832A5">
        <w:rPr>
          <w:sz w:val="23"/>
          <w:szCs w:val="23"/>
        </w:rPr>
        <w:t xml:space="preserve"> policy components is a general increase in transparency</w:t>
      </w:r>
      <w:r w:rsidRPr="008832A5">
        <w:rPr>
          <w:iCs/>
          <w:sz w:val="23"/>
          <w:szCs w:val="23"/>
        </w:rPr>
        <w:t xml:space="preserve"> by simplifying and clarifying the processes by which funding and other resources (staffing and materials) are allocated to schools. For example, a </w:t>
      </w:r>
      <w:r>
        <w:rPr>
          <w:iCs/>
          <w:sz w:val="23"/>
          <w:szCs w:val="23"/>
        </w:rPr>
        <w:t>SBB</w:t>
      </w:r>
      <w:r w:rsidRPr="008832A5">
        <w:rPr>
          <w:iCs/>
          <w:sz w:val="23"/>
          <w:szCs w:val="23"/>
        </w:rPr>
        <w:t xml:space="preserve"> district would </w:t>
      </w:r>
      <w:r>
        <w:rPr>
          <w:iCs/>
          <w:sz w:val="23"/>
          <w:szCs w:val="23"/>
        </w:rPr>
        <w:t>typically</w:t>
      </w:r>
      <w:r w:rsidRPr="008832A5">
        <w:rPr>
          <w:iCs/>
          <w:sz w:val="23"/>
          <w:szCs w:val="23"/>
        </w:rPr>
        <w:t xml:space="preserve"> provide a base amount of per-pupil funding to each school based on total student enrollment, </w:t>
      </w:r>
      <w:r>
        <w:rPr>
          <w:iCs/>
          <w:sz w:val="23"/>
          <w:szCs w:val="23"/>
        </w:rPr>
        <w:t>often with</w:t>
      </w:r>
      <w:r w:rsidRPr="008832A5">
        <w:rPr>
          <w:iCs/>
          <w:sz w:val="23"/>
          <w:szCs w:val="23"/>
        </w:rPr>
        <w:t xml:space="preserve"> additional funds for students in particular categories of need, such as English learners or students in poverty</w:t>
      </w:r>
      <w:r>
        <w:rPr>
          <w:iCs/>
          <w:sz w:val="23"/>
          <w:szCs w:val="23"/>
        </w:rPr>
        <w:t xml:space="preserve"> (in the case of WSF)</w:t>
      </w:r>
      <w:r w:rsidRPr="008832A5">
        <w:rPr>
          <w:iCs/>
          <w:sz w:val="23"/>
          <w:szCs w:val="23"/>
        </w:rPr>
        <w:t xml:space="preserve">. </w:t>
      </w:r>
      <w:r>
        <w:rPr>
          <w:iCs/>
          <w:sz w:val="23"/>
          <w:szCs w:val="23"/>
        </w:rPr>
        <w:t>These additional amounts are often implemented using a series of student weights that</w:t>
      </w:r>
      <w:r w:rsidRPr="008832A5">
        <w:rPr>
          <w:iCs/>
          <w:sz w:val="23"/>
          <w:szCs w:val="23"/>
        </w:rPr>
        <w:t xml:space="preserve"> are meant to be transparent and easy to understand. They also are simpler than </w:t>
      </w:r>
      <w:r>
        <w:rPr>
          <w:iCs/>
          <w:sz w:val="23"/>
          <w:szCs w:val="23"/>
        </w:rPr>
        <w:t>more typical systems</w:t>
      </w:r>
      <w:r w:rsidRPr="008832A5">
        <w:rPr>
          <w:iCs/>
          <w:sz w:val="23"/>
          <w:szCs w:val="23"/>
        </w:rPr>
        <w:t xml:space="preserve">, in which case a school might receive multiple allocations of various types of staff based on its student enrollment, plus funding sources from multiple categorical funds that </w:t>
      </w:r>
      <w:r>
        <w:rPr>
          <w:iCs/>
          <w:sz w:val="23"/>
          <w:szCs w:val="23"/>
        </w:rPr>
        <w:t xml:space="preserve">may be </w:t>
      </w:r>
      <w:r w:rsidRPr="008832A5">
        <w:rPr>
          <w:iCs/>
          <w:sz w:val="23"/>
          <w:szCs w:val="23"/>
        </w:rPr>
        <w:t xml:space="preserve">numerous, difficult to understand, and </w:t>
      </w:r>
      <w:r>
        <w:rPr>
          <w:iCs/>
          <w:sz w:val="23"/>
          <w:szCs w:val="23"/>
        </w:rPr>
        <w:t xml:space="preserve">potentially </w:t>
      </w:r>
      <w:r w:rsidRPr="008832A5">
        <w:rPr>
          <w:iCs/>
          <w:sz w:val="23"/>
          <w:szCs w:val="23"/>
        </w:rPr>
        <w:t>manipulated by the district</w:t>
      </w:r>
      <w:r>
        <w:rPr>
          <w:iCs/>
          <w:sz w:val="23"/>
          <w:szCs w:val="23"/>
        </w:rPr>
        <w:t>.</w:t>
      </w:r>
      <w:r w:rsidRPr="008832A5">
        <w:rPr>
          <w:iCs/>
          <w:sz w:val="23"/>
          <w:szCs w:val="23"/>
        </w:rPr>
        <w:t xml:space="preserve"> </w:t>
      </w:r>
      <w:r>
        <w:rPr>
          <w:iCs/>
          <w:sz w:val="23"/>
          <w:szCs w:val="23"/>
        </w:rPr>
        <w:t>SBB</w:t>
      </w:r>
      <w:r w:rsidRPr="008832A5">
        <w:rPr>
          <w:iCs/>
          <w:sz w:val="23"/>
          <w:szCs w:val="23"/>
        </w:rPr>
        <w:t xml:space="preserve"> systems also aim to improve access of stakeholders to information pertaining to resource allocation, educational practice, student outcomes</w:t>
      </w:r>
      <w:r>
        <w:rPr>
          <w:iCs/>
          <w:sz w:val="23"/>
          <w:szCs w:val="23"/>
        </w:rPr>
        <w:t>, as well as funding</w:t>
      </w:r>
      <w:r w:rsidRPr="008832A5">
        <w:rPr>
          <w:iCs/>
          <w:sz w:val="23"/>
          <w:szCs w:val="23"/>
        </w:rPr>
        <w:t xml:space="preserve">. </w:t>
      </w:r>
      <w:r w:rsidR="00A51559">
        <w:rPr>
          <w:iCs/>
          <w:sz w:val="23"/>
          <w:szCs w:val="23"/>
        </w:rPr>
        <w:t xml:space="preserve">Specifically, needs-based funding models implemented under a WSF or SBB policy provide transparent dollar allocations to each school. </w:t>
      </w:r>
      <w:r w:rsidRPr="008832A5">
        <w:rPr>
          <w:iCs/>
          <w:sz w:val="23"/>
          <w:szCs w:val="23"/>
        </w:rPr>
        <w:t>Furthermore, details of the school program developed under the increased autonomy also are made clear to empowered stakeholders (some of whom even participate in the design process), as is information on student outcomes, all of which is intended to promote accountability.</w:t>
      </w:r>
    </w:p>
    <w:p w14:paraId="00E300FD" w14:textId="77777777" w:rsidR="000555E5" w:rsidRDefault="000555E5" w:rsidP="00442EDC">
      <w:pPr>
        <w:pStyle w:val="Heading2"/>
      </w:pPr>
      <w:bookmarkStart w:id="16" w:name="_Toc471731557"/>
      <w:bookmarkStart w:id="17" w:name="_Toc479691746"/>
      <w:bookmarkStart w:id="18" w:name="_Toc482978867"/>
      <w:r>
        <w:t>Mapping Study Questions to Study Components</w:t>
      </w:r>
      <w:bookmarkEnd w:id="16"/>
      <w:bookmarkEnd w:id="17"/>
      <w:bookmarkEnd w:id="18"/>
    </w:p>
    <w:p w14:paraId="1FA9A362" w14:textId="31E078F9" w:rsidR="000555E5" w:rsidRDefault="000555E5" w:rsidP="00442EDC">
      <w:pPr>
        <w:pStyle w:val="BodyText"/>
      </w:pPr>
      <w:r>
        <w:t xml:space="preserve">There are two main study components – a nationally representative survey and case studies of WSF districts – each having several data sources that will be analyzed to answer the research questions. The survey data collection will administer both district-level and school-level surveys to district officials and school principals, respectively. The case studies will consist of a qualitative analysis of interview data and extant documentation, as well as a quantitative analysis of school-level expenditure data. Exhibit 2 shows how the study </w:t>
      </w:r>
      <w:proofErr w:type="spellStart"/>
      <w:r>
        <w:t>subquestions</w:t>
      </w:r>
      <w:proofErr w:type="spellEnd"/>
      <w:r>
        <w:t xml:space="preserve"> map to each of the study data sources.</w:t>
      </w:r>
    </w:p>
    <w:p w14:paraId="49EDA64B" w14:textId="77777777" w:rsidR="000555E5" w:rsidRDefault="000555E5" w:rsidP="00442EDC">
      <w:pPr>
        <w:spacing w:after="0" w:line="240" w:lineRule="auto"/>
        <w:rPr>
          <w:rFonts w:asciiTheme="minorHAnsi" w:hAnsiTheme="minorHAnsi" w:cs="Arial"/>
          <w:b/>
          <w:sz w:val="23"/>
          <w:szCs w:val="23"/>
        </w:rPr>
      </w:pPr>
      <w:r>
        <w:rPr>
          <w:rFonts w:asciiTheme="minorHAnsi" w:hAnsiTheme="minorHAnsi"/>
          <w:b/>
          <w:sz w:val="23"/>
          <w:szCs w:val="23"/>
        </w:rPr>
        <w:br w:type="page"/>
      </w:r>
    </w:p>
    <w:p w14:paraId="3D11595C" w14:textId="77777777" w:rsidR="000555E5" w:rsidRPr="00885663" w:rsidRDefault="000555E5" w:rsidP="00885663">
      <w:pPr>
        <w:pStyle w:val="ExhibitTitle"/>
        <w:rPr>
          <w:rFonts w:eastAsia="Calibri"/>
        </w:rPr>
      </w:pPr>
      <w:proofErr w:type="gramStart"/>
      <w:r w:rsidRPr="00885663">
        <w:rPr>
          <w:rFonts w:eastAsia="Calibri"/>
        </w:rPr>
        <w:lastRenderedPageBreak/>
        <w:t>Exhibit 2.</w:t>
      </w:r>
      <w:proofErr w:type="gramEnd"/>
      <w:r w:rsidRPr="00885663">
        <w:rPr>
          <w:rFonts w:eastAsia="Calibri"/>
        </w:rPr>
        <w:t xml:space="preserve"> Detailed Study Questions and Associated Data Sources</w:t>
      </w:r>
    </w:p>
    <w:tbl>
      <w:tblPr>
        <w:tblW w:w="9252" w:type="dxa"/>
        <w:tblInd w:w="108" w:type="dxa"/>
        <w:tblLayout w:type="fixed"/>
        <w:tblLook w:val="04A0" w:firstRow="1" w:lastRow="0" w:firstColumn="1" w:lastColumn="0" w:noHBand="0" w:noVBand="1"/>
      </w:tblPr>
      <w:tblGrid>
        <w:gridCol w:w="5022"/>
        <w:gridCol w:w="814"/>
        <w:gridCol w:w="938"/>
        <w:gridCol w:w="1140"/>
        <w:gridCol w:w="1338"/>
      </w:tblGrid>
      <w:tr w:rsidR="000555E5" w:rsidRPr="0017523B" w14:paraId="6A9B923D" w14:textId="77777777" w:rsidTr="00442EDC">
        <w:trPr>
          <w:trHeight w:val="20"/>
        </w:trPr>
        <w:tc>
          <w:tcPr>
            <w:tcW w:w="5022" w:type="dxa"/>
            <w:vMerge w:val="restart"/>
            <w:tcBorders>
              <w:top w:val="single" w:sz="4" w:space="0" w:color="auto"/>
              <w:left w:val="nil"/>
              <w:right w:val="nil"/>
            </w:tcBorders>
            <w:shd w:val="clear" w:color="auto" w:fill="95B3D7" w:themeFill="accent1" w:themeFillTint="99"/>
            <w:vAlign w:val="center"/>
            <w:hideMark/>
          </w:tcPr>
          <w:p w14:paraId="5D9DF2F1" w14:textId="77777777" w:rsidR="000555E5" w:rsidRPr="0017523B" w:rsidRDefault="000555E5" w:rsidP="00442EDC">
            <w:pPr>
              <w:spacing w:after="0" w:line="240" w:lineRule="auto"/>
              <w:rPr>
                <w:rFonts w:eastAsia="Times New Roman"/>
                <w:b/>
                <w:bCs/>
                <w:color w:val="000000" w:themeColor="text1"/>
                <w:sz w:val="20"/>
                <w:szCs w:val="20"/>
              </w:rPr>
            </w:pPr>
            <w:r w:rsidRPr="0017523B">
              <w:rPr>
                <w:rFonts w:eastAsia="Times New Roman"/>
                <w:b/>
                <w:bCs/>
                <w:color w:val="000000" w:themeColor="text1"/>
                <w:sz w:val="20"/>
                <w:szCs w:val="20"/>
              </w:rPr>
              <w:t> Detailed Study Questions</w:t>
            </w:r>
          </w:p>
        </w:tc>
        <w:tc>
          <w:tcPr>
            <w:tcW w:w="4230" w:type="dxa"/>
            <w:gridSpan w:val="4"/>
            <w:tcBorders>
              <w:top w:val="single" w:sz="4" w:space="0" w:color="auto"/>
              <w:left w:val="nil"/>
              <w:bottom w:val="single" w:sz="4" w:space="0" w:color="auto"/>
              <w:right w:val="nil"/>
            </w:tcBorders>
            <w:shd w:val="clear" w:color="auto" w:fill="95B3D7" w:themeFill="accent1" w:themeFillTint="99"/>
            <w:vAlign w:val="center"/>
            <w:hideMark/>
          </w:tcPr>
          <w:p w14:paraId="0F7DDD32" w14:textId="77777777" w:rsidR="000555E5" w:rsidRPr="0017523B" w:rsidRDefault="000555E5" w:rsidP="00442EDC">
            <w:pPr>
              <w:spacing w:after="0" w:line="240" w:lineRule="auto"/>
              <w:jc w:val="center"/>
              <w:rPr>
                <w:rFonts w:eastAsia="Times New Roman"/>
                <w:b/>
                <w:bCs/>
                <w:color w:val="000000" w:themeColor="text1"/>
                <w:sz w:val="20"/>
                <w:szCs w:val="20"/>
              </w:rPr>
            </w:pPr>
            <w:r>
              <w:rPr>
                <w:rFonts w:eastAsia="Times New Roman"/>
                <w:b/>
                <w:bCs/>
                <w:color w:val="000000" w:themeColor="text1"/>
                <w:sz w:val="20"/>
                <w:szCs w:val="20"/>
              </w:rPr>
              <w:t>Data Sources</w:t>
            </w:r>
          </w:p>
        </w:tc>
      </w:tr>
      <w:tr w:rsidR="000555E5" w:rsidRPr="0017523B" w14:paraId="66046BD2" w14:textId="77777777" w:rsidTr="00442EDC">
        <w:trPr>
          <w:trHeight w:val="20"/>
        </w:trPr>
        <w:tc>
          <w:tcPr>
            <w:tcW w:w="5022" w:type="dxa"/>
            <w:vMerge/>
            <w:tcBorders>
              <w:left w:val="nil"/>
              <w:bottom w:val="single" w:sz="4" w:space="0" w:color="auto"/>
              <w:right w:val="nil"/>
            </w:tcBorders>
            <w:shd w:val="clear" w:color="auto" w:fill="95B3D7" w:themeFill="accent1" w:themeFillTint="99"/>
            <w:vAlign w:val="center"/>
          </w:tcPr>
          <w:p w14:paraId="6D462E83" w14:textId="77777777" w:rsidR="000555E5" w:rsidRPr="0017523B" w:rsidRDefault="000555E5" w:rsidP="00442EDC">
            <w:pPr>
              <w:spacing w:after="0" w:line="240" w:lineRule="auto"/>
              <w:rPr>
                <w:rFonts w:eastAsia="Times New Roman"/>
                <w:b/>
                <w:bCs/>
                <w:color w:val="000000" w:themeColor="text1"/>
                <w:sz w:val="20"/>
                <w:szCs w:val="20"/>
              </w:rPr>
            </w:pPr>
          </w:p>
        </w:tc>
        <w:tc>
          <w:tcPr>
            <w:tcW w:w="1752" w:type="dxa"/>
            <w:gridSpan w:val="2"/>
            <w:tcBorders>
              <w:top w:val="nil"/>
              <w:left w:val="nil"/>
              <w:bottom w:val="single" w:sz="4" w:space="0" w:color="auto"/>
              <w:right w:val="nil"/>
            </w:tcBorders>
            <w:shd w:val="clear" w:color="auto" w:fill="95B3D7" w:themeFill="accent1" w:themeFillTint="99"/>
            <w:vAlign w:val="center"/>
          </w:tcPr>
          <w:p w14:paraId="38733733"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Survey</w:t>
            </w:r>
          </w:p>
        </w:tc>
        <w:tc>
          <w:tcPr>
            <w:tcW w:w="2478" w:type="dxa"/>
            <w:gridSpan w:val="2"/>
            <w:tcBorders>
              <w:top w:val="nil"/>
              <w:left w:val="nil"/>
              <w:bottom w:val="single" w:sz="4" w:space="0" w:color="auto"/>
              <w:right w:val="nil"/>
            </w:tcBorders>
            <w:shd w:val="clear" w:color="auto" w:fill="95B3D7" w:themeFill="accent1" w:themeFillTint="99"/>
            <w:vAlign w:val="center"/>
          </w:tcPr>
          <w:p w14:paraId="371970AD"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Case Study</w:t>
            </w:r>
          </w:p>
        </w:tc>
      </w:tr>
      <w:tr w:rsidR="000555E5" w:rsidRPr="0017523B" w14:paraId="7560C909" w14:textId="77777777" w:rsidTr="00442EDC">
        <w:trPr>
          <w:trHeight w:val="20"/>
        </w:trPr>
        <w:tc>
          <w:tcPr>
            <w:tcW w:w="5022" w:type="dxa"/>
            <w:vMerge/>
            <w:tcBorders>
              <w:left w:val="nil"/>
              <w:bottom w:val="single" w:sz="4" w:space="0" w:color="auto"/>
              <w:right w:val="nil"/>
            </w:tcBorders>
            <w:shd w:val="clear" w:color="auto" w:fill="95B3D7" w:themeFill="accent1" w:themeFillTint="99"/>
            <w:vAlign w:val="center"/>
            <w:hideMark/>
          </w:tcPr>
          <w:p w14:paraId="52A9425C" w14:textId="77777777" w:rsidR="000555E5" w:rsidRPr="0017523B" w:rsidRDefault="000555E5" w:rsidP="00442EDC">
            <w:pPr>
              <w:spacing w:after="0" w:line="240" w:lineRule="auto"/>
              <w:rPr>
                <w:rFonts w:eastAsia="Times New Roman"/>
                <w:b/>
                <w:bCs/>
                <w:color w:val="000000" w:themeColor="text1"/>
                <w:sz w:val="20"/>
                <w:szCs w:val="20"/>
              </w:rPr>
            </w:pPr>
          </w:p>
        </w:tc>
        <w:tc>
          <w:tcPr>
            <w:tcW w:w="814" w:type="dxa"/>
            <w:tcBorders>
              <w:top w:val="nil"/>
              <w:left w:val="nil"/>
              <w:bottom w:val="single" w:sz="4" w:space="0" w:color="auto"/>
              <w:right w:val="nil"/>
            </w:tcBorders>
            <w:shd w:val="clear" w:color="auto" w:fill="95B3D7" w:themeFill="accent1" w:themeFillTint="99"/>
            <w:vAlign w:val="center"/>
            <w:hideMark/>
          </w:tcPr>
          <w:p w14:paraId="4263B2EA"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 xml:space="preserve">District </w:t>
            </w:r>
          </w:p>
        </w:tc>
        <w:tc>
          <w:tcPr>
            <w:tcW w:w="938" w:type="dxa"/>
            <w:tcBorders>
              <w:top w:val="nil"/>
              <w:left w:val="nil"/>
              <w:bottom w:val="single" w:sz="4" w:space="0" w:color="auto"/>
              <w:right w:val="nil"/>
            </w:tcBorders>
            <w:shd w:val="clear" w:color="auto" w:fill="95B3D7" w:themeFill="accent1" w:themeFillTint="99"/>
            <w:vAlign w:val="center"/>
            <w:hideMark/>
          </w:tcPr>
          <w:p w14:paraId="05D39FA4"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 xml:space="preserve">Principal </w:t>
            </w:r>
          </w:p>
        </w:tc>
        <w:tc>
          <w:tcPr>
            <w:tcW w:w="1140" w:type="dxa"/>
            <w:tcBorders>
              <w:top w:val="nil"/>
              <w:left w:val="nil"/>
              <w:bottom w:val="single" w:sz="4" w:space="0" w:color="auto"/>
              <w:right w:val="nil"/>
            </w:tcBorders>
            <w:shd w:val="clear" w:color="auto" w:fill="95B3D7" w:themeFill="accent1" w:themeFillTint="99"/>
            <w:vAlign w:val="center"/>
            <w:hideMark/>
          </w:tcPr>
          <w:p w14:paraId="22A007E2"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Qualitative</w:t>
            </w:r>
          </w:p>
        </w:tc>
        <w:tc>
          <w:tcPr>
            <w:tcW w:w="1338" w:type="dxa"/>
            <w:tcBorders>
              <w:top w:val="nil"/>
              <w:left w:val="nil"/>
              <w:bottom w:val="single" w:sz="4" w:space="0" w:color="auto"/>
              <w:right w:val="nil"/>
            </w:tcBorders>
            <w:shd w:val="clear" w:color="auto" w:fill="95B3D7" w:themeFill="accent1" w:themeFillTint="99"/>
            <w:vAlign w:val="center"/>
            <w:hideMark/>
          </w:tcPr>
          <w:p w14:paraId="705B3081" w14:textId="77777777" w:rsidR="000555E5" w:rsidRPr="0017523B" w:rsidRDefault="000555E5" w:rsidP="00442EDC">
            <w:pPr>
              <w:spacing w:after="0" w:line="240" w:lineRule="auto"/>
              <w:jc w:val="center"/>
              <w:rPr>
                <w:rFonts w:eastAsia="Times New Roman"/>
                <w:b/>
                <w:bCs/>
                <w:color w:val="000000" w:themeColor="text1"/>
                <w:sz w:val="20"/>
                <w:szCs w:val="20"/>
              </w:rPr>
            </w:pPr>
            <w:r w:rsidRPr="0017523B">
              <w:rPr>
                <w:rFonts w:eastAsia="Times New Roman"/>
                <w:b/>
                <w:bCs/>
                <w:color w:val="000000" w:themeColor="text1"/>
                <w:sz w:val="20"/>
                <w:szCs w:val="20"/>
              </w:rPr>
              <w:t>Quantitative</w:t>
            </w:r>
          </w:p>
        </w:tc>
      </w:tr>
      <w:tr w:rsidR="000555E5" w:rsidRPr="00A961CC" w14:paraId="218FC081" w14:textId="77777777" w:rsidTr="00442EDC">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1D0D47FF" w14:textId="77777777" w:rsidR="000555E5" w:rsidRPr="00A961CC" w:rsidRDefault="000555E5" w:rsidP="000555E5">
            <w:pPr>
              <w:pStyle w:val="ListParagraph"/>
              <w:numPr>
                <w:ilvl w:val="0"/>
                <w:numId w:val="22"/>
              </w:numPr>
              <w:spacing w:after="0" w:line="240" w:lineRule="auto"/>
              <w:ind w:left="324"/>
              <w:contextualSpacing w:val="0"/>
              <w:rPr>
                <w:rFonts w:eastAsia="Times New Roman"/>
                <w:color w:val="000000"/>
                <w:sz w:val="20"/>
                <w:szCs w:val="20"/>
              </w:rPr>
            </w:pPr>
            <w:r w:rsidRPr="00A961CC">
              <w:rPr>
                <w:rFonts w:eastAsia="Times New Roman"/>
                <w:b/>
                <w:bCs/>
                <w:color w:val="000000"/>
                <w:sz w:val="20"/>
                <w:szCs w:val="20"/>
              </w:rPr>
              <w:t xml:space="preserve">How are resources allocated to schools in districts with </w:t>
            </w:r>
            <w:r>
              <w:rPr>
                <w:rFonts w:eastAsia="Times New Roman"/>
                <w:b/>
                <w:bCs/>
                <w:color w:val="000000"/>
                <w:sz w:val="20"/>
                <w:szCs w:val="20"/>
              </w:rPr>
              <w:t>SBB systems compared with</w:t>
            </w:r>
            <w:r w:rsidRPr="00A961CC">
              <w:rPr>
                <w:rFonts w:eastAsia="Times New Roman"/>
                <w:b/>
                <w:bCs/>
                <w:color w:val="000000"/>
                <w:sz w:val="20"/>
                <w:szCs w:val="20"/>
              </w:rPr>
              <w:t xml:space="preserve"> districts with more traditional resource allocation practices?</w:t>
            </w:r>
          </w:p>
        </w:tc>
      </w:tr>
      <w:tr w:rsidR="000555E5" w:rsidRPr="00A961CC" w14:paraId="7E665F8D" w14:textId="77777777" w:rsidTr="00442EDC">
        <w:trPr>
          <w:trHeight w:val="20"/>
        </w:trPr>
        <w:tc>
          <w:tcPr>
            <w:tcW w:w="5022" w:type="dxa"/>
            <w:tcBorders>
              <w:top w:val="single" w:sz="4" w:space="0" w:color="auto"/>
              <w:left w:val="nil"/>
              <w:bottom w:val="nil"/>
              <w:right w:val="nil"/>
            </w:tcBorders>
            <w:shd w:val="clear" w:color="auto" w:fill="auto"/>
            <w:vAlign w:val="center"/>
            <w:hideMark/>
          </w:tcPr>
          <w:p w14:paraId="22D8D78D" w14:textId="77777777" w:rsidR="000555E5" w:rsidRPr="00A961CC" w:rsidRDefault="000555E5" w:rsidP="000555E5">
            <w:pPr>
              <w:pStyle w:val="ListParagraph"/>
              <w:numPr>
                <w:ilvl w:val="1"/>
                <w:numId w:val="20"/>
              </w:numPr>
              <w:spacing w:after="0" w:line="240" w:lineRule="auto"/>
              <w:ind w:left="684"/>
              <w:contextualSpacing w:val="0"/>
              <w:rPr>
                <w:rFonts w:eastAsia="Times New Roman" w:cstheme="minorHAnsi"/>
                <w:color w:val="000000"/>
                <w:sz w:val="20"/>
                <w:szCs w:val="20"/>
              </w:rPr>
            </w:pPr>
            <w:r w:rsidRPr="00A961CC">
              <w:rPr>
                <w:rFonts w:eastAsia="Times New Roman" w:cstheme="minorHAnsi"/>
                <w:color w:val="000000"/>
                <w:sz w:val="20"/>
                <w:szCs w:val="20"/>
              </w:rPr>
              <w:t>To what extent do districts allocate funds to schools to use at their discretion, and how does this vary between SBB districts and other districts?</w:t>
            </w:r>
          </w:p>
        </w:tc>
        <w:tc>
          <w:tcPr>
            <w:tcW w:w="814" w:type="dxa"/>
            <w:tcBorders>
              <w:top w:val="single" w:sz="4" w:space="0" w:color="auto"/>
              <w:left w:val="nil"/>
              <w:bottom w:val="nil"/>
              <w:right w:val="nil"/>
            </w:tcBorders>
            <w:shd w:val="clear" w:color="auto" w:fill="auto"/>
            <w:vAlign w:val="center"/>
            <w:hideMark/>
          </w:tcPr>
          <w:p w14:paraId="73D20905"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5BB10BFC"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bottom w:val="nil"/>
              <w:right w:val="nil"/>
            </w:tcBorders>
            <w:shd w:val="clear" w:color="auto" w:fill="auto"/>
            <w:vAlign w:val="center"/>
            <w:hideMark/>
          </w:tcPr>
          <w:p w14:paraId="3225B676"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bottom w:val="nil"/>
              <w:right w:val="nil"/>
            </w:tcBorders>
            <w:shd w:val="clear" w:color="auto" w:fill="auto"/>
            <w:vAlign w:val="center"/>
            <w:hideMark/>
          </w:tcPr>
          <w:p w14:paraId="6BD5A6A1" w14:textId="77777777" w:rsidR="000555E5" w:rsidRPr="00A961CC" w:rsidRDefault="000555E5" w:rsidP="00442EDC">
            <w:pPr>
              <w:jc w:val="center"/>
              <w:rPr>
                <w:rFonts w:eastAsia="Times New Roman"/>
                <w:color w:val="000000"/>
                <w:sz w:val="20"/>
                <w:szCs w:val="20"/>
              </w:rPr>
            </w:pPr>
          </w:p>
        </w:tc>
      </w:tr>
      <w:tr w:rsidR="000555E5" w:rsidRPr="00A961CC" w14:paraId="7C60229A" w14:textId="77777777" w:rsidTr="00442EDC">
        <w:trPr>
          <w:trHeight w:val="20"/>
        </w:trPr>
        <w:tc>
          <w:tcPr>
            <w:tcW w:w="5022" w:type="dxa"/>
            <w:tcBorders>
              <w:top w:val="nil"/>
              <w:left w:val="nil"/>
              <w:bottom w:val="nil"/>
              <w:right w:val="nil"/>
            </w:tcBorders>
            <w:shd w:val="clear" w:color="auto" w:fill="auto"/>
            <w:vAlign w:val="center"/>
            <w:hideMark/>
          </w:tcPr>
          <w:p w14:paraId="386CA82C" w14:textId="277AC819" w:rsidR="000555E5" w:rsidRPr="00A961CC" w:rsidRDefault="000555E5" w:rsidP="00505C8D">
            <w:pPr>
              <w:pStyle w:val="ListParagraph"/>
              <w:numPr>
                <w:ilvl w:val="1"/>
                <w:numId w:val="20"/>
              </w:numPr>
              <w:spacing w:after="0" w:line="240" w:lineRule="auto"/>
              <w:ind w:left="684"/>
              <w:contextualSpacing w:val="0"/>
              <w:rPr>
                <w:rFonts w:eastAsia="Times New Roman" w:cstheme="minorHAnsi"/>
                <w:color w:val="000000"/>
                <w:sz w:val="20"/>
                <w:szCs w:val="20"/>
              </w:rPr>
            </w:pPr>
            <w:r w:rsidRPr="00A961CC">
              <w:rPr>
                <w:rFonts w:eastAsia="Times New Roman" w:cstheme="minorHAnsi"/>
                <w:color w:val="000000"/>
                <w:sz w:val="20"/>
                <w:szCs w:val="20"/>
              </w:rPr>
              <w:t>What are the goals and theories of action that guided districts in allocating resources under their SBB system?</w:t>
            </w:r>
          </w:p>
        </w:tc>
        <w:tc>
          <w:tcPr>
            <w:tcW w:w="814" w:type="dxa"/>
            <w:tcBorders>
              <w:top w:val="nil"/>
              <w:left w:val="nil"/>
              <w:bottom w:val="nil"/>
              <w:right w:val="nil"/>
            </w:tcBorders>
            <w:shd w:val="clear" w:color="auto" w:fill="auto"/>
            <w:vAlign w:val="center"/>
            <w:hideMark/>
          </w:tcPr>
          <w:p w14:paraId="3B7C74E1" w14:textId="77777777" w:rsidR="000555E5" w:rsidRPr="00A961CC" w:rsidRDefault="000555E5" w:rsidP="00442EDC">
            <w:pPr>
              <w:jc w:val="center"/>
              <w:rPr>
                <w:rFonts w:eastAsia="Times New Roman"/>
                <w:color w:val="000000"/>
                <w:sz w:val="20"/>
                <w:szCs w:val="20"/>
              </w:rPr>
            </w:pPr>
            <w:r>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309CADDC" w14:textId="77777777" w:rsidR="000555E5" w:rsidRPr="00A961CC" w:rsidRDefault="000555E5" w:rsidP="00442EDC">
            <w:pPr>
              <w:jc w:val="center"/>
              <w:rPr>
                <w:rFonts w:ascii="Times New Roman" w:eastAsia="Times New Roman" w:hAnsi="Times New Roman"/>
                <w:sz w:val="20"/>
                <w:szCs w:val="20"/>
              </w:rPr>
            </w:pPr>
          </w:p>
        </w:tc>
        <w:tc>
          <w:tcPr>
            <w:tcW w:w="1140" w:type="dxa"/>
            <w:tcBorders>
              <w:top w:val="nil"/>
              <w:left w:val="nil"/>
              <w:bottom w:val="nil"/>
              <w:right w:val="nil"/>
            </w:tcBorders>
            <w:shd w:val="clear" w:color="auto" w:fill="auto"/>
            <w:vAlign w:val="center"/>
            <w:hideMark/>
          </w:tcPr>
          <w:p w14:paraId="05C6ADC3"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3204C757" w14:textId="77777777" w:rsidR="000555E5" w:rsidRPr="00A961CC" w:rsidRDefault="000555E5" w:rsidP="00442EDC">
            <w:pPr>
              <w:jc w:val="center"/>
              <w:rPr>
                <w:rFonts w:eastAsia="Times New Roman"/>
                <w:color w:val="000000"/>
                <w:sz w:val="20"/>
                <w:szCs w:val="20"/>
              </w:rPr>
            </w:pPr>
          </w:p>
        </w:tc>
      </w:tr>
      <w:tr w:rsidR="000555E5" w:rsidRPr="00A961CC" w14:paraId="796278EB" w14:textId="77777777" w:rsidTr="00442EDC">
        <w:trPr>
          <w:trHeight w:val="20"/>
        </w:trPr>
        <w:tc>
          <w:tcPr>
            <w:tcW w:w="5022" w:type="dxa"/>
            <w:tcBorders>
              <w:top w:val="nil"/>
              <w:left w:val="nil"/>
              <w:bottom w:val="single" w:sz="4" w:space="0" w:color="auto"/>
              <w:right w:val="nil"/>
            </w:tcBorders>
            <w:shd w:val="clear" w:color="auto" w:fill="auto"/>
            <w:vAlign w:val="center"/>
            <w:hideMark/>
          </w:tcPr>
          <w:p w14:paraId="0F1C7186" w14:textId="77777777" w:rsidR="000555E5" w:rsidRPr="00A961CC" w:rsidRDefault="000555E5" w:rsidP="000555E5">
            <w:pPr>
              <w:pStyle w:val="ListParagraph"/>
              <w:numPr>
                <w:ilvl w:val="1"/>
                <w:numId w:val="20"/>
              </w:numPr>
              <w:spacing w:after="0" w:line="240" w:lineRule="auto"/>
              <w:ind w:left="684"/>
              <w:contextualSpacing w:val="0"/>
              <w:rPr>
                <w:sz w:val="20"/>
                <w:szCs w:val="20"/>
              </w:rPr>
            </w:pPr>
            <w:r w:rsidRPr="00A961CC">
              <w:rPr>
                <w:sz w:val="20"/>
                <w:szCs w:val="20"/>
              </w:rPr>
              <w:t xml:space="preserve">How are SBB systems structured? (e.g., student weights, foundation amounts, factors for small or remote schools, </w:t>
            </w:r>
            <w:r w:rsidRPr="00A961CC">
              <w:rPr>
                <w:rFonts w:eastAsia="Times New Roman" w:cs="Calibri"/>
                <w:sz w:val="20"/>
                <w:szCs w:val="20"/>
              </w:rPr>
              <w:t xml:space="preserve">hold-harmless or phase-in provisions, </w:t>
            </w:r>
            <w:r w:rsidRPr="00A961CC">
              <w:rPr>
                <w:sz w:val="20"/>
                <w:szCs w:val="20"/>
              </w:rPr>
              <w:t>etc.)</w:t>
            </w:r>
          </w:p>
        </w:tc>
        <w:tc>
          <w:tcPr>
            <w:tcW w:w="814" w:type="dxa"/>
            <w:tcBorders>
              <w:top w:val="nil"/>
              <w:left w:val="nil"/>
              <w:bottom w:val="single" w:sz="4" w:space="0" w:color="auto"/>
              <w:right w:val="nil"/>
            </w:tcBorders>
            <w:shd w:val="clear" w:color="auto" w:fill="auto"/>
            <w:vAlign w:val="center"/>
            <w:hideMark/>
          </w:tcPr>
          <w:p w14:paraId="513BD3A8"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7F33B3C9" w14:textId="77777777" w:rsidR="000555E5" w:rsidRPr="00A961CC" w:rsidRDefault="000555E5" w:rsidP="00442EDC">
            <w:pPr>
              <w:jc w:val="center"/>
              <w:rPr>
                <w:rFonts w:eastAsia="Times New Roman"/>
                <w:color w:val="000000"/>
                <w:sz w:val="20"/>
                <w:szCs w:val="20"/>
              </w:rPr>
            </w:pPr>
          </w:p>
        </w:tc>
        <w:tc>
          <w:tcPr>
            <w:tcW w:w="1140" w:type="dxa"/>
            <w:tcBorders>
              <w:top w:val="nil"/>
              <w:left w:val="nil"/>
              <w:bottom w:val="single" w:sz="4" w:space="0" w:color="auto"/>
              <w:right w:val="nil"/>
            </w:tcBorders>
            <w:shd w:val="clear" w:color="auto" w:fill="auto"/>
            <w:vAlign w:val="center"/>
            <w:hideMark/>
          </w:tcPr>
          <w:p w14:paraId="7D852B77"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78E16166" w14:textId="77777777" w:rsidR="000555E5" w:rsidRPr="00A961CC" w:rsidRDefault="000555E5" w:rsidP="00442EDC">
            <w:pPr>
              <w:jc w:val="center"/>
              <w:rPr>
                <w:rFonts w:eastAsia="Times New Roman"/>
                <w:color w:val="000000"/>
                <w:sz w:val="20"/>
                <w:szCs w:val="20"/>
              </w:rPr>
            </w:pPr>
          </w:p>
        </w:tc>
      </w:tr>
      <w:tr w:rsidR="000555E5" w:rsidRPr="00A961CC" w14:paraId="2999F01A" w14:textId="77777777" w:rsidTr="00442EDC">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51C5BABE" w14:textId="77777777" w:rsidR="000555E5" w:rsidRPr="00A961CC" w:rsidRDefault="000555E5" w:rsidP="000555E5">
            <w:pPr>
              <w:pStyle w:val="ListParagraph"/>
              <w:numPr>
                <w:ilvl w:val="0"/>
                <w:numId w:val="22"/>
              </w:numPr>
              <w:spacing w:after="0" w:line="240" w:lineRule="auto"/>
              <w:ind w:left="324"/>
              <w:contextualSpacing w:val="0"/>
              <w:rPr>
                <w:rFonts w:eastAsia="Times New Roman"/>
                <w:color w:val="000000"/>
                <w:sz w:val="20"/>
                <w:szCs w:val="20"/>
              </w:rPr>
            </w:pPr>
            <w:r w:rsidRPr="00A961CC">
              <w:rPr>
                <w:rFonts w:eastAsia="Times New Roman"/>
                <w:b/>
                <w:bCs/>
                <w:color w:val="000000"/>
                <w:sz w:val="20"/>
                <w:szCs w:val="20"/>
              </w:rPr>
              <w:t>In what ways do schools have autonomy and control over resource allocation decisions, and how does this vary between districts with SBB and other districts?</w:t>
            </w:r>
          </w:p>
        </w:tc>
      </w:tr>
      <w:tr w:rsidR="000555E5" w:rsidRPr="00A961CC" w14:paraId="66C788FE" w14:textId="77777777" w:rsidTr="00442EDC">
        <w:trPr>
          <w:trHeight w:val="20"/>
        </w:trPr>
        <w:tc>
          <w:tcPr>
            <w:tcW w:w="5022" w:type="dxa"/>
            <w:tcBorders>
              <w:top w:val="single" w:sz="4" w:space="0" w:color="auto"/>
              <w:left w:val="nil"/>
              <w:bottom w:val="nil"/>
              <w:right w:val="nil"/>
            </w:tcBorders>
            <w:shd w:val="clear" w:color="auto" w:fill="auto"/>
            <w:vAlign w:val="center"/>
            <w:hideMark/>
          </w:tcPr>
          <w:p w14:paraId="119CF090" w14:textId="77777777" w:rsidR="000555E5" w:rsidRPr="00A961CC" w:rsidRDefault="000555E5" w:rsidP="000555E5">
            <w:pPr>
              <w:pStyle w:val="ListParagraph"/>
              <w:numPr>
                <w:ilvl w:val="0"/>
                <w:numId w:val="21"/>
              </w:numPr>
              <w:spacing w:after="0" w:line="240" w:lineRule="auto"/>
              <w:ind w:left="684"/>
              <w:contextualSpacing w:val="0"/>
              <w:rPr>
                <w:rFonts w:eastAsiaTheme="minorHAnsi"/>
                <w:sz w:val="20"/>
                <w:szCs w:val="20"/>
              </w:rPr>
            </w:pPr>
            <w:r w:rsidRPr="00A961CC">
              <w:rPr>
                <w:sz w:val="20"/>
                <w:szCs w:val="20"/>
              </w:rPr>
              <w:t>How do principal responsibilities over budgeting and staffing vary between SBB districts and other districts?</w:t>
            </w:r>
          </w:p>
        </w:tc>
        <w:tc>
          <w:tcPr>
            <w:tcW w:w="814" w:type="dxa"/>
            <w:tcBorders>
              <w:top w:val="single" w:sz="4" w:space="0" w:color="auto"/>
              <w:left w:val="nil"/>
              <w:bottom w:val="nil"/>
              <w:right w:val="nil"/>
            </w:tcBorders>
            <w:shd w:val="clear" w:color="auto" w:fill="auto"/>
            <w:vAlign w:val="center"/>
            <w:hideMark/>
          </w:tcPr>
          <w:p w14:paraId="4CC572FE"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4DD95A55"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bottom w:val="nil"/>
              <w:right w:val="nil"/>
            </w:tcBorders>
            <w:shd w:val="clear" w:color="auto" w:fill="auto"/>
            <w:vAlign w:val="center"/>
            <w:hideMark/>
          </w:tcPr>
          <w:p w14:paraId="266B437A"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bottom w:val="nil"/>
              <w:right w:val="nil"/>
            </w:tcBorders>
            <w:shd w:val="clear" w:color="auto" w:fill="auto"/>
            <w:vAlign w:val="center"/>
            <w:hideMark/>
          </w:tcPr>
          <w:p w14:paraId="7C085591" w14:textId="77777777" w:rsidR="000555E5" w:rsidRPr="00A961CC" w:rsidRDefault="000555E5" w:rsidP="00442EDC">
            <w:pPr>
              <w:jc w:val="center"/>
              <w:rPr>
                <w:rFonts w:eastAsia="Times New Roman"/>
                <w:color w:val="000000"/>
                <w:sz w:val="20"/>
                <w:szCs w:val="20"/>
              </w:rPr>
            </w:pPr>
          </w:p>
        </w:tc>
      </w:tr>
      <w:tr w:rsidR="000555E5" w:rsidRPr="00A961CC" w14:paraId="4BD62D33" w14:textId="77777777" w:rsidTr="00442EDC">
        <w:trPr>
          <w:trHeight w:val="20"/>
        </w:trPr>
        <w:tc>
          <w:tcPr>
            <w:tcW w:w="5022" w:type="dxa"/>
            <w:tcBorders>
              <w:top w:val="nil"/>
              <w:left w:val="nil"/>
              <w:bottom w:val="nil"/>
              <w:right w:val="nil"/>
            </w:tcBorders>
            <w:shd w:val="clear" w:color="auto" w:fill="auto"/>
            <w:vAlign w:val="center"/>
            <w:hideMark/>
          </w:tcPr>
          <w:p w14:paraId="0FDF7914" w14:textId="77777777" w:rsidR="000555E5" w:rsidRPr="00A961CC" w:rsidRDefault="000555E5" w:rsidP="000555E5">
            <w:pPr>
              <w:pStyle w:val="ListParagraph"/>
              <w:numPr>
                <w:ilvl w:val="0"/>
                <w:numId w:val="21"/>
              </w:numPr>
              <w:spacing w:after="0" w:line="240" w:lineRule="auto"/>
              <w:ind w:left="684"/>
              <w:contextualSpacing w:val="0"/>
              <w:rPr>
                <w:rFonts w:eastAsiaTheme="minorHAnsi"/>
                <w:sz w:val="20"/>
                <w:szCs w:val="20"/>
              </w:rPr>
            </w:pPr>
            <w:r w:rsidRPr="00A961CC">
              <w:rPr>
                <w:rFonts w:eastAsia="Times New Roman" w:cs="Calibri"/>
                <w:sz w:val="20"/>
                <w:szCs w:val="20"/>
              </w:rPr>
              <w:t>What is the role of other stakeholders in resource allocation decisions? Do principals in SBB districts report greater stakeholder involvement in decision-making than principals in other districts?</w:t>
            </w:r>
          </w:p>
        </w:tc>
        <w:tc>
          <w:tcPr>
            <w:tcW w:w="814" w:type="dxa"/>
            <w:tcBorders>
              <w:top w:val="nil"/>
              <w:left w:val="nil"/>
              <w:bottom w:val="nil"/>
              <w:right w:val="nil"/>
            </w:tcBorders>
            <w:shd w:val="clear" w:color="auto" w:fill="auto"/>
            <w:vAlign w:val="center"/>
            <w:hideMark/>
          </w:tcPr>
          <w:p w14:paraId="0B34B0F6" w14:textId="0B8DA48E" w:rsidR="000555E5" w:rsidRPr="00A961CC" w:rsidRDefault="000555E5" w:rsidP="00442EDC">
            <w:pPr>
              <w:jc w:val="center"/>
              <w:rPr>
                <w:rFonts w:eastAsia="Times New Roman"/>
                <w:color w:val="000000"/>
                <w:sz w:val="20"/>
                <w:szCs w:val="20"/>
              </w:rPr>
            </w:pPr>
          </w:p>
        </w:tc>
        <w:tc>
          <w:tcPr>
            <w:tcW w:w="938" w:type="dxa"/>
            <w:tcBorders>
              <w:top w:val="nil"/>
              <w:left w:val="nil"/>
              <w:bottom w:val="nil"/>
              <w:right w:val="nil"/>
            </w:tcBorders>
            <w:shd w:val="clear" w:color="auto" w:fill="auto"/>
            <w:vAlign w:val="center"/>
            <w:hideMark/>
          </w:tcPr>
          <w:p w14:paraId="7F7585C9" w14:textId="77777777" w:rsidR="000555E5" w:rsidRPr="009E7665" w:rsidRDefault="000555E5" w:rsidP="00442EDC">
            <w:pPr>
              <w:jc w:val="center"/>
              <w:rPr>
                <w:rFonts w:eastAsia="Times New Roman"/>
                <w:color w:val="000000"/>
                <w:sz w:val="20"/>
                <w:szCs w:val="20"/>
              </w:rPr>
            </w:pPr>
            <w:r w:rsidRPr="009E7665">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5A9A679B"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70857B40" w14:textId="77777777" w:rsidR="000555E5" w:rsidRPr="00A961CC" w:rsidRDefault="000555E5" w:rsidP="00442EDC">
            <w:pPr>
              <w:jc w:val="center"/>
              <w:rPr>
                <w:rFonts w:eastAsia="Times New Roman"/>
                <w:color w:val="000000"/>
                <w:sz w:val="20"/>
                <w:szCs w:val="20"/>
              </w:rPr>
            </w:pPr>
          </w:p>
        </w:tc>
      </w:tr>
      <w:tr w:rsidR="000555E5" w:rsidRPr="00A961CC" w14:paraId="48565BD1" w14:textId="77777777" w:rsidTr="00442EDC">
        <w:trPr>
          <w:trHeight w:val="20"/>
        </w:trPr>
        <w:tc>
          <w:tcPr>
            <w:tcW w:w="5022" w:type="dxa"/>
            <w:tcBorders>
              <w:top w:val="nil"/>
              <w:left w:val="nil"/>
              <w:bottom w:val="nil"/>
              <w:right w:val="nil"/>
            </w:tcBorders>
            <w:shd w:val="clear" w:color="auto" w:fill="auto"/>
            <w:vAlign w:val="center"/>
            <w:hideMark/>
          </w:tcPr>
          <w:p w14:paraId="7290ED8B" w14:textId="77777777" w:rsidR="000555E5" w:rsidRPr="00A961CC" w:rsidRDefault="000555E5" w:rsidP="000555E5">
            <w:pPr>
              <w:pStyle w:val="ListParagraph"/>
              <w:numPr>
                <w:ilvl w:val="0"/>
                <w:numId w:val="21"/>
              </w:numPr>
              <w:spacing w:after="0" w:line="240" w:lineRule="auto"/>
              <w:ind w:left="684"/>
              <w:contextualSpacing w:val="0"/>
              <w:rPr>
                <w:rFonts w:eastAsiaTheme="minorHAnsi"/>
                <w:sz w:val="20"/>
                <w:szCs w:val="20"/>
              </w:rPr>
            </w:pPr>
            <w:r w:rsidRPr="00A961CC">
              <w:rPr>
                <w:sz w:val="20"/>
                <w:szCs w:val="20"/>
              </w:rPr>
              <w:t xml:space="preserve">How does school autonomy relate to the degree to which schools are held accountable for results? </w:t>
            </w:r>
          </w:p>
        </w:tc>
        <w:tc>
          <w:tcPr>
            <w:tcW w:w="814" w:type="dxa"/>
            <w:tcBorders>
              <w:top w:val="nil"/>
              <w:left w:val="nil"/>
              <w:bottom w:val="nil"/>
              <w:right w:val="nil"/>
            </w:tcBorders>
            <w:shd w:val="clear" w:color="auto" w:fill="auto"/>
            <w:vAlign w:val="center"/>
            <w:hideMark/>
          </w:tcPr>
          <w:p w14:paraId="3CF5DC8A"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3F1A7B77"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75FF5C31"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nil"/>
              <w:right w:val="nil"/>
            </w:tcBorders>
            <w:shd w:val="clear" w:color="auto" w:fill="auto"/>
            <w:vAlign w:val="center"/>
            <w:hideMark/>
          </w:tcPr>
          <w:p w14:paraId="6080CD71" w14:textId="77777777" w:rsidR="000555E5" w:rsidRPr="00A961CC" w:rsidRDefault="000555E5" w:rsidP="00442EDC">
            <w:pPr>
              <w:jc w:val="center"/>
              <w:rPr>
                <w:rFonts w:eastAsia="Times New Roman"/>
                <w:color w:val="000000"/>
                <w:sz w:val="20"/>
                <w:szCs w:val="20"/>
              </w:rPr>
            </w:pPr>
          </w:p>
        </w:tc>
      </w:tr>
      <w:tr w:rsidR="000555E5" w:rsidRPr="00A961CC" w14:paraId="73D540BB" w14:textId="77777777" w:rsidTr="00442EDC">
        <w:trPr>
          <w:trHeight w:val="20"/>
        </w:trPr>
        <w:tc>
          <w:tcPr>
            <w:tcW w:w="5022" w:type="dxa"/>
            <w:tcBorders>
              <w:top w:val="nil"/>
              <w:left w:val="nil"/>
              <w:bottom w:val="single" w:sz="4" w:space="0" w:color="auto"/>
              <w:right w:val="nil"/>
            </w:tcBorders>
            <w:shd w:val="clear" w:color="auto" w:fill="auto"/>
            <w:vAlign w:val="center"/>
            <w:hideMark/>
          </w:tcPr>
          <w:p w14:paraId="340D2CC1" w14:textId="77777777" w:rsidR="000555E5" w:rsidRPr="00A961CC" w:rsidRDefault="000555E5" w:rsidP="000555E5">
            <w:pPr>
              <w:pStyle w:val="ListParagraph"/>
              <w:numPr>
                <w:ilvl w:val="0"/>
                <w:numId w:val="21"/>
              </w:numPr>
              <w:spacing w:after="0" w:line="240" w:lineRule="auto"/>
              <w:ind w:left="684"/>
              <w:contextualSpacing w:val="0"/>
              <w:rPr>
                <w:rFonts w:eastAsiaTheme="minorHAnsi"/>
                <w:sz w:val="20"/>
                <w:szCs w:val="20"/>
              </w:rPr>
            </w:pPr>
            <w:r w:rsidRPr="00A961CC">
              <w:rPr>
                <w:rFonts w:eastAsia="Times New Roman" w:cs="Calibri"/>
                <w:sz w:val="20"/>
                <w:szCs w:val="20"/>
              </w:rPr>
              <w:t xml:space="preserve">In the case study districts, how have schools used the greater flexibility over resource allocation, and how </w:t>
            </w:r>
            <w:proofErr w:type="gramStart"/>
            <w:r w:rsidRPr="00A961CC">
              <w:rPr>
                <w:rFonts w:eastAsia="Times New Roman" w:cs="Calibri"/>
                <w:sz w:val="20"/>
                <w:szCs w:val="20"/>
              </w:rPr>
              <w:t>has</w:t>
            </w:r>
            <w:proofErr w:type="gramEnd"/>
            <w:r w:rsidRPr="00A961CC">
              <w:rPr>
                <w:rFonts w:eastAsia="Times New Roman" w:cs="Calibri"/>
                <w:sz w:val="20"/>
                <w:szCs w:val="20"/>
              </w:rPr>
              <w:t xml:space="preserve"> this affected educational programs and practices within the school?</w:t>
            </w:r>
          </w:p>
        </w:tc>
        <w:tc>
          <w:tcPr>
            <w:tcW w:w="814" w:type="dxa"/>
            <w:tcBorders>
              <w:top w:val="nil"/>
              <w:left w:val="nil"/>
              <w:bottom w:val="single" w:sz="4" w:space="0" w:color="auto"/>
              <w:right w:val="nil"/>
            </w:tcBorders>
            <w:shd w:val="clear" w:color="auto" w:fill="auto"/>
            <w:vAlign w:val="center"/>
            <w:hideMark/>
          </w:tcPr>
          <w:p w14:paraId="787ABB0E" w14:textId="77777777" w:rsidR="000555E5" w:rsidRPr="00A961CC" w:rsidRDefault="000555E5" w:rsidP="00442EDC">
            <w:pPr>
              <w:rPr>
                <w:rFonts w:eastAsia="Times New Roman"/>
                <w:color w:val="000000"/>
                <w:sz w:val="20"/>
                <w:szCs w:val="20"/>
              </w:rPr>
            </w:pPr>
          </w:p>
        </w:tc>
        <w:tc>
          <w:tcPr>
            <w:tcW w:w="938" w:type="dxa"/>
            <w:tcBorders>
              <w:top w:val="nil"/>
              <w:left w:val="nil"/>
              <w:bottom w:val="single" w:sz="4" w:space="0" w:color="auto"/>
              <w:right w:val="nil"/>
            </w:tcBorders>
            <w:shd w:val="clear" w:color="auto" w:fill="auto"/>
            <w:vAlign w:val="center"/>
            <w:hideMark/>
          </w:tcPr>
          <w:p w14:paraId="17670B37" w14:textId="77777777" w:rsidR="000555E5" w:rsidRPr="00A961CC" w:rsidRDefault="000555E5" w:rsidP="00442EDC">
            <w:pPr>
              <w:jc w:val="center"/>
              <w:rPr>
                <w:rFonts w:ascii="Times New Roman" w:eastAsia="Times New Roman" w:hAnsi="Times New Roman"/>
                <w:sz w:val="20"/>
                <w:szCs w:val="20"/>
              </w:rPr>
            </w:pPr>
          </w:p>
        </w:tc>
        <w:tc>
          <w:tcPr>
            <w:tcW w:w="1140" w:type="dxa"/>
            <w:tcBorders>
              <w:top w:val="nil"/>
              <w:left w:val="nil"/>
              <w:bottom w:val="single" w:sz="4" w:space="0" w:color="auto"/>
              <w:right w:val="nil"/>
            </w:tcBorders>
            <w:shd w:val="clear" w:color="auto" w:fill="auto"/>
            <w:vAlign w:val="center"/>
            <w:hideMark/>
          </w:tcPr>
          <w:p w14:paraId="6725EBA9"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34CE9274"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r>
      <w:tr w:rsidR="000555E5" w:rsidRPr="00A961CC" w14:paraId="32F6D99A" w14:textId="77777777" w:rsidTr="00442EDC">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572148E8" w14:textId="77777777" w:rsidR="000555E5" w:rsidRPr="00A15715" w:rsidRDefault="000555E5" w:rsidP="00442EDC">
            <w:pPr>
              <w:pStyle w:val="ListParagraph"/>
              <w:spacing w:after="0"/>
              <w:ind w:left="324" w:hanging="306"/>
              <w:contextualSpacing w:val="0"/>
              <w:rPr>
                <w:rFonts w:eastAsia="Times New Roman"/>
                <w:color w:val="000000"/>
                <w:sz w:val="20"/>
                <w:szCs w:val="20"/>
              </w:rPr>
            </w:pPr>
            <w:r w:rsidRPr="00AB341C">
              <w:rPr>
                <w:rFonts w:eastAsia="Times New Roman"/>
                <w:b/>
                <w:bCs/>
                <w:color w:val="000000"/>
                <w:sz w:val="20"/>
                <w:szCs w:val="20"/>
              </w:rPr>
              <w:t>3.</w:t>
            </w:r>
            <w:r w:rsidRPr="00AB341C">
              <w:rPr>
                <w:rFonts w:eastAsia="Times New Roman"/>
                <w:b/>
                <w:bCs/>
                <w:color w:val="000000"/>
                <w:sz w:val="20"/>
                <w:szCs w:val="20"/>
              </w:rPr>
              <w:tab/>
              <w:t>How has the implementation of SBB in districts using weights to adjust funding based on student needs affected the distribution of funding provided dollars to schools?</w:t>
            </w:r>
          </w:p>
        </w:tc>
      </w:tr>
      <w:tr w:rsidR="000555E5" w:rsidRPr="00A961CC" w14:paraId="4A13B995" w14:textId="77777777" w:rsidTr="00442EDC">
        <w:trPr>
          <w:trHeight w:val="20"/>
        </w:trPr>
        <w:tc>
          <w:tcPr>
            <w:tcW w:w="5022" w:type="dxa"/>
            <w:tcBorders>
              <w:top w:val="single" w:sz="4" w:space="0" w:color="auto"/>
              <w:left w:val="nil"/>
              <w:bottom w:val="nil"/>
              <w:right w:val="nil"/>
            </w:tcBorders>
            <w:shd w:val="clear" w:color="auto" w:fill="auto"/>
            <w:vAlign w:val="center"/>
            <w:hideMark/>
          </w:tcPr>
          <w:p w14:paraId="4306C34F" w14:textId="77777777" w:rsidR="000555E5" w:rsidRPr="00A961CC" w:rsidRDefault="000555E5" w:rsidP="000555E5">
            <w:pPr>
              <w:pStyle w:val="ListParagraph"/>
              <w:numPr>
                <w:ilvl w:val="1"/>
                <w:numId w:val="22"/>
              </w:numPr>
              <w:spacing w:after="0" w:line="240" w:lineRule="auto"/>
              <w:ind w:left="684"/>
              <w:contextualSpacing w:val="0"/>
              <w:rPr>
                <w:rFonts w:eastAsiaTheme="minorHAnsi" w:cs="Calibri"/>
                <w:sz w:val="20"/>
                <w:szCs w:val="20"/>
              </w:rPr>
            </w:pPr>
            <w:r w:rsidRPr="00A961CC">
              <w:rPr>
                <w:rFonts w:cs="Calibri"/>
                <w:sz w:val="20"/>
                <w:szCs w:val="20"/>
              </w:rPr>
              <w:t xml:space="preserve">To what extent did the distribution of funds change from before to after the </w:t>
            </w:r>
            <w:r>
              <w:rPr>
                <w:rFonts w:cs="Calibri"/>
                <w:sz w:val="20"/>
                <w:szCs w:val="20"/>
              </w:rPr>
              <w:t>SBB</w:t>
            </w:r>
            <w:r w:rsidRPr="00A961CC">
              <w:rPr>
                <w:rFonts w:cs="Calibri"/>
                <w:sz w:val="20"/>
                <w:szCs w:val="20"/>
              </w:rPr>
              <w:t xml:space="preserve"> system was implemented?</w:t>
            </w:r>
          </w:p>
        </w:tc>
        <w:tc>
          <w:tcPr>
            <w:tcW w:w="814" w:type="dxa"/>
            <w:tcBorders>
              <w:top w:val="single" w:sz="4" w:space="0" w:color="auto"/>
              <w:left w:val="nil"/>
              <w:bottom w:val="nil"/>
              <w:right w:val="nil"/>
            </w:tcBorders>
            <w:shd w:val="clear" w:color="auto" w:fill="auto"/>
            <w:vAlign w:val="center"/>
            <w:hideMark/>
          </w:tcPr>
          <w:p w14:paraId="757F89C8" w14:textId="77777777" w:rsidR="000555E5" w:rsidRPr="00A961CC" w:rsidRDefault="000555E5" w:rsidP="00442EDC">
            <w:pPr>
              <w:jc w:val="center"/>
              <w:rPr>
                <w:rFonts w:eastAsia="Times New Roman"/>
                <w:color w:val="000000"/>
                <w:sz w:val="20"/>
                <w:szCs w:val="20"/>
              </w:rPr>
            </w:pPr>
            <w:r>
              <w:rPr>
                <w:rFonts w:eastAsia="Times New Roman"/>
                <w:color w:val="000000"/>
                <w:sz w:val="20"/>
                <w:szCs w:val="20"/>
              </w:rPr>
              <w:t>X</w:t>
            </w:r>
          </w:p>
        </w:tc>
        <w:tc>
          <w:tcPr>
            <w:tcW w:w="938" w:type="dxa"/>
            <w:tcBorders>
              <w:top w:val="single" w:sz="4" w:space="0" w:color="auto"/>
              <w:left w:val="nil"/>
              <w:bottom w:val="nil"/>
              <w:right w:val="nil"/>
            </w:tcBorders>
            <w:shd w:val="clear" w:color="auto" w:fill="auto"/>
            <w:vAlign w:val="center"/>
            <w:hideMark/>
          </w:tcPr>
          <w:p w14:paraId="38D5C6ED" w14:textId="77777777" w:rsidR="000555E5" w:rsidRPr="00A961CC" w:rsidRDefault="000555E5" w:rsidP="00442EDC">
            <w:pPr>
              <w:jc w:val="center"/>
              <w:rPr>
                <w:rFonts w:ascii="Times New Roman" w:eastAsia="Times New Roman" w:hAnsi="Times New Roman"/>
                <w:sz w:val="20"/>
                <w:szCs w:val="20"/>
              </w:rPr>
            </w:pPr>
          </w:p>
        </w:tc>
        <w:tc>
          <w:tcPr>
            <w:tcW w:w="1140" w:type="dxa"/>
            <w:tcBorders>
              <w:top w:val="single" w:sz="4" w:space="0" w:color="auto"/>
              <w:left w:val="nil"/>
              <w:bottom w:val="nil"/>
              <w:right w:val="nil"/>
            </w:tcBorders>
            <w:shd w:val="clear" w:color="auto" w:fill="auto"/>
            <w:vAlign w:val="center"/>
            <w:hideMark/>
          </w:tcPr>
          <w:p w14:paraId="7C3D42F1" w14:textId="77777777" w:rsidR="000555E5" w:rsidRPr="00A961CC" w:rsidRDefault="000555E5" w:rsidP="00442EDC">
            <w:pPr>
              <w:jc w:val="center"/>
              <w:rPr>
                <w:rFonts w:ascii="Times New Roman" w:eastAsia="Times New Roman" w:hAnsi="Times New Roman"/>
                <w:sz w:val="20"/>
                <w:szCs w:val="20"/>
              </w:rPr>
            </w:pPr>
          </w:p>
        </w:tc>
        <w:tc>
          <w:tcPr>
            <w:tcW w:w="1338" w:type="dxa"/>
            <w:tcBorders>
              <w:top w:val="single" w:sz="4" w:space="0" w:color="auto"/>
              <w:left w:val="nil"/>
              <w:bottom w:val="nil"/>
              <w:right w:val="nil"/>
            </w:tcBorders>
            <w:shd w:val="clear" w:color="auto" w:fill="auto"/>
            <w:vAlign w:val="center"/>
            <w:hideMark/>
          </w:tcPr>
          <w:p w14:paraId="553E1761"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r>
      <w:tr w:rsidR="000555E5" w:rsidRPr="00A961CC" w14:paraId="3B4A8906" w14:textId="77777777" w:rsidTr="00442EDC">
        <w:trPr>
          <w:trHeight w:val="20"/>
        </w:trPr>
        <w:tc>
          <w:tcPr>
            <w:tcW w:w="5022" w:type="dxa"/>
            <w:tcBorders>
              <w:top w:val="nil"/>
              <w:left w:val="nil"/>
              <w:bottom w:val="nil"/>
              <w:right w:val="nil"/>
            </w:tcBorders>
            <w:shd w:val="clear" w:color="auto" w:fill="auto"/>
            <w:vAlign w:val="center"/>
            <w:hideMark/>
          </w:tcPr>
          <w:p w14:paraId="71C35EB2" w14:textId="53EE829F" w:rsidR="000555E5" w:rsidRPr="00A961CC" w:rsidRDefault="000555E5" w:rsidP="000555E5">
            <w:pPr>
              <w:pStyle w:val="ListParagraph"/>
              <w:numPr>
                <w:ilvl w:val="1"/>
                <w:numId w:val="22"/>
              </w:numPr>
              <w:spacing w:after="0" w:line="240" w:lineRule="auto"/>
              <w:ind w:left="684"/>
              <w:contextualSpacing w:val="0"/>
              <w:rPr>
                <w:rFonts w:eastAsiaTheme="minorHAnsi"/>
                <w:sz w:val="20"/>
                <w:szCs w:val="20"/>
              </w:rPr>
            </w:pPr>
            <w:r w:rsidRPr="00A961CC">
              <w:rPr>
                <w:rFonts w:cs="Calibri"/>
                <w:sz w:val="20"/>
                <w:szCs w:val="20"/>
              </w:rPr>
              <w:t xml:space="preserve">How does the distribution of funds </w:t>
            </w:r>
            <w:r>
              <w:rPr>
                <w:rFonts w:cs="Calibri"/>
                <w:sz w:val="20"/>
                <w:szCs w:val="20"/>
              </w:rPr>
              <w:t xml:space="preserve">in SBB districts </w:t>
            </w:r>
            <w:r w:rsidRPr="00A961CC">
              <w:rPr>
                <w:rFonts w:cs="Calibri"/>
                <w:sz w:val="20"/>
                <w:szCs w:val="20"/>
              </w:rPr>
              <w:t>vary by school characteristics, such as school size and student need?</w:t>
            </w:r>
          </w:p>
        </w:tc>
        <w:tc>
          <w:tcPr>
            <w:tcW w:w="814" w:type="dxa"/>
            <w:tcBorders>
              <w:top w:val="nil"/>
              <w:left w:val="nil"/>
              <w:bottom w:val="nil"/>
              <w:right w:val="nil"/>
            </w:tcBorders>
            <w:shd w:val="clear" w:color="auto" w:fill="auto"/>
            <w:vAlign w:val="center"/>
            <w:hideMark/>
          </w:tcPr>
          <w:p w14:paraId="6F14BD22" w14:textId="77777777" w:rsidR="000555E5" w:rsidRPr="00A961CC" w:rsidRDefault="000555E5" w:rsidP="00442EDC">
            <w:pPr>
              <w:jc w:val="center"/>
              <w:rPr>
                <w:rFonts w:eastAsia="Times New Roman"/>
                <w:color w:val="000000"/>
                <w:sz w:val="20"/>
                <w:szCs w:val="20"/>
              </w:rPr>
            </w:pPr>
            <w:r>
              <w:rPr>
                <w:rFonts w:eastAsia="Times New Roman"/>
                <w:color w:val="000000"/>
                <w:sz w:val="20"/>
                <w:szCs w:val="20"/>
              </w:rPr>
              <w:t>X</w:t>
            </w:r>
          </w:p>
        </w:tc>
        <w:tc>
          <w:tcPr>
            <w:tcW w:w="938" w:type="dxa"/>
            <w:tcBorders>
              <w:top w:val="nil"/>
              <w:left w:val="nil"/>
              <w:bottom w:val="nil"/>
              <w:right w:val="nil"/>
            </w:tcBorders>
            <w:shd w:val="clear" w:color="auto" w:fill="auto"/>
            <w:vAlign w:val="center"/>
            <w:hideMark/>
          </w:tcPr>
          <w:p w14:paraId="09A8C5E7" w14:textId="77777777" w:rsidR="000555E5" w:rsidRPr="00A961CC" w:rsidRDefault="000555E5" w:rsidP="00442EDC">
            <w:pPr>
              <w:jc w:val="center"/>
              <w:rPr>
                <w:rFonts w:ascii="Times New Roman" w:eastAsia="Times New Roman" w:hAnsi="Times New Roman"/>
                <w:sz w:val="20"/>
                <w:szCs w:val="20"/>
              </w:rPr>
            </w:pPr>
            <w:r w:rsidRPr="009E7665">
              <w:rPr>
                <w:rFonts w:eastAsia="Times New Roman"/>
                <w:color w:val="000000"/>
                <w:sz w:val="20"/>
                <w:szCs w:val="20"/>
              </w:rPr>
              <w:t>X</w:t>
            </w:r>
          </w:p>
        </w:tc>
        <w:tc>
          <w:tcPr>
            <w:tcW w:w="1140" w:type="dxa"/>
            <w:tcBorders>
              <w:top w:val="nil"/>
              <w:left w:val="nil"/>
              <w:bottom w:val="nil"/>
              <w:right w:val="nil"/>
            </w:tcBorders>
            <w:shd w:val="clear" w:color="auto" w:fill="auto"/>
            <w:vAlign w:val="center"/>
            <w:hideMark/>
          </w:tcPr>
          <w:p w14:paraId="2ABCEED5" w14:textId="77777777" w:rsidR="000555E5" w:rsidRPr="00A961CC" w:rsidRDefault="000555E5" w:rsidP="00442EDC">
            <w:pPr>
              <w:jc w:val="center"/>
              <w:rPr>
                <w:rFonts w:ascii="Times New Roman" w:eastAsia="Times New Roman" w:hAnsi="Times New Roman"/>
                <w:sz w:val="20"/>
                <w:szCs w:val="20"/>
              </w:rPr>
            </w:pPr>
          </w:p>
        </w:tc>
        <w:tc>
          <w:tcPr>
            <w:tcW w:w="1338" w:type="dxa"/>
            <w:tcBorders>
              <w:top w:val="nil"/>
              <w:left w:val="nil"/>
              <w:bottom w:val="nil"/>
              <w:right w:val="nil"/>
            </w:tcBorders>
            <w:shd w:val="clear" w:color="auto" w:fill="auto"/>
            <w:vAlign w:val="center"/>
            <w:hideMark/>
          </w:tcPr>
          <w:p w14:paraId="2D2338E6"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r>
      <w:tr w:rsidR="000555E5" w:rsidRPr="00A961CC" w14:paraId="6A346062" w14:textId="77777777" w:rsidTr="00442EDC">
        <w:trPr>
          <w:trHeight w:val="20"/>
        </w:trPr>
        <w:tc>
          <w:tcPr>
            <w:tcW w:w="5022" w:type="dxa"/>
            <w:tcBorders>
              <w:top w:val="nil"/>
              <w:left w:val="nil"/>
              <w:bottom w:val="single" w:sz="4" w:space="0" w:color="auto"/>
              <w:right w:val="nil"/>
            </w:tcBorders>
            <w:shd w:val="clear" w:color="auto" w:fill="auto"/>
            <w:vAlign w:val="center"/>
            <w:hideMark/>
          </w:tcPr>
          <w:p w14:paraId="3577913C" w14:textId="77777777" w:rsidR="000555E5" w:rsidRPr="00A961CC" w:rsidRDefault="000555E5" w:rsidP="000555E5">
            <w:pPr>
              <w:pStyle w:val="ListParagraph"/>
              <w:numPr>
                <w:ilvl w:val="1"/>
                <w:numId w:val="22"/>
              </w:numPr>
              <w:spacing w:after="0" w:line="240" w:lineRule="auto"/>
              <w:ind w:left="684"/>
              <w:contextualSpacing w:val="0"/>
              <w:rPr>
                <w:rFonts w:eastAsiaTheme="minorHAnsi"/>
                <w:sz w:val="20"/>
                <w:szCs w:val="20"/>
              </w:rPr>
            </w:pPr>
            <w:r w:rsidRPr="00A961CC">
              <w:rPr>
                <w:sz w:val="20"/>
                <w:szCs w:val="20"/>
              </w:rPr>
              <w:t xml:space="preserve">How do school choice policies interact with those related to </w:t>
            </w:r>
            <w:r>
              <w:rPr>
                <w:sz w:val="20"/>
                <w:szCs w:val="20"/>
              </w:rPr>
              <w:t>SBB</w:t>
            </w:r>
            <w:r w:rsidRPr="00A961CC">
              <w:rPr>
                <w:sz w:val="20"/>
                <w:szCs w:val="20"/>
              </w:rPr>
              <w:t xml:space="preserve"> systems?</w:t>
            </w:r>
          </w:p>
        </w:tc>
        <w:tc>
          <w:tcPr>
            <w:tcW w:w="814" w:type="dxa"/>
            <w:tcBorders>
              <w:top w:val="nil"/>
              <w:left w:val="nil"/>
              <w:bottom w:val="single" w:sz="4" w:space="0" w:color="auto"/>
              <w:right w:val="nil"/>
            </w:tcBorders>
            <w:shd w:val="clear" w:color="auto" w:fill="auto"/>
            <w:vAlign w:val="center"/>
            <w:hideMark/>
          </w:tcPr>
          <w:p w14:paraId="470B6D68"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1C711AFB" w14:textId="77777777" w:rsidR="000555E5" w:rsidRPr="00A961CC" w:rsidRDefault="000555E5" w:rsidP="00442EDC">
            <w:pPr>
              <w:jc w:val="center"/>
              <w:rPr>
                <w:rFonts w:eastAsia="Times New Roman"/>
                <w:color w:val="000000"/>
                <w:sz w:val="20"/>
                <w:szCs w:val="20"/>
              </w:rPr>
            </w:pPr>
          </w:p>
        </w:tc>
        <w:tc>
          <w:tcPr>
            <w:tcW w:w="1140" w:type="dxa"/>
            <w:tcBorders>
              <w:top w:val="nil"/>
              <w:left w:val="nil"/>
              <w:bottom w:val="single" w:sz="4" w:space="0" w:color="auto"/>
              <w:right w:val="nil"/>
            </w:tcBorders>
            <w:shd w:val="clear" w:color="auto" w:fill="auto"/>
            <w:vAlign w:val="center"/>
            <w:hideMark/>
          </w:tcPr>
          <w:p w14:paraId="3A24CDC0"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30F60BED" w14:textId="77777777" w:rsidR="000555E5" w:rsidRPr="00A961CC" w:rsidRDefault="000555E5" w:rsidP="00442EDC">
            <w:pPr>
              <w:jc w:val="center"/>
              <w:rPr>
                <w:rFonts w:eastAsia="Times New Roman"/>
                <w:color w:val="000000"/>
                <w:sz w:val="20"/>
                <w:szCs w:val="20"/>
              </w:rPr>
            </w:pPr>
          </w:p>
        </w:tc>
      </w:tr>
      <w:tr w:rsidR="000555E5" w:rsidRPr="00A961CC" w14:paraId="3945BC48" w14:textId="77777777" w:rsidTr="00442EDC">
        <w:trPr>
          <w:trHeight w:val="20"/>
        </w:trPr>
        <w:tc>
          <w:tcPr>
            <w:tcW w:w="9252" w:type="dxa"/>
            <w:gridSpan w:val="5"/>
            <w:tcBorders>
              <w:top w:val="single" w:sz="4" w:space="0" w:color="auto"/>
              <w:left w:val="nil"/>
              <w:bottom w:val="single" w:sz="4" w:space="0" w:color="auto"/>
              <w:right w:val="nil"/>
            </w:tcBorders>
            <w:shd w:val="clear" w:color="auto" w:fill="B8CCE4" w:themeFill="accent1" w:themeFillTint="66"/>
            <w:vAlign w:val="center"/>
            <w:hideMark/>
          </w:tcPr>
          <w:p w14:paraId="76626EE8" w14:textId="0015FFF5" w:rsidR="000555E5" w:rsidRPr="00A15715" w:rsidRDefault="000555E5" w:rsidP="000555E5">
            <w:pPr>
              <w:pStyle w:val="ListParagraph"/>
              <w:numPr>
                <w:ilvl w:val="0"/>
                <w:numId w:val="26"/>
              </w:numPr>
              <w:spacing w:after="0" w:line="240" w:lineRule="auto"/>
              <w:ind w:left="324"/>
              <w:contextualSpacing w:val="0"/>
              <w:rPr>
                <w:rFonts w:eastAsia="Times New Roman"/>
                <w:color w:val="000000"/>
                <w:sz w:val="20"/>
                <w:szCs w:val="20"/>
              </w:rPr>
            </w:pPr>
            <w:r w:rsidRPr="00A15715">
              <w:rPr>
                <w:rFonts w:eastAsia="Times New Roman"/>
                <w:b/>
                <w:bCs/>
                <w:color w:val="000000"/>
                <w:sz w:val="20"/>
                <w:szCs w:val="20"/>
              </w:rPr>
              <w:t>What challenges did districts and schools experience in implementing SBB</w:t>
            </w:r>
            <w:r>
              <w:rPr>
                <w:rFonts w:eastAsia="Times New Roman"/>
                <w:b/>
                <w:bCs/>
                <w:color w:val="000000"/>
                <w:sz w:val="20"/>
                <w:szCs w:val="20"/>
              </w:rPr>
              <w:t>,</w:t>
            </w:r>
            <w:r w:rsidRPr="00A15715">
              <w:rPr>
                <w:rFonts w:eastAsia="Times New Roman"/>
                <w:b/>
                <w:bCs/>
                <w:color w:val="000000"/>
                <w:sz w:val="20"/>
                <w:szCs w:val="20"/>
              </w:rPr>
              <w:t xml:space="preserve"> and how did they respond to those challenges?</w:t>
            </w:r>
          </w:p>
        </w:tc>
      </w:tr>
      <w:tr w:rsidR="000555E5" w:rsidRPr="00A961CC" w14:paraId="6FEB44F7" w14:textId="77777777" w:rsidTr="00442EDC">
        <w:trPr>
          <w:trHeight w:val="20"/>
        </w:trPr>
        <w:tc>
          <w:tcPr>
            <w:tcW w:w="5022" w:type="dxa"/>
            <w:tcBorders>
              <w:top w:val="single" w:sz="4" w:space="0" w:color="auto"/>
              <w:left w:val="nil"/>
              <w:right w:val="nil"/>
            </w:tcBorders>
            <w:shd w:val="clear" w:color="auto" w:fill="auto"/>
            <w:vAlign w:val="center"/>
            <w:hideMark/>
          </w:tcPr>
          <w:p w14:paraId="4354F5B1" w14:textId="77777777" w:rsidR="000555E5" w:rsidRPr="00A961CC" w:rsidRDefault="000555E5" w:rsidP="000555E5">
            <w:pPr>
              <w:pStyle w:val="ListParagraph"/>
              <w:numPr>
                <w:ilvl w:val="1"/>
                <w:numId w:val="25"/>
              </w:numPr>
              <w:spacing w:after="0" w:line="240" w:lineRule="auto"/>
              <w:ind w:left="684"/>
              <w:contextualSpacing w:val="0"/>
              <w:rPr>
                <w:rFonts w:eastAsiaTheme="minorHAnsi"/>
                <w:sz w:val="20"/>
                <w:szCs w:val="20"/>
              </w:rPr>
            </w:pPr>
            <w:r>
              <w:rPr>
                <w:sz w:val="20"/>
                <w:szCs w:val="20"/>
              </w:rPr>
              <w:t>In SBB districts, w</w:t>
            </w:r>
            <w:r w:rsidRPr="00A961CC">
              <w:rPr>
                <w:sz w:val="20"/>
                <w:szCs w:val="20"/>
              </w:rPr>
              <w:t>hat types of constraints limit the scope of flexibility that districts are able to provide to principals?</w:t>
            </w:r>
          </w:p>
        </w:tc>
        <w:tc>
          <w:tcPr>
            <w:tcW w:w="814" w:type="dxa"/>
            <w:tcBorders>
              <w:top w:val="single" w:sz="4" w:space="0" w:color="auto"/>
              <w:left w:val="nil"/>
              <w:right w:val="nil"/>
            </w:tcBorders>
            <w:shd w:val="clear" w:color="auto" w:fill="auto"/>
            <w:vAlign w:val="center"/>
            <w:hideMark/>
          </w:tcPr>
          <w:p w14:paraId="2D62517B"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single" w:sz="4" w:space="0" w:color="auto"/>
              <w:left w:val="nil"/>
              <w:right w:val="nil"/>
            </w:tcBorders>
            <w:shd w:val="clear" w:color="auto" w:fill="auto"/>
            <w:vAlign w:val="center"/>
            <w:hideMark/>
          </w:tcPr>
          <w:p w14:paraId="2FDCAEC8"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single" w:sz="4" w:space="0" w:color="auto"/>
              <w:left w:val="nil"/>
              <w:right w:val="nil"/>
            </w:tcBorders>
            <w:shd w:val="clear" w:color="auto" w:fill="auto"/>
            <w:vAlign w:val="center"/>
            <w:hideMark/>
          </w:tcPr>
          <w:p w14:paraId="4029F2FE"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single" w:sz="4" w:space="0" w:color="auto"/>
              <w:left w:val="nil"/>
              <w:right w:val="nil"/>
            </w:tcBorders>
            <w:shd w:val="clear" w:color="auto" w:fill="auto"/>
            <w:vAlign w:val="center"/>
            <w:hideMark/>
          </w:tcPr>
          <w:p w14:paraId="245BC6ED" w14:textId="77777777" w:rsidR="000555E5" w:rsidRPr="00A961CC" w:rsidRDefault="000555E5" w:rsidP="00442EDC">
            <w:pPr>
              <w:jc w:val="center"/>
              <w:rPr>
                <w:rFonts w:eastAsia="Times New Roman"/>
                <w:color w:val="000000"/>
                <w:sz w:val="20"/>
                <w:szCs w:val="20"/>
              </w:rPr>
            </w:pPr>
          </w:p>
        </w:tc>
      </w:tr>
      <w:tr w:rsidR="000555E5" w:rsidRPr="00A961CC" w14:paraId="4B4A5B8F" w14:textId="77777777" w:rsidTr="00442EDC">
        <w:trPr>
          <w:trHeight w:val="20"/>
        </w:trPr>
        <w:tc>
          <w:tcPr>
            <w:tcW w:w="5022" w:type="dxa"/>
            <w:tcBorders>
              <w:top w:val="nil"/>
              <w:left w:val="nil"/>
              <w:bottom w:val="single" w:sz="4" w:space="0" w:color="auto"/>
              <w:right w:val="nil"/>
            </w:tcBorders>
            <w:shd w:val="clear" w:color="auto" w:fill="auto"/>
            <w:vAlign w:val="bottom"/>
            <w:hideMark/>
          </w:tcPr>
          <w:p w14:paraId="2FC1B3E3" w14:textId="77777777" w:rsidR="000555E5" w:rsidRPr="00A961CC" w:rsidRDefault="000555E5" w:rsidP="000555E5">
            <w:pPr>
              <w:pStyle w:val="ListParagraph"/>
              <w:numPr>
                <w:ilvl w:val="1"/>
                <w:numId w:val="25"/>
              </w:numPr>
              <w:spacing w:after="0" w:line="240" w:lineRule="auto"/>
              <w:ind w:left="684"/>
              <w:contextualSpacing w:val="0"/>
              <w:rPr>
                <w:rFonts w:eastAsiaTheme="minorHAnsi"/>
                <w:sz w:val="20"/>
                <w:szCs w:val="20"/>
              </w:rPr>
            </w:pPr>
            <w:r w:rsidRPr="00A961CC">
              <w:rPr>
                <w:rFonts w:eastAsia="Times New Roman" w:cs="Calibri"/>
                <w:sz w:val="20"/>
                <w:szCs w:val="20"/>
              </w:rPr>
              <w:t xml:space="preserve">What training and supports do </w:t>
            </w:r>
            <w:r>
              <w:rPr>
                <w:rFonts w:eastAsia="Times New Roman" w:cs="Calibri"/>
                <w:sz w:val="20"/>
                <w:szCs w:val="20"/>
              </w:rPr>
              <w:t xml:space="preserve">SBB </w:t>
            </w:r>
            <w:r w:rsidRPr="00A961CC">
              <w:rPr>
                <w:rFonts w:eastAsia="Times New Roman" w:cs="Calibri"/>
                <w:sz w:val="20"/>
                <w:szCs w:val="20"/>
              </w:rPr>
              <w:t>districts provide to help principals plan and manage their school budgets, and did principals find these supports helpful?</w:t>
            </w:r>
          </w:p>
        </w:tc>
        <w:tc>
          <w:tcPr>
            <w:tcW w:w="814" w:type="dxa"/>
            <w:tcBorders>
              <w:top w:val="nil"/>
              <w:left w:val="nil"/>
              <w:bottom w:val="single" w:sz="4" w:space="0" w:color="auto"/>
              <w:right w:val="nil"/>
            </w:tcBorders>
            <w:shd w:val="clear" w:color="auto" w:fill="auto"/>
            <w:vAlign w:val="center"/>
            <w:hideMark/>
          </w:tcPr>
          <w:p w14:paraId="351EE48E"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938" w:type="dxa"/>
            <w:tcBorders>
              <w:top w:val="nil"/>
              <w:left w:val="nil"/>
              <w:bottom w:val="single" w:sz="4" w:space="0" w:color="auto"/>
              <w:right w:val="nil"/>
            </w:tcBorders>
            <w:shd w:val="clear" w:color="auto" w:fill="auto"/>
            <w:vAlign w:val="center"/>
            <w:hideMark/>
          </w:tcPr>
          <w:p w14:paraId="7D32F44C"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140" w:type="dxa"/>
            <w:tcBorders>
              <w:top w:val="nil"/>
              <w:left w:val="nil"/>
              <w:bottom w:val="single" w:sz="4" w:space="0" w:color="auto"/>
              <w:right w:val="nil"/>
            </w:tcBorders>
            <w:shd w:val="clear" w:color="auto" w:fill="auto"/>
            <w:vAlign w:val="center"/>
            <w:hideMark/>
          </w:tcPr>
          <w:p w14:paraId="26D30A36" w14:textId="77777777" w:rsidR="000555E5" w:rsidRPr="00A961CC" w:rsidRDefault="000555E5" w:rsidP="00442EDC">
            <w:pPr>
              <w:jc w:val="center"/>
              <w:rPr>
                <w:rFonts w:eastAsia="Times New Roman"/>
                <w:color w:val="000000"/>
                <w:sz w:val="20"/>
                <w:szCs w:val="20"/>
              </w:rPr>
            </w:pPr>
            <w:r w:rsidRPr="00A961CC">
              <w:rPr>
                <w:rFonts w:eastAsia="Times New Roman"/>
                <w:color w:val="000000"/>
                <w:sz w:val="20"/>
                <w:szCs w:val="20"/>
              </w:rPr>
              <w:t>X</w:t>
            </w:r>
          </w:p>
        </w:tc>
        <w:tc>
          <w:tcPr>
            <w:tcW w:w="1338" w:type="dxa"/>
            <w:tcBorders>
              <w:top w:val="nil"/>
              <w:left w:val="nil"/>
              <w:bottom w:val="single" w:sz="4" w:space="0" w:color="auto"/>
              <w:right w:val="nil"/>
            </w:tcBorders>
            <w:shd w:val="clear" w:color="auto" w:fill="auto"/>
            <w:vAlign w:val="center"/>
            <w:hideMark/>
          </w:tcPr>
          <w:p w14:paraId="093B842D" w14:textId="77777777" w:rsidR="000555E5" w:rsidRPr="00A961CC" w:rsidRDefault="000555E5" w:rsidP="00442EDC">
            <w:pPr>
              <w:jc w:val="center"/>
              <w:rPr>
                <w:rFonts w:eastAsia="Times New Roman"/>
                <w:color w:val="000000"/>
                <w:sz w:val="20"/>
                <w:szCs w:val="20"/>
              </w:rPr>
            </w:pPr>
          </w:p>
        </w:tc>
      </w:tr>
    </w:tbl>
    <w:p w14:paraId="7EA7530A" w14:textId="77777777" w:rsidR="000555E5" w:rsidRDefault="000555E5" w:rsidP="00442EDC">
      <w:pPr>
        <w:spacing w:after="0" w:line="240" w:lineRule="auto"/>
      </w:pPr>
      <w:r>
        <w:br w:type="page"/>
      </w:r>
    </w:p>
    <w:p w14:paraId="74299B85" w14:textId="77777777" w:rsidR="000555E5" w:rsidRDefault="000555E5"/>
    <w:p w14:paraId="77ABD4A0" w14:textId="77777777" w:rsidR="0057547B" w:rsidRDefault="000C6EF4">
      <w:pPr>
        <w:pStyle w:val="Heading1"/>
      </w:pPr>
      <w:bookmarkStart w:id="19" w:name="_Toc482978868"/>
      <w:r>
        <w:t>Supporting Statement for Paperwork Reduction Act Submission</w:t>
      </w:r>
      <w:bookmarkEnd w:id="3"/>
      <w:bookmarkEnd w:id="19"/>
    </w:p>
    <w:p w14:paraId="1608EBBF" w14:textId="77777777" w:rsidR="0057547B" w:rsidRDefault="000C6EF4">
      <w:pPr>
        <w:pStyle w:val="Heading2"/>
      </w:pPr>
      <w:bookmarkStart w:id="20" w:name="_Toc482978869"/>
      <w:r>
        <w:t>Description of Statistical Methods</w:t>
      </w:r>
      <w:bookmarkEnd w:id="4"/>
      <w:bookmarkEnd w:id="20"/>
    </w:p>
    <w:p w14:paraId="6F48CE55" w14:textId="77777777" w:rsidR="0057547B" w:rsidRDefault="000C6EF4">
      <w:pPr>
        <w:pStyle w:val="Heading3"/>
      </w:pPr>
      <w:bookmarkStart w:id="21" w:name="_Toc274743224"/>
      <w:bookmarkStart w:id="22" w:name="_Toc482978870"/>
      <w:r>
        <w:t>1. Sampling Design</w:t>
      </w:r>
      <w:bookmarkEnd w:id="21"/>
      <w:bookmarkEnd w:id="22"/>
    </w:p>
    <w:p w14:paraId="57208BD0" w14:textId="77777777" w:rsidR="0057547B" w:rsidRDefault="000C6EF4">
      <w:pPr>
        <w:pStyle w:val="BodyText"/>
      </w:pPr>
      <w:r>
        <w:t xml:space="preserve">This study will include the following two samples, which will provide different types of data for addressing the study’s research questions. </w:t>
      </w:r>
    </w:p>
    <w:p w14:paraId="0D412297" w14:textId="22D9065D" w:rsidR="0032028A" w:rsidRDefault="0032028A" w:rsidP="000555E5">
      <w:pPr>
        <w:pStyle w:val="Bullet1"/>
        <w:spacing w:after="120"/>
        <w:contextualSpacing w:val="0"/>
      </w:pPr>
      <w:r>
        <w:rPr>
          <w:b/>
        </w:rPr>
        <w:t>Nationally representative survey sample.</w:t>
      </w:r>
      <w:r>
        <w:t xml:space="preserve"> </w:t>
      </w:r>
      <w:r w:rsidRPr="002B3999">
        <w:t>Based on the statistical power analysis below,</w:t>
      </w:r>
      <w:r>
        <w:rPr>
          <w:b/>
        </w:rPr>
        <w:t xml:space="preserve"> </w:t>
      </w:r>
      <w:r w:rsidR="00F81B2B">
        <w:t xml:space="preserve">the study will include </w:t>
      </w:r>
      <w:r>
        <w:t xml:space="preserve">a sample of </w:t>
      </w:r>
      <w:r w:rsidR="00775331">
        <w:t>400</w:t>
      </w:r>
      <w:r w:rsidR="00D0445C">
        <w:t xml:space="preserve"> </w:t>
      </w:r>
      <w:r>
        <w:t xml:space="preserve">district administrators and </w:t>
      </w:r>
      <w:r w:rsidR="0016737C">
        <w:t xml:space="preserve">679 </w:t>
      </w:r>
      <w:r>
        <w:t>school principals within those districts.</w:t>
      </w:r>
    </w:p>
    <w:p w14:paraId="16A08B00" w14:textId="7AD5D827" w:rsidR="0057547B" w:rsidRDefault="000C6EF4">
      <w:pPr>
        <w:pStyle w:val="Bullet1"/>
      </w:pPr>
      <w:r>
        <w:rPr>
          <w:b/>
        </w:rPr>
        <w:t xml:space="preserve">Case study sample. </w:t>
      </w:r>
      <w:r>
        <w:t xml:space="preserve">A set of nine </w:t>
      </w:r>
      <w:r w:rsidR="00410117">
        <w:t xml:space="preserve">school </w:t>
      </w:r>
      <w:r>
        <w:t xml:space="preserve">districts implementing </w:t>
      </w:r>
      <w:r w:rsidR="00BB63FD">
        <w:t xml:space="preserve">SBB </w:t>
      </w:r>
      <w:r>
        <w:t>systems</w:t>
      </w:r>
      <w:r w:rsidR="00BB63FD">
        <w:t xml:space="preserve"> that use weights to adjust funding based on student needs</w:t>
      </w:r>
      <w:r w:rsidR="00542CDA">
        <w:t>, i.e., WSF districts</w:t>
      </w:r>
      <w:r>
        <w:t>, which will be the focus of extant data collection as well as interviews with district and school staff.</w:t>
      </w:r>
    </w:p>
    <w:p w14:paraId="395B2C21" w14:textId="77777777" w:rsidR="0057547B" w:rsidRDefault="000C6EF4">
      <w:pPr>
        <w:pStyle w:val="Heading3a"/>
      </w:pPr>
      <w:r>
        <w:t>Nationally Representative Survey Sample</w:t>
      </w:r>
    </w:p>
    <w:p w14:paraId="79B8B3E5" w14:textId="2EDFFEB2" w:rsidR="0057547B" w:rsidRDefault="000C6EF4">
      <w:pPr>
        <w:pStyle w:val="BodyText"/>
      </w:pPr>
      <w:r>
        <w:t>The target population</w:t>
      </w:r>
      <w:r w:rsidR="00F81B2B">
        <w:t xml:space="preserve"> of the nationally representative survey</w:t>
      </w:r>
      <w:r>
        <w:t xml:space="preserve"> includes all public school districts in the United States </w:t>
      </w:r>
      <w:r w:rsidR="000555E5">
        <w:t xml:space="preserve">serving a large enough enrollment and number of schools </w:t>
      </w:r>
      <w:r w:rsidR="0029324C">
        <w:t xml:space="preserve">that would make </w:t>
      </w:r>
      <w:r w:rsidR="00AA757D">
        <w:t xml:space="preserve">adoption </w:t>
      </w:r>
      <w:r w:rsidR="00C550FF">
        <w:t xml:space="preserve">of </w:t>
      </w:r>
      <w:r w:rsidR="0029324C">
        <w:t>a</w:t>
      </w:r>
      <w:r w:rsidR="00587D92">
        <w:t>n</w:t>
      </w:r>
      <w:r w:rsidR="0029324C">
        <w:t xml:space="preserve"> </w:t>
      </w:r>
      <w:r w:rsidR="00BB63FD">
        <w:t xml:space="preserve">SBB </w:t>
      </w:r>
      <w:r w:rsidR="0029324C">
        <w:t>system</w:t>
      </w:r>
      <w:r w:rsidR="00C550FF">
        <w:t xml:space="preserve"> </w:t>
      </w:r>
      <w:r w:rsidR="00AA757D">
        <w:t>a relevant option</w:t>
      </w:r>
      <w:r>
        <w:t xml:space="preserve">. </w:t>
      </w:r>
      <w:r w:rsidR="001D5487">
        <w:t xml:space="preserve">Due to the nature of </w:t>
      </w:r>
      <w:r w:rsidR="00BB63FD">
        <w:t xml:space="preserve">SBB </w:t>
      </w:r>
      <w:r w:rsidR="001D5487">
        <w:t>systems, small districts with very few schools are unlikely to consider implementing such policies.</w:t>
      </w:r>
      <w:r>
        <w:t xml:space="preserve"> </w:t>
      </w:r>
      <w:r w:rsidR="00CB71F6">
        <w:t>D</w:t>
      </w:r>
      <w:r w:rsidR="00CB71F6">
        <w:rPr>
          <w:color w:val="000000" w:themeColor="text1"/>
        </w:rPr>
        <w:t xml:space="preserve">rawing on reports such </w:t>
      </w:r>
      <w:r w:rsidR="00CB71F6">
        <w:rPr>
          <w:color w:val="000000" w:themeColor="text1"/>
          <w:lang w:eastAsia="ko-KR" w:bidi="en-US"/>
        </w:rPr>
        <w:t xml:space="preserve">as the Reason Foundation Weighted Student Formula Yearbook (Snell and </w:t>
      </w:r>
      <w:proofErr w:type="spellStart"/>
      <w:r w:rsidR="00CB71F6">
        <w:rPr>
          <w:color w:val="000000" w:themeColor="text1"/>
          <w:lang w:eastAsia="ko-KR" w:bidi="en-US"/>
        </w:rPr>
        <w:t>Furtick</w:t>
      </w:r>
      <w:proofErr w:type="spellEnd"/>
      <w:r w:rsidR="00F81B2B">
        <w:rPr>
          <w:color w:val="000000" w:themeColor="text1"/>
          <w:lang w:eastAsia="ko-KR" w:bidi="en-US"/>
        </w:rPr>
        <w:t xml:space="preserve"> </w:t>
      </w:r>
      <w:r w:rsidR="00CB71F6">
        <w:rPr>
          <w:color w:val="000000" w:themeColor="text1"/>
          <w:lang w:eastAsia="ko-KR" w:bidi="en-US"/>
        </w:rPr>
        <w:t xml:space="preserve">2013) and the presentation by </w:t>
      </w:r>
      <w:proofErr w:type="spellStart"/>
      <w:r w:rsidR="00CB71F6">
        <w:rPr>
          <w:color w:val="000000" w:themeColor="text1"/>
          <w:lang w:eastAsia="ko-KR" w:bidi="en-US"/>
        </w:rPr>
        <w:t>Koteskey</w:t>
      </w:r>
      <w:proofErr w:type="spellEnd"/>
      <w:r w:rsidR="00CB71F6">
        <w:rPr>
          <w:color w:val="000000" w:themeColor="text1"/>
          <w:lang w:eastAsia="ko-KR" w:bidi="en-US"/>
        </w:rPr>
        <w:t xml:space="preserve"> and Snell at the July 2016 Future of Education Finance Summit</w:t>
      </w:r>
      <w:r w:rsidR="00CB71F6">
        <w:rPr>
          <w:rStyle w:val="FootnoteReference"/>
          <w:color w:val="000000" w:themeColor="text1"/>
          <w:szCs w:val="23"/>
          <w:lang w:eastAsia="ko-KR" w:bidi="en-US"/>
        </w:rPr>
        <w:footnoteReference w:id="1"/>
      </w:r>
      <w:r w:rsidR="00CB71F6">
        <w:rPr>
          <w:color w:val="000000" w:themeColor="text1"/>
          <w:lang w:eastAsia="ko-KR" w:bidi="en-US"/>
        </w:rPr>
        <w:t xml:space="preserve">, </w:t>
      </w:r>
      <w:r w:rsidR="00522258">
        <w:rPr>
          <w:color w:val="000000" w:themeColor="text1"/>
          <w:lang w:eastAsia="ko-KR" w:bidi="en-US"/>
        </w:rPr>
        <w:t xml:space="preserve">as well as examination of district websites, </w:t>
      </w:r>
      <w:r w:rsidR="00CB71F6">
        <w:t>t</w:t>
      </w:r>
      <w:r>
        <w:t xml:space="preserve">he study team has identified </w:t>
      </w:r>
      <w:r w:rsidR="00522258">
        <w:t>31</w:t>
      </w:r>
      <w:r>
        <w:t xml:space="preserve"> districts that are currently implementing, have </w:t>
      </w:r>
      <w:r w:rsidR="004F66B0">
        <w:t xml:space="preserve">previously </w:t>
      </w:r>
      <w:r>
        <w:t xml:space="preserve">implemented, or are actively considering implementing </w:t>
      </w:r>
      <w:r w:rsidR="009E2E9E">
        <w:t xml:space="preserve">a </w:t>
      </w:r>
      <w:r w:rsidR="00442EDC">
        <w:t xml:space="preserve">WSF or </w:t>
      </w:r>
      <w:r w:rsidR="00BB63FD">
        <w:t xml:space="preserve">SBB </w:t>
      </w:r>
      <w:r w:rsidR="009E2E9E">
        <w:t>system</w:t>
      </w:r>
      <w:r>
        <w:t xml:space="preserve"> </w:t>
      </w:r>
      <w:r w:rsidR="0032028A">
        <w:t>(Exhibit 3)</w:t>
      </w:r>
      <w:r w:rsidR="00442EDC">
        <w:t>.</w:t>
      </w:r>
      <w:r w:rsidR="0032028A">
        <w:t xml:space="preserve"> </w:t>
      </w:r>
      <w:r>
        <w:t>The smallest of these identified districts—New London School Dis</w:t>
      </w:r>
      <w:r w:rsidR="00B97C17">
        <w:t>trict, Connecticut—contained 6</w:t>
      </w:r>
      <w:r>
        <w:t xml:space="preserve"> schools and enrolled 3,199 students in 2014–15. Based on this information, we contend that it is unlikely that school districts with fewer than six schools will be </w:t>
      </w:r>
      <w:r w:rsidR="00BB63FD">
        <w:t xml:space="preserve">SBB </w:t>
      </w:r>
      <w:r>
        <w:t xml:space="preserve">implementers. Therefore, we will restrict the target population to those districts that have at least six schools. Districts with a mix of charter and </w:t>
      </w:r>
      <w:proofErr w:type="spellStart"/>
      <w:r>
        <w:t>noncharter</w:t>
      </w:r>
      <w:proofErr w:type="spellEnd"/>
      <w:r>
        <w:t xml:space="preserve"> schools </w:t>
      </w:r>
      <w:r w:rsidR="00F81B2B">
        <w:t xml:space="preserve">will </w:t>
      </w:r>
      <w:r>
        <w:t>be included; however, districts consisting entirely of charter schools will be excluded</w:t>
      </w:r>
      <w:r w:rsidR="00F81B2B">
        <w:t xml:space="preserve"> as they</w:t>
      </w:r>
      <w:r w:rsidR="00B97C17">
        <w:t xml:space="preserve"> </w:t>
      </w:r>
      <w:r w:rsidR="00CE0D41">
        <w:t>may</w:t>
      </w:r>
      <w:r w:rsidR="0029324C">
        <w:t xml:space="preserve"> have governance structures and resource allocation mechanisms in place that are different </w:t>
      </w:r>
      <w:r w:rsidR="00D03E5A">
        <w:t xml:space="preserve">from </w:t>
      </w:r>
      <w:r w:rsidR="0029324C">
        <w:t>and not applicable to traditional school districts.</w:t>
      </w:r>
    </w:p>
    <w:p w14:paraId="31B4977E" w14:textId="623AB02E" w:rsidR="00936BD7" w:rsidRDefault="00B97C17" w:rsidP="00B97C17">
      <w:pPr>
        <w:pStyle w:val="BodyText"/>
      </w:pPr>
      <w:r>
        <w:t xml:space="preserve">The sample selection for the surveys will be completed in </w:t>
      </w:r>
      <w:r w:rsidR="00B67806">
        <w:t xml:space="preserve">July </w:t>
      </w:r>
      <w:r>
        <w:t xml:space="preserve">2017, subject to OMB approval. </w:t>
      </w:r>
      <w:r w:rsidR="00F81B2B">
        <w:t>T</w:t>
      </w:r>
      <w:r>
        <w:t>he survey sample will be drawn from the 2014–15 Common Core of Data (CCD) Public Elementary/Secondary School Universe Survey conducted by the National Center for Education Statistics (NCES), which provides a complete listing of all public elementary and secondar</w:t>
      </w:r>
      <w:r w:rsidR="00442EDC">
        <w:t>y schools in the United States.</w:t>
      </w:r>
    </w:p>
    <w:p w14:paraId="5B28FD42" w14:textId="77777777" w:rsidR="00B97C17" w:rsidRDefault="00B97C17">
      <w:pPr>
        <w:spacing w:after="0" w:line="240" w:lineRule="auto"/>
        <w:rPr>
          <w:rFonts w:asciiTheme="minorHAnsi" w:eastAsia="Times New Roman" w:hAnsiTheme="minorHAnsi"/>
          <w:b/>
          <w:sz w:val="23"/>
          <w:szCs w:val="24"/>
        </w:rPr>
      </w:pPr>
      <w:r>
        <w:rPr>
          <w:b/>
        </w:rPr>
        <w:br w:type="page"/>
      </w:r>
    </w:p>
    <w:p w14:paraId="6CD20A7A" w14:textId="65F25303" w:rsidR="0032028A" w:rsidRPr="00885663" w:rsidRDefault="0032028A" w:rsidP="00C62B30">
      <w:pPr>
        <w:pStyle w:val="ExhibitTitle"/>
        <w:tabs>
          <w:tab w:val="left" w:pos="990"/>
        </w:tabs>
        <w:ind w:left="990" w:hanging="990"/>
      </w:pPr>
      <w:proofErr w:type="gramStart"/>
      <w:r w:rsidRPr="00885663">
        <w:lastRenderedPageBreak/>
        <w:t>Exhibit 3</w:t>
      </w:r>
      <w:r w:rsidR="00885663" w:rsidRPr="00885663">
        <w:t>.</w:t>
      </w:r>
      <w:proofErr w:type="gramEnd"/>
      <w:r w:rsidR="00C62B30">
        <w:tab/>
      </w:r>
      <w:r w:rsidR="00731F5C" w:rsidRPr="00731F5C">
        <w:t xml:space="preserve">Districts Identified As </w:t>
      </w:r>
      <w:r w:rsidR="00744548">
        <w:t>Currently Implementing,</w:t>
      </w:r>
      <w:r w:rsidR="00744548" w:rsidRPr="00731F5C">
        <w:t xml:space="preserve"> </w:t>
      </w:r>
      <w:r w:rsidR="00731F5C" w:rsidRPr="00731F5C">
        <w:t>Previous</w:t>
      </w:r>
      <w:r w:rsidR="00731F5C">
        <w:t>ly</w:t>
      </w:r>
      <w:r w:rsidR="00731F5C" w:rsidRPr="00731F5C">
        <w:t xml:space="preserve"> </w:t>
      </w:r>
      <w:r w:rsidR="00744548">
        <w:t>Implemented</w:t>
      </w:r>
      <w:r w:rsidR="00731F5C">
        <w:t>,</w:t>
      </w:r>
      <w:r w:rsidR="00731F5C" w:rsidRPr="00731F5C">
        <w:t xml:space="preserve"> or Considering a Weighted Student Funding or Student-Based Budgeting System</w:t>
      </w:r>
    </w:p>
    <w:tbl>
      <w:tblPr>
        <w:tblW w:w="7992" w:type="dxa"/>
        <w:jc w:val="center"/>
        <w:tblLook w:val="04A0" w:firstRow="1" w:lastRow="0" w:firstColumn="1" w:lastColumn="0" w:noHBand="0" w:noVBand="1"/>
      </w:tblPr>
      <w:tblGrid>
        <w:gridCol w:w="3200"/>
        <w:gridCol w:w="649"/>
        <w:gridCol w:w="1177"/>
        <w:gridCol w:w="1796"/>
        <w:gridCol w:w="1170"/>
      </w:tblGrid>
      <w:tr w:rsidR="00B97C17" w:rsidRPr="00531469" w14:paraId="1DB46F01" w14:textId="77777777" w:rsidTr="00C62B30">
        <w:trPr>
          <w:trHeight w:val="276"/>
          <w:jc w:val="center"/>
        </w:trPr>
        <w:tc>
          <w:tcPr>
            <w:tcW w:w="3200" w:type="dxa"/>
            <w:tcBorders>
              <w:top w:val="nil"/>
              <w:left w:val="nil"/>
              <w:bottom w:val="single" w:sz="4" w:space="0" w:color="auto"/>
              <w:right w:val="nil"/>
            </w:tcBorders>
            <w:shd w:val="clear" w:color="auto" w:fill="548DD4" w:themeFill="text2" w:themeFillTint="99"/>
            <w:noWrap/>
            <w:vAlign w:val="center"/>
            <w:hideMark/>
          </w:tcPr>
          <w:p w14:paraId="4E1D1909" w14:textId="77777777" w:rsidR="00B97C17" w:rsidRPr="00C62B30" w:rsidRDefault="00B97C17" w:rsidP="00C62B30">
            <w:pPr>
              <w:pStyle w:val="ExhibitHeading"/>
              <w:spacing w:before="40" w:after="40"/>
              <w:rPr>
                <w:rFonts w:asciiTheme="minorHAnsi" w:hAnsiTheme="minorHAnsi"/>
                <w:color w:val="FFFFFF" w:themeColor="background1"/>
              </w:rPr>
            </w:pPr>
            <w:r w:rsidRPr="00C62B30">
              <w:rPr>
                <w:rFonts w:asciiTheme="minorHAnsi" w:hAnsiTheme="minorHAnsi"/>
                <w:color w:val="FFFFFF" w:themeColor="background1"/>
              </w:rPr>
              <w:t>District Name</w:t>
            </w:r>
          </w:p>
        </w:tc>
        <w:tc>
          <w:tcPr>
            <w:tcW w:w="649" w:type="dxa"/>
            <w:tcBorders>
              <w:top w:val="nil"/>
              <w:left w:val="nil"/>
              <w:bottom w:val="single" w:sz="4" w:space="0" w:color="auto"/>
              <w:right w:val="nil"/>
            </w:tcBorders>
            <w:shd w:val="clear" w:color="auto" w:fill="548DD4" w:themeFill="text2" w:themeFillTint="99"/>
            <w:noWrap/>
            <w:vAlign w:val="center"/>
            <w:hideMark/>
          </w:tcPr>
          <w:p w14:paraId="4D563AEC" w14:textId="77777777" w:rsidR="00B97C17" w:rsidRPr="00C62B30" w:rsidRDefault="00B97C17" w:rsidP="00C62B30">
            <w:pPr>
              <w:pStyle w:val="ExhibitHeading"/>
              <w:spacing w:before="40" w:after="40"/>
              <w:rPr>
                <w:rFonts w:asciiTheme="minorHAnsi" w:hAnsiTheme="minorHAnsi"/>
                <w:color w:val="FFFFFF" w:themeColor="background1"/>
              </w:rPr>
            </w:pPr>
            <w:r w:rsidRPr="00C62B30">
              <w:rPr>
                <w:rFonts w:asciiTheme="minorHAnsi" w:hAnsiTheme="minorHAnsi"/>
                <w:color w:val="FFFFFF" w:themeColor="background1"/>
              </w:rPr>
              <w:t>State</w:t>
            </w:r>
          </w:p>
        </w:tc>
        <w:tc>
          <w:tcPr>
            <w:tcW w:w="1177" w:type="dxa"/>
            <w:tcBorders>
              <w:top w:val="nil"/>
              <w:left w:val="nil"/>
              <w:bottom w:val="single" w:sz="4" w:space="0" w:color="auto"/>
              <w:right w:val="nil"/>
            </w:tcBorders>
            <w:shd w:val="clear" w:color="auto" w:fill="548DD4" w:themeFill="text2" w:themeFillTint="99"/>
            <w:noWrap/>
            <w:vAlign w:val="center"/>
            <w:hideMark/>
          </w:tcPr>
          <w:p w14:paraId="001F429C" w14:textId="77777777" w:rsidR="00B97C17" w:rsidRPr="00C62B30" w:rsidRDefault="00B97C17" w:rsidP="00C62B30">
            <w:pPr>
              <w:pStyle w:val="ExhibitHeading"/>
              <w:spacing w:before="40" w:after="40"/>
              <w:rPr>
                <w:rFonts w:asciiTheme="minorHAnsi" w:hAnsiTheme="minorHAnsi"/>
                <w:color w:val="FFFFFF" w:themeColor="background1"/>
              </w:rPr>
            </w:pPr>
            <w:r w:rsidRPr="00C62B30">
              <w:rPr>
                <w:rFonts w:asciiTheme="minorHAnsi" w:hAnsiTheme="minorHAnsi"/>
                <w:color w:val="FFFFFF" w:themeColor="background1"/>
              </w:rPr>
              <w:t>Enrollment</w:t>
            </w:r>
          </w:p>
        </w:tc>
        <w:tc>
          <w:tcPr>
            <w:tcW w:w="1796" w:type="dxa"/>
            <w:tcBorders>
              <w:top w:val="nil"/>
              <w:left w:val="nil"/>
              <w:bottom w:val="single" w:sz="4" w:space="0" w:color="auto"/>
              <w:right w:val="nil"/>
            </w:tcBorders>
            <w:shd w:val="clear" w:color="auto" w:fill="548DD4" w:themeFill="text2" w:themeFillTint="99"/>
            <w:noWrap/>
            <w:vAlign w:val="center"/>
            <w:hideMark/>
          </w:tcPr>
          <w:p w14:paraId="4A4B0A1A" w14:textId="77777777" w:rsidR="00B97C17" w:rsidRPr="00C62B30" w:rsidRDefault="00B97C17" w:rsidP="00C62B30">
            <w:pPr>
              <w:pStyle w:val="ExhibitHeading"/>
              <w:spacing w:before="40" w:after="40"/>
              <w:rPr>
                <w:rFonts w:asciiTheme="minorHAnsi" w:hAnsiTheme="minorHAnsi"/>
                <w:color w:val="FFFFFF" w:themeColor="background1"/>
              </w:rPr>
            </w:pPr>
            <w:r w:rsidRPr="00C62B30">
              <w:rPr>
                <w:rFonts w:asciiTheme="minorHAnsi" w:hAnsiTheme="minorHAnsi"/>
                <w:color w:val="FFFFFF" w:themeColor="background1"/>
              </w:rPr>
              <w:t>Number of Schools</w:t>
            </w:r>
          </w:p>
        </w:tc>
        <w:tc>
          <w:tcPr>
            <w:tcW w:w="1170" w:type="dxa"/>
            <w:tcBorders>
              <w:top w:val="nil"/>
              <w:left w:val="nil"/>
              <w:bottom w:val="single" w:sz="4" w:space="0" w:color="auto"/>
              <w:right w:val="nil"/>
            </w:tcBorders>
            <w:shd w:val="clear" w:color="auto" w:fill="548DD4" w:themeFill="text2" w:themeFillTint="99"/>
            <w:noWrap/>
            <w:vAlign w:val="center"/>
            <w:hideMark/>
          </w:tcPr>
          <w:p w14:paraId="3BCF6076" w14:textId="77777777" w:rsidR="00B97C17" w:rsidRPr="00C62B30" w:rsidRDefault="00B97C17" w:rsidP="00B97C17">
            <w:pPr>
              <w:spacing w:after="0" w:line="240" w:lineRule="auto"/>
              <w:jc w:val="center"/>
              <w:rPr>
                <w:rFonts w:asciiTheme="minorHAnsi" w:eastAsia="Times New Roman" w:hAnsiTheme="minorHAnsi"/>
                <w:b/>
                <w:color w:val="FFFFFF" w:themeColor="background1"/>
                <w:sz w:val="20"/>
                <w:szCs w:val="20"/>
              </w:rPr>
            </w:pPr>
            <w:proofErr w:type="spellStart"/>
            <w:r w:rsidRPr="00C62B30">
              <w:rPr>
                <w:rFonts w:asciiTheme="minorHAnsi" w:eastAsia="Times New Roman" w:hAnsiTheme="minorHAnsi"/>
                <w:b/>
                <w:color w:val="FFFFFF" w:themeColor="background1"/>
                <w:sz w:val="20"/>
                <w:szCs w:val="20"/>
              </w:rPr>
              <w:t>Urbanicity</w:t>
            </w:r>
            <w:proofErr w:type="spellEnd"/>
          </w:p>
        </w:tc>
      </w:tr>
      <w:tr w:rsidR="00936BD7" w:rsidRPr="00531469" w14:paraId="2C5C5EE6" w14:textId="77777777" w:rsidTr="00C62B30">
        <w:trPr>
          <w:trHeight w:val="276"/>
          <w:jc w:val="center"/>
        </w:trPr>
        <w:tc>
          <w:tcPr>
            <w:tcW w:w="3200" w:type="dxa"/>
            <w:tcBorders>
              <w:top w:val="single" w:sz="4" w:space="0" w:color="auto"/>
              <w:left w:val="nil"/>
              <w:bottom w:val="nil"/>
              <w:right w:val="nil"/>
            </w:tcBorders>
            <w:shd w:val="clear" w:color="auto" w:fill="auto"/>
            <w:noWrap/>
            <w:vAlign w:val="center"/>
            <w:hideMark/>
          </w:tcPr>
          <w:p w14:paraId="2E132E90" w14:textId="720DCA1D"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Adams 12 Five Star Schools</w:t>
            </w:r>
          </w:p>
        </w:tc>
        <w:tc>
          <w:tcPr>
            <w:tcW w:w="649" w:type="dxa"/>
            <w:tcBorders>
              <w:top w:val="single" w:sz="4" w:space="0" w:color="auto"/>
              <w:left w:val="nil"/>
              <w:bottom w:val="nil"/>
              <w:right w:val="nil"/>
            </w:tcBorders>
            <w:shd w:val="clear" w:color="auto" w:fill="auto"/>
            <w:noWrap/>
            <w:vAlign w:val="center"/>
            <w:hideMark/>
          </w:tcPr>
          <w:p w14:paraId="30EE22CE" w14:textId="74CC32C8"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single" w:sz="4" w:space="0" w:color="auto"/>
              <w:left w:val="nil"/>
              <w:bottom w:val="nil"/>
              <w:right w:val="nil"/>
            </w:tcBorders>
            <w:shd w:val="clear" w:color="auto" w:fill="auto"/>
            <w:noWrap/>
            <w:vAlign w:val="center"/>
            <w:hideMark/>
          </w:tcPr>
          <w:p w14:paraId="3ABA002B" w14:textId="1EC5B90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38,701</w:t>
            </w:r>
          </w:p>
        </w:tc>
        <w:tc>
          <w:tcPr>
            <w:tcW w:w="1796" w:type="dxa"/>
            <w:tcBorders>
              <w:top w:val="single" w:sz="4" w:space="0" w:color="auto"/>
              <w:left w:val="nil"/>
              <w:bottom w:val="nil"/>
              <w:right w:val="nil"/>
            </w:tcBorders>
            <w:shd w:val="clear" w:color="auto" w:fill="auto"/>
            <w:noWrap/>
            <w:vAlign w:val="center"/>
            <w:hideMark/>
          </w:tcPr>
          <w:p w14:paraId="0CA54877" w14:textId="0EE19E8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53</w:t>
            </w:r>
          </w:p>
        </w:tc>
        <w:tc>
          <w:tcPr>
            <w:tcW w:w="1170" w:type="dxa"/>
            <w:tcBorders>
              <w:top w:val="single" w:sz="4" w:space="0" w:color="auto"/>
              <w:left w:val="nil"/>
              <w:bottom w:val="nil"/>
              <w:right w:val="nil"/>
            </w:tcBorders>
            <w:shd w:val="clear" w:color="auto" w:fill="auto"/>
            <w:noWrap/>
            <w:vAlign w:val="center"/>
            <w:hideMark/>
          </w:tcPr>
          <w:p w14:paraId="3BD9C4B6" w14:textId="65682AA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147931EE"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EB15CCB" w14:textId="6E1C89D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Baltimore City Public Schools</w:t>
            </w:r>
          </w:p>
        </w:tc>
        <w:tc>
          <w:tcPr>
            <w:tcW w:w="649" w:type="dxa"/>
            <w:tcBorders>
              <w:top w:val="nil"/>
              <w:left w:val="nil"/>
              <w:bottom w:val="nil"/>
              <w:right w:val="nil"/>
            </w:tcBorders>
            <w:shd w:val="clear" w:color="auto" w:fill="auto"/>
            <w:noWrap/>
            <w:vAlign w:val="center"/>
            <w:hideMark/>
          </w:tcPr>
          <w:p w14:paraId="2541BD47" w14:textId="6C995A7F"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MD</w:t>
            </w:r>
          </w:p>
        </w:tc>
        <w:tc>
          <w:tcPr>
            <w:tcW w:w="1177" w:type="dxa"/>
            <w:tcBorders>
              <w:top w:val="nil"/>
              <w:left w:val="nil"/>
              <w:bottom w:val="nil"/>
              <w:right w:val="nil"/>
            </w:tcBorders>
            <w:shd w:val="clear" w:color="auto" w:fill="auto"/>
            <w:noWrap/>
            <w:vAlign w:val="center"/>
            <w:hideMark/>
          </w:tcPr>
          <w:p w14:paraId="66070510" w14:textId="56FD61D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84,976</w:t>
            </w:r>
          </w:p>
        </w:tc>
        <w:tc>
          <w:tcPr>
            <w:tcW w:w="1796" w:type="dxa"/>
            <w:tcBorders>
              <w:top w:val="nil"/>
              <w:left w:val="nil"/>
              <w:bottom w:val="nil"/>
              <w:right w:val="nil"/>
            </w:tcBorders>
            <w:shd w:val="clear" w:color="auto" w:fill="auto"/>
            <w:noWrap/>
            <w:vAlign w:val="center"/>
            <w:hideMark/>
          </w:tcPr>
          <w:p w14:paraId="365A2076" w14:textId="6809070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189</w:t>
            </w:r>
          </w:p>
        </w:tc>
        <w:tc>
          <w:tcPr>
            <w:tcW w:w="1170" w:type="dxa"/>
            <w:tcBorders>
              <w:top w:val="nil"/>
              <w:left w:val="nil"/>
              <w:bottom w:val="nil"/>
              <w:right w:val="nil"/>
            </w:tcBorders>
            <w:shd w:val="clear" w:color="auto" w:fill="auto"/>
            <w:noWrap/>
            <w:vAlign w:val="center"/>
            <w:hideMark/>
          </w:tcPr>
          <w:p w14:paraId="3A9C2D0D" w14:textId="40DBCD6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325C8CCB"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087D21A6" w14:textId="6C48E8C4"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Boston Public Schools</w:t>
            </w:r>
          </w:p>
        </w:tc>
        <w:tc>
          <w:tcPr>
            <w:tcW w:w="649" w:type="dxa"/>
            <w:tcBorders>
              <w:top w:val="nil"/>
              <w:left w:val="nil"/>
              <w:bottom w:val="nil"/>
              <w:right w:val="nil"/>
            </w:tcBorders>
            <w:shd w:val="clear" w:color="auto" w:fill="auto"/>
            <w:noWrap/>
            <w:vAlign w:val="center"/>
            <w:hideMark/>
          </w:tcPr>
          <w:p w14:paraId="43809AE5" w14:textId="3382F991"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MA</w:t>
            </w:r>
          </w:p>
        </w:tc>
        <w:tc>
          <w:tcPr>
            <w:tcW w:w="1177" w:type="dxa"/>
            <w:tcBorders>
              <w:top w:val="nil"/>
              <w:left w:val="nil"/>
              <w:bottom w:val="nil"/>
              <w:right w:val="nil"/>
            </w:tcBorders>
            <w:shd w:val="clear" w:color="auto" w:fill="auto"/>
            <w:noWrap/>
            <w:vAlign w:val="center"/>
            <w:hideMark/>
          </w:tcPr>
          <w:p w14:paraId="37C328DF" w14:textId="02BA857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54,312</w:t>
            </w:r>
          </w:p>
        </w:tc>
        <w:tc>
          <w:tcPr>
            <w:tcW w:w="1796" w:type="dxa"/>
            <w:tcBorders>
              <w:top w:val="nil"/>
              <w:left w:val="nil"/>
              <w:bottom w:val="nil"/>
              <w:right w:val="nil"/>
            </w:tcBorders>
            <w:shd w:val="clear" w:color="auto" w:fill="auto"/>
            <w:noWrap/>
            <w:vAlign w:val="center"/>
            <w:hideMark/>
          </w:tcPr>
          <w:p w14:paraId="5503B925" w14:textId="2BFCF06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120</w:t>
            </w:r>
          </w:p>
        </w:tc>
        <w:tc>
          <w:tcPr>
            <w:tcW w:w="1170" w:type="dxa"/>
            <w:tcBorders>
              <w:top w:val="nil"/>
              <w:left w:val="nil"/>
              <w:bottom w:val="nil"/>
              <w:right w:val="nil"/>
            </w:tcBorders>
            <w:shd w:val="clear" w:color="auto" w:fill="auto"/>
            <w:noWrap/>
            <w:vAlign w:val="center"/>
            <w:hideMark/>
          </w:tcPr>
          <w:p w14:paraId="0AE29AE2" w14:textId="2C89527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30A074B3"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3922688" w14:textId="08571290"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Charlotte-Mecklenburg Schools</w:t>
            </w:r>
          </w:p>
        </w:tc>
        <w:tc>
          <w:tcPr>
            <w:tcW w:w="649" w:type="dxa"/>
            <w:tcBorders>
              <w:top w:val="nil"/>
              <w:left w:val="nil"/>
              <w:bottom w:val="nil"/>
              <w:right w:val="nil"/>
            </w:tcBorders>
            <w:shd w:val="clear" w:color="auto" w:fill="auto"/>
            <w:noWrap/>
            <w:vAlign w:val="center"/>
            <w:hideMark/>
          </w:tcPr>
          <w:p w14:paraId="38DD00A1" w14:textId="500F413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NC</w:t>
            </w:r>
          </w:p>
        </w:tc>
        <w:tc>
          <w:tcPr>
            <w:tcW w:w="1177" w:type="dxa"/>
            <w:tcBorders>
              <w:top w:val="nil"/>
              <w:left w:val="nil"/>
              <w:bottom w:val="nil"/>
              <w:right w:val="nil"/>
            </w:tcBorders>
            <w:shd w:val="clear" w:color="auto" w:fill="auto"/>
            <w:noWrap/>
            <w:vAlign w:val="center"/>
            <w:hideMark/>
          </w:tcPr>
          <w:p w14:paraId="116DF66F" w14:textId="294F090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145,636</w:t>
            </w:r>
          </w:p>
        </w:tc>
        <w:tc>
          <w:tcPr>
            <w:tcW w:w="1796" w:type="dxa"/>
            <w:tcBorders>
              <w:top w:val="nil"/>
              <w:left w:val="nil"/>
              <w:bottom w:val="nil"/>
              <w:right w:val="nil"/>
            </w:tcBorders>
            <w:shd w:val="clear" w:color="auto" w:fill="auto"/>
            <w:noWrap/>
            <w:vAlign w:val="center"/>
            <w:hideMark/>
          </w:tcPr>
          <w:p w14:paraId="4293C0EA" w14:textId="600D04B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169</w:t>
            </w:r>
          </w:p>
        </w:tc>
        <w:tc>
          <w:tcPr>
            <w:tcW w:w="1170" w:type="dxa"/>
            <w:tcBorders>
              <w:top w:val="nil"/>
              <w:left w:val="nil"/>
              <w:bottom w:val="nil"/>
              <w:right w:val="nil"/>
            </w:tcBorders>
            <w:shd w:val="clear" w:color="auto" w:fill="auto"/>
            <w:noWrap/>
            <w:vAlign w:val="center"/>
            <w:hideMark/>
          </w:tcPr>
          <w:p w14:paraId="395C9A83" w14:textId="58CB35B0"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6969E6F8"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16A9BA17" w14:textId="1725CC9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 xml:space="preserve">Chicago Public Schools </w:t>
            </w:r>
          </w:p>
        </w:tc>
        <w:tc>
          <w:tcPr>
            <w:tcW w:w="649" w:type="dxa"/>
            <w:tcBorders>
              <w:top w:val="nil"/>
              <w:left w:val="nil"/>
              <w:bottom w:val="nil"/>
              <w:right w:val="nil"/>
            </w:tcBorders>
            <w:shd w:val="clear" w:color="auto" w:fill="auto"/>
            <w:noWrap/>
            <w:vAlign w:val="center"/>
            <w:hideMark/>
          </w:tcPr>
          <w:p w14:paraId="0854CDA4" w14:textId="75B75A5F"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IL</w:t>
            </w:r>
          </w:p>
        </w:tc>
        <w:tc>
          <w:tcPr>
            <w:tcW w:w="1177" w:type="dxa"/>
            <w:tcBorders>
              <w:top w:val="nil"/>
              <w:left w:val="nil"/>
              <w:bottom w:val="nil"/>
              <w:right w:val="nil"/>
            </w:tcBorders>
            <w:shd w:val="clear" w:color="auto" w:fill="auto"/>
            <w:noWrap/>
            <w:vAlign w:val="center"/>
            <w:hideMark/>
          </w:tcPr>
          <w:p w14:paraId="3861B26B" w14:textId="6B18655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392,558</w:t>
            </w:r>
          </w:p>
        </w:tc>
        <w:tc>
          <w:tcPr>
            <w:tcW w:w="1796" w:type="dxa"/>
            <w:tcBorders>
              <w:top w:val="nil"/>
              <w:left w:val="nil"/>
              <w:bottom w:val="nil"/>
              <w:right w:val="nil"/>
            </w:tcBorders>
            <w:shd w:val="clear" w:color="auto" w:fill="auto"/>
            <w:noWrap/>
            <w:vAlign w:val="center"/>
            <w:hideMark/>
          </w:tcPr>
          <w:p w14:paraId="1706824C" w14:textId="6CDF3A29"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603</w:t>
            </w:r>
          </w:p>
        </w:tc>
        <w:tc>
          <w:tcPr>
            <w:tcW w:w="1170" w:type="dxa"/>
            <w:tcBorders>
              <w:top w:val="nil"/>
              <w:left w:val="nil"/>
              <w:bottom w:val="nil"/>
              <w:right w:val="nil"/>
            </w:tcBorders>
            <w:shd w:val="clear" w:color="auto" w:fill="auto"/>
            <w:noWrap/>
            <w:vAlign w:val="center"/>
            <w:hideMark/>
          </w:tcPr>
          <w:p w14:paraId="6FC165C3" w14:textId="56F5B34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29CAFCB1"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1ECE9F1F" w14:textId="2546CF50"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Cincinnati Public Schools</w:t>
            </w:r>
          </w:p>
        </w:tc>
        <w:tc>
          <w:tcPr>
            <w:tcW w:w="649" w:type="dxa"/>
            <w:tcBorders>
              <w:top w:val="nil"/>
              <w:left w:val="nil"/>
              <w:bottom w:val="nil"/>
              <w:right w:val="nil"/>
            </w:tcBorders>
            <w:shd w:val="clear" w:color="auto" w:fill="auto"/>
            <w:noWrap/>
            <w:vAlign w:val="center"/>
            <w:hideMark/>
          </w:tcPr>
          <w:p w14:paraId="77BB38BB" w14:textId="1EBB1C39"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OH</w:t>
            </w:r>
          </w:p>
        </w:tc>
        <w:tc>
          <w:tcPr>
            <w:tcW w:w="1177" w:type="dxa"/>
            <w:tcBorders>
              <w:top w:val="nil"/>
              <w:left w:val="nil"/>
              <w:bottom w:val="nil"/>
              <w:right w:val="nil"/>
            </w:tcBorders>
            <w:shd w:val="clear" w:color="auto" w:fill="auto"/>
            <w:noWrap/>
            <w:vAlign w:val="center"/>
            <w:hideMark/>
          </w:tcPr>
          <w:p w14:paraId="647C6148" w14:textId="4374692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32,444</w:t>
            </w:r>
          </w:p>
        </w:tc>
        <w:tc>
          <w:tcPr>
            <w:tcW w:w="1796" w:type="dxa"/>
            <w:tcBorders>
              <w:top w:val="nil"/>
              <w:left w:val="nil"/>
              <w:bottom w:val="nil"/>
              <w:right w:val="nil"/>
            </w:tcBorders>
            <w:shd w:val="clear" w:color="auto" w:fill="auto"/>
            <w:noWrap/>
            <w:vAlign w:val="center"/>
            <w:hideMark/>
          </w:tcPr>
          <w:p w14:paraId="12ACF108" w14:textId="70B75861"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56</w:t>
            </w:r>
          </w:p>
        </w:tc>
        <w:tc>
          <w:tcPr>
            <w:tcW w:w="1170" w:type="dxa"/>
            <w:tcBorders>
              <w:top w:val="nil"/>
              <w:left w:val="nil"/>
              <w:bottom w:val="nil"/>
              <w:right w:val="nil"/>
            </w:tcBorders>
            <w:shd w:val="clear" w:color="auto" w:fill="auto"/>
            <w:noWrap/>
            <w:vAlign w:val="center"/>
            <w:hideMark/>
          </w:tcPr>
          <w:p w14:paraId="0FA78CA3" w14:textId="0A5E6C0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737D3F9F"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B4CE3F8" w14:textId="02720634"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Cleveland Municipal School Dist.</w:t>
            </w:r>
          </w:p>
        </w:tc>
        <w:tc>
          <w:tcPr>
            <w:tcW w:w="649" w:type="dxa"/>
            <w:tcBorders>
              <w:top w:val="nil"/>
              <w:left w:val="nil"/>
              <w:bottom w:val="nil"/>
              <w:right w:val="nil"/>
            </w:tcBorders>
            <w:shd w:val="clear" w:color="auto" w:fill="auto"/>
            <w:noWrap/>
            <w:vAlign w:val="center"/>
            <w:hideMark/>
          </w:tcPr>
          <w:p w14:paraId="7FD2A0D8" w14:textId="12A527C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OH</w:t>
            </w:r>
          </w:p>
        </w:tc>
        <w:tc>
          <w:tcPr>
            <w:tcW w:w="1177" w:type="dxa"/>
            <w:tcBorders>
              <w:top w:val="nil"/>
              <w:left w:val="nil"/>
              <w:bottom w:val="nil"/>
              <w:right w:val="nil"/>
            </w:tcBorders>
            <w:shd w:val="clear" w:color="auto" w:fill="auto"/>
            <w:noWrap/>
            <w:vAlign w:val="center"/>
            <w:hideMark/>
          </w:tcPr>
          <w:p w14:paraId="4E717322" w14:textId="5E6A7DB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39,365</w:t>
            </w:r>
          </w:p>
        </w:tc>
        <w:tc>
          <w:tcPr>
            <w:tcW w:w="1796" w:type="dxa"/>
            <w:tcBorders>
              <w:top w:val="nil"/>
              <w:left w:val="nil"/>
              <w:bottom w:val="nil"/>
              <w:right w:val="nil"/>
            </w:tcBorders>
            <w:shd w:val="clear" w:color="auto" w:fill="auto"/>
            <w:noWrap/>
            <w:vAlign w:val="center"/>
            <w:hideMark/>
          </w:tcPr>
          <w:p w14:paraId="715AB225" w14:textId="113B74F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102</w:t>
            </w:r>
          </w:p>
        </w:tc>
        <w:tc>
          <w:tcPr>
            <w:tcW w:w="1170" w:type="dxa"/>
            <w:tcBorders>
              <w:top w:val="nil"/>
              <w:left w:val="nil"/>
              <w:bottom w:val="nil"/>
              <w:right w:val="nil"/>
            </w:tcBorders>
            <w:shd w:val="clear" w:color="auto" w:fill="auto"/>
            <w:noWrap/>
            <w:vAlign w:val="center"/>
            <w:hideMark/>
          </w:tcPr>
          <w:p w14:paraId="3F712AA1" w14:textId="6A4F23B5"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3088E1FC"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6FEAE80" w14:textId="6A450121"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Davidson County (Nashville)</w:t>
            </w:r>
          </w:p>
        </w:tc>
        <w:tc>
          <w:tcPr>
            <w:tcW w:w="649" w:type="dxa"/>
            <w:tcBorders>
              <w:top w:val="nil"/>
              <w:left w:val="nil"/>
              <w:bottom w:val="nil"/>
              <w:right w:val="nil"/>
            </w:tcBorders>
            <w:shd w:val="clear" w:color="auto" w:fill="auto"/>
            <w:noWrap/>
            <w:vAlign w:val="center"/>
            <w:hideMark/>
          </w:tcPr>
          <w:p w14:paraId="1379222B" w14:textId="38D4FA7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TN</w:t>
            </w:r>
          </w:p>
        </w:tc>
        <w:tc>
          <w:tcPr>
            <w:tcW w:w="1177" w:type="dxa"/>
            <w:tcBorders>
              <w:top w:val="nil"/>
              <w:left w:val="nil"/>
              <w:bottom w:val="nil"/>
              <w:right w:val="nil"/>
            </w:tcBorders>
            <w:shd w:val="clear" w:color="auto" w:fill="auto"/>
            <w:noWrap/>
            <w:vAlign w:val="center"/>
            <w:hideMark/>
          </w:tcPr>
          <w:p w14:paraId="292091E8" w14:textId="75BA2041"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84,069</w:t>
            </w:r>
          </w:p>
        </w:tc>
        <w:tc>
          <w:tcPr>
            <w:tcW w:w="1796" w:type="dxa"/>
            <w:tcBorders>
              <w:top w:val="nil"/>
              <w:left w:val="nil"/>
              <w:bottom w:val="nil"/>
              <w:right w:val="nil"/>
            </w:tcBorders>
            <w:shd w:val="clear" w:color="auto" w:fill="auto"/>
            <w:noWrap/>
            <w:vAlign w:val="center"/>
            <w:hideMark/>
          </w:tcPr>
          <w:p w14:paraId="618A334B" w14:textId="099C3F8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164</w:t>
            </w:r>
          </w:p>
        </w:tc>
        <w:tc>
          <w:tcPr>
            <w:tcW w:w="1170" w:type="dxa"/>
            <w:tcBorders>
              <w:top w:val="nil"/>
              <w:left w:val="nil"/>
              <w:bottom w:val="nil"/>
              <w:right w:val="nil"/>
            </w:tcBorders>
            <w:shd w:val="clear" w:color="auto" w:fill="auto"/>
            <w:noWrap/>
            <w:vAlign w:val="center"/>
            <w:hideMark/>
          </w:tcPr>
          <w:p w14:paraId="0DDE9F10" w14:textId="6DC2107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10C7B737"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0E524ABB" w14:textId="6E92E8D2"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Denver School District</w:t>
            </w:r>
          </w:p>
        </w:tc>
        <w:tc>
          <w:tcPr>
            <w:tcW w:w="649" w:type="dxa"/>
            <w:tcBorders>
              <w:top w:val="nil"/>
              <w:left w:val="nil"/>
              <w:bottom w:val="nil"/>
              <w:right w:val="nil"/>
            </w:tcBorders>
            <w:shd w:val="clear" w:color="auto" w:fill="auto"/>
            <w:noWrap/>
            <w:vAlign w:val="center"/>
            <w:hideMark/>
          </w:tcPr>
          <w:p w14:paraId="060994AB" w14:textId="71B79F1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38992875" w14:textId="6C545FF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88,839</w:t>
            </w:r>
          </w:p>
        </w:tc>
        <w:tc>
          <w:tcPr>
            <w:tcW w:w="1796" w:type="dxa"/>
            <w:tcBorders>
              <w:top w:val="nil"/>
              <w:left w:val="nil"/>
              <w:bottom w:val="nil"/>
              <w:right w:val="nil"/>
            </w:tcBorders>
            <w:shd w:val="clear" w:color="auto" w:fill="auto"/>
            <w:noWrap/>
            <w:vAlign w:val="center"/>
            <w:hideMark/>
          </w:tcPr>
          <w:p w14:paraId="66B1DD27" w14:textId="00C1F1A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191</w:t>
            </w:r>
          </w:p>
        </w:tc>
        <w:tc>
          <w:tcPr>
            <w:tcW w:w="1170" w:type="dxa"/>
            <w:tcBorders>
              <w:top w:val="nil"/>
              <w:left w:val="nil"/>
              <w:bottom w:val="nil"/>
              <w:right w:val="nil"/>
            </w:tcBorders>
            <w:shd w:val="clear" w:color="auto" w:fill="auto"/>
            <w:noWrap/>
            <w:vAlign w:val="center"/>
            <w:hideMark/>
          </w:tcPr>
          <w:p w14:paraId="507E1A67" w14:textId="28709E4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0266493A"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8CC6BA1" w14:textId="428392E2"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District of Columbia</w:t>
            </w:r>
          </w:p>
        </w:tc>
        <w:tc>
          <w:tcPr>
            <w:tcW w:w="649" w:type="dxa"/>
            <w:tcBorders>
              <w:top w:val="nil"/>
              <w:left w:val="nil"/>
              <w:bottom w:val="nil"/>
              <w:right w:val="nil"/>
            </w:tcBorders>
            <w:shd w:val="clear" w:color="auto" w:fill="auto"/>
            <w:noWrap/>
            <w:vAlign w:val="center"/>
            <w:hideMark/>
          </w:tcPr>
          <w:p w14:paraId="3549F799" w14:textId="3280F250"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DC</w:t>
            </w:r>
          </w:p>
        </w:tc>
        <w:tc>
          <w:tcPr>
            <w:tcW w:w="1177" w:type="dxa"/>
            <w:tcBorders>
              <w:top w:val="nil"/>
              <w:left w:val="nil"/>
              <w:bottom w:val="nil"/>
              <w:right w:val="nil"/>
            </w:tcBorders>
            <w:shd w:val="clear" w:color="auto" w:fill="auto"/>
            <w:noWrap/>
            <w:vAlign w:val="center"/>
            <w:hideMark/>
          </w:tcPr>
          <w:p w14:paraId="71AC88F0" w14:textId="076617A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46,155</w:t>
            </w:r>
          </w:p>
        </w:tc>
        <w:tc>
          <w:tcPr>
            <w:tcW w:w="1796" w:type="dxa"/>
            <w:tcBorders>
              <w:top w:val="nil"/>
              <w:left w:val="nil"/>
              <w:bottom w:val="nil"/>
              <w:right w:val="nil"/>
            </w:tcBorders>
            <w:shd w:val="clear" w:color="auto" w:fill="auto"/>
            <w:noWrap/>
            <w:vAlign w:val="center"/>
            <w:hideMark/>
          </w:tcPr>
          <w:p w14:paraId="030E4FA9" w14:textId="182D594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131</w:t>
            </w:r>
          </w:p>
        </w:tc>
        <w:tc>
          <w:tcPr>
            <w:tcW w:w="1170" w:type="dxa"/>
            <w:tcBorders>
              <w:top w:val="nil"/>
              <w:left w:val="nil"/>
              <w:bottom w:val="nil"/>
              <w:right w:val="nil"/>
            </w:tcBorders>
            <w:shd w:val="clear" w:color="auto" w:fill="auto"/>
            <w:noWrap/>
            <w:vAlign w:val="center"/>
            <w:hideMark/>
          </w:tcPr>
          <w:p w14:paraId="5712AC3B" w14:textId="2A96E99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49D221C"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913EEDE" w14:textId="02B0839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Douglas County School District</w:t>
            </w:r>
          </w:p>
        </w:tc>
        <w:tc>
          <w:tcPr>
            <w:tcW w:w="649" w:type="dxa"/>
            <w:tcBorders>
              <w:top w:val="nil"/>
              <w:left w:val="nil"/>
              <w:bottom w:val="nil"/>
              <w:right w:val="nil"/>
            </w:tcBorders>
            <w:shd w:val="clear" w:color="auto" w:fill="auto"/>
            <w:noWrap/>
            <w:vAlign w:val="center"/>
            <w:hideMark/>
          </w:tcPr>
          <w:p w14:paraId="7CBF8859" w14:textId="724197E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5ADEBD09" w14:textId="5887438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66,702</w:t>
            </w:r>
          </w:p>
        </w:tc>
        <w:tc>
          <w:tcPr>
            <w:tcW w:w="1796" w:type="dxa"/>
            <w:tcBorders>
              <w:top w:val="nil"/>
              <w:left w:val="nil"/>
              <w:bottom w:val="nil"/>
              <w:right w:val="nil"/>
            </w:tcBorders>
            <w:shd w:val="clear" w:color="auto" w:fill="auto"/>
            <w:noWrap/>
            <w:vAlign w:val="center"/>
            <w:hideMark/>
          </w:tcPr>
          <w:p w14:paraId="2E06E21B" w14:textId="3ADE2E6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89</w:t>
            </w:r>
          </w:p>
        </w:tc>
        <w:tc>
          <w:tcPr>
            <w:tcW w:w="1170" w:type="dxa"/>
            <w:tcBorders>
              <w:top w:val="nil"/>
              <w:left w:val="nil"/>
              <w:bottom w:val="nil"/>
              <w:right w:val="nil"/>
            </w:tcBorders>
            <w:shd w:val="clear" w:color="auto" w:fill="auto"/>
            <w:noWrap/>
            <w:vAlign w:val="center"/>
            <w:hideMark/>
          </w:tcPr>
          <w:p w14:paraId="591CE57F" w14:textId="20B0D7A0"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30D6A1DC"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B32785E" w14:textId="0DC975D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Falcon School District 49</w:t>
            </w:r>
          </w:p>
        </w:tc>
        <w:tc>
          <w:tcPr>
            <w:tcW w:w="649" w:type="dxa"/>
            <w:tcBorders>
              <w:top w:val="nil"/>
              <w:left w:val="nil"/>
              <w:bottom w:val="nil"/>
              <w:right w:val="nil"/>
            </w:tcBorders>
            <w:shd w:val="clear" w:color="auto" w:fill="auto"/>
            <w:noWrap/>
            <w:vAlign w:val="center"/>
            <w:hideMark/>
          </w:tcPr>
          <w:p w14:paraId="3A409314" w14:textId="692D1BE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5A573371" w14:textId="22EEDA5D"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19,552</w:t>
            </w:r>
          </w:p>
        </w:tc>
        <w:tc>
          <w:tcPr>
            <w:tcW w:w="1796" w:type="dxa"/>
            <w:tcBorders>
              <w:top w:val="nil"/>
              <w:left w:val="nil"/>
              <w:bottom w:val="nil"/>
              <w:right w:val="nil"/>
            </w:tcBorders>
            <w:shd w:val="clear" w:color="auto" w:fill="auto"/>
            <w:noWrap/>
            <w:vAlign w:val="center"/>
            <w:hideMark/>
          </w:tcPr>
          <w:p w14:paraId="5E5D5356" w14:textId="536888E4"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22</w:t>
            </w:r>
          </w:p>
        </w:tc>
        <w:tc>
          <w:tcPr>
            <w:tcW w:w="1170" w:type="dxa"/>
            <w:tcBorders>
              <w:top w:val="nil"/>
              <w:left w:val="nil"/>
              <w:bottom w:val="nil"/>
              <w:right w:val="nil"/>
            </w:tcBorders>
            <w:shd w:val="clear" w:color="auto" w:fill="auto"/>
            <w:noWrap/>
            <w:vAlign w:val="center"/>
            <w:hideMark/>
          </w:tcPr>
          <w:p w14:paraId="3D52E98D" w14:textId="1A41ABC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451A8D63"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350C5462" w14:textId="01273824"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Hartford School District</w:t>
            </w:r>
          </w:p>
        </w:tc>
        <w:tc>
          <w:tcPr>
            <w:tcW w:w="649" w:type="dxa"/>
            <w:tcBorders>
              <w:top w:val="nil"/>
              <w:left w:val="nil"/>
              <w:bottom w:val="nil"/>
              <w:right w:val="nil"/>
            </w:tcBorders>
            <w:shd w:val="clear" w:color="auto" w:fill="auto"/>
            <w:noWrap/>
            <w:vAlign w:val="center"/>
            <w:hideMark/>
          </w:tcPr>
          <w:p w14:paraId="350DF6D0" w14:textId="469B2FE9"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CT</w:t>
            </w:r>
          </w:p>
        </w:tc>
        <w:tc>
          <w:tcPr>
            <w:tcW w:w="1177" w:type="dxa"/>
            <w:tcBorders>
              <w:top w:val="nil"/>
              <w:left w:val="nil"/>
              <w:bottom w:val="nil"/>
              <w:right w:val="nil"/>
            </w:tcBorders>
            <w:shd w:val="clear" w:color="auto" w:fill="auto"/>
            <w:noWrap/>
            <w:vAlign w:val="center"/>
            <w:hideMark/>
          </w:tcPr>
          <w:p w14:paraId="73C260C7" w14:textId="26729255"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21,435</w:t>
            </w:r>
          </w:p>
        </w:tc>
        <w:tc>
          <w:tcPr>
            <w:tcW w:w="1796" w:type="dxa"/>
            <w:tcBorders>
              <w:top w:val="nil"/>
              <w:left w:val="nil"/>
              <w:bottom w:val="nil"/>
              <w:right w:val="nil"/>
            </w:tcBorders>
            <w:shd w:val="clear" w:color="auto" w:fill="auto"/>
            <w:noWrap/>
            <w:vAlign w:val="center"/>
            <w:hideMark/>
          </w:tcPr>
          <w:p w14:paraId="03079C9F" w14:textId="6EE4992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67</w:t>
            </w:r>
          </w:p>
        </w:tc>
        <w:tc>
          <w:tcPr>
            <w:tcW w:w="1170" w:type="dxa"/>
            <w:tcBorders>
              <w:top w:val="nil"/>
              <w:left w:val="nil"/>
              <w:bottom w:val="nil"/>
              <w:right w:val="nil"/>
            </w:tcBorders>
            <w:shd w:val="clear" w:color="auto" w:fill="auto"/>
            <w:noWrap/>
            <w:vAlign w:val="center"/>
            <w:hideMark/>
          </w:tcPr>
          <w:p w14:paraId="561029A5" w14:textId="33089CD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175FFA89"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6AEF5C5" w14:textId="5B94543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Hawaii Department of Education</w:t>
            </w:r>
          </w:p>
        </w:tc>
        <w:tc>
          <w:tcPr>
            <w:tcW w:w="649" w:type="dxa"/>
            <w:tcBorders>
              <w:top w:val="nil"/>
              <w:left w:val="nil"/>
              <w:bottom w:val="nil"/>
              <w:right w:val="nil"/>
            </w:tcBorders>
            <w:shd w:val="clear" w:color="auto" w:fill="auto"/>
            <w:noWrap/>
            <w:vAlign w:val="center"/>
            <w:hideMark/>
          </w:tcPr>
          <w:p w14:paraId="21174223" w14:textId="1F22C768"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HI</w:t>
            </w:r>
          </w:p>
        </w:tc>
        <w:tc>
          <w:tcPr>
            <w:tcW w:w="1177" w:type="dxa"/>
            <w:tcBorders>
              <w:top w:val="nil"/>
              <w:left w:val="nil"/>
              <w:bottom w:val="nil"/>
              <w:right w:val="nil"/>
            </w:tcBorders>
            <w:shd w:val="clear" w:color="auto" w:fill="auto"/>
            <w:noWrap/>
            <w:vAlign w:val="center"/>
            <w:hideMark/>
          </w:tcPr>
          <w:p w14:paraId="1450FBB4" w14:textId="4399C98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182,384</w:t>
            </w:r>
          </w:p>
        </w:tc>
        <w:tc>
          <w:tcPr>
            <w:tcW w:w="1796" w:type="dxa"/>
            <w:tcBorders>
              <w:top w:val="nil"/>
              <w:left w:val="nil"/>
              <w:bottom w:val="nil"/>
              <w:right w:val="nil"/>
            </w:tcBorders>
            <w:shd w:val="clear" w:color="auto" w:fill="auto"/>
            <w:noWrap/>
            <w:vAlign w:val="center"/>
            <w:hideMark/>
          </w:tcPr>
          <w:p w14:paraId="01D4EAB5" w14:textId="04B63C5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292</w:t>
            </w:r>
          </w:p>
        </w:tc>
        <w:tc>
          <w:tcPr>
            <w:tcW w:w="1170" w:type="dxa"/>
            <w:tcBorders>
              <w:top w:val="nil"/>
              <w:left w:val="nil"/>
              <w:bottom w:val="nil"/>
              <w:right w:val="nil"/>
            </w:tcBorders>
            <w:shd w:val="clear" w:color="auto" w:fill="auto"/>
            <w:noWrap/>
            <w:vAlign w:val="center"/>
            <w:hideMark/>
          </w:tcPr>
          <w:p w14:paraId="603CCBB6" w14:textId="2CE2E74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2B1C1308"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81B1616" w14:textId="2F6BFC3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Houston Independent School Dist.</w:t>
            </w:r>
          </w:p>
        </w:tc>
        <w:tc>
          <w:tcPr>
            <w:tcW w:w="649" w:type="dxa"/>
            <w:tcBorders>
              <w:top w:val="nil"/>
              <w:left w:val="nil"/>
              <w:bottom w:val="nil"/>
              <w:right w:val="nil"/>
            </w:tcBorders>
            <w:shd w:val="clear" w:color="auto" w:fill="auto"/>
            <w:noWrap/>
            <w:vAlign w:val="center"/>
            <w:hideMark/>
          </w:tcPr>
          <w:p w14:paraId="222B2C4D" w14:textId="0B5109C2"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TX</w:t>
            </w:r>
          </w:p>
        </w:tc>
        <w:tc>
          <w:tcPr>
            <w:tcW w:w="1177" w:type="dxa"/>
            <w:tcBorders>
              <w:top w:val="nil"/>
              <w:left w:val="nil"/>
              <w:bottom w:val="nil"/>
              <w:right w:val="nil"/>
            </w:tcBorders>
            <w:shd w:val="clear" w:color="auto" w:fill="auto"/>
            <w:noWrap/>
            <w:vAlign w:val="center"/>
            <w:hideMark/>
          </w:tcPr>
          <w:p w14:paraId="6D4F456F" w14:textId="1B9030E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215,225</w:t>
            </w:r>
          </w:p>
        </w:tc>
        <w:tc>
          <w:tcPr>
            <w:tcW w:w="1796" w:type="dxa"/>
            <w:tcBorders>
              <w:top w:val="nil"/>
              <w:left w:val="nil"/>
              <w:bottom w:val="nil"/>
              <w:right w:val="nil"/>
            </w:tcBorders>
            <w:shd w:val="clear" w:color="auto" w:fill="auto"/>
            <w:noWrap/>
            <w:vAlign w:val="center"/>
            <w:hideMark/>
          </w:tcPr>
          <w:p w14:paraId="1527ADC3" w14:textId="7F3F10C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288</w:t>
            </w:r>
          </w:p>
        </w:tc>
        <w:tc>
          <w:tcPr>
            <w:tcW w:w="1170" w:type="dxa"/>
            <w:tcBorders>
              <w:top w:val="nil"/>
              <w:left w:val="nil"/>
              <w:bottom w:val="nil"/>
              <w:right w:val="nil"/>
            </w:tcBorders>
            <w:shd w:val="clear" w:color="auto" w:fill="auto"/>
            <w:noWrap/>
            <w:vAlign w:val="center"/>
            <w:hideMark/>
          </w:tcPr>
          <w:p w14:paraId="2E41BDD3" w14:textId="3B647CF0"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099CFBE"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F12E967" w14:textId="0E781BC8"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Indianapolis Public Schools</w:t>
            </w:r>
          </w:p>
        </w:tc>
        <w:tc>
          <w:tcPr>
            <w:tcW w:w="649" w:type="dxa"/>
            <w:tcBorders>
              <w:top w:val="nil"/>
              <w:left w:val="nil"/>
              <w:bottom w:val="nil"/>
              <w:right w:val="nil"/>
            </w:tcBorders>
            <w:shd w:val="clear" w:color="auto" w:fill="auto"/>
            <w:noWrap/>
            <w:vAlign w:val="center"/>
            <w:hideMark/>
          </w:tcPr>
          <w:p w14:paraId="439109E8" w14:textId="7CBB347E"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IN</w:t>
            </w:r>
          </w:p>
        </w:tc>
        <w:tc>
          <w:tcPr>
            <w:tcW w:w="1177" w:type="dxa"/>
            <w:tcBorders>
              <w:top w:val="nil"/>
              <w:left w:val="nil"/>
              <w:bottom w:val="nil"/>
              <w:right w:val="nil"/>
            </w:tcBorders>
            <w:shd w:val="clear" w:color="auto" w:fill="auto"/>
            <w:noWrap/>
            <w:vAlign w:val="center"/>
            <w:hideMark/>
          </w:tcPr>
          <w:p w14:paraId="2E35DBEE" w14:textId="22DD2A5D"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31,794</w:t>
            </w:r>
          </w:p>
        </w:tc>
        <w:tc>
          <w:tcPr>
            <w:tcW w:w="1796" w:type="dxa"/>
            <w:tcBorders>
              <w:top w:val="nil"/>
              <w:left w:val="nil"/>
              <w:bottom w:val="nil"/>
              <w:right w:val="nil"/>
            </w:tcBorders>
            <w:shd w:val="clear" w:color="auto" w:fill="auto"/>
            <w:noWrap/>
            <w:vAlign w:val="center"/>
            <w:hideMark/>
          </w:tcPr>
          <w:p w14:paraId="6342FA59" w14:textId="68081134"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67</w:t>
            </w:r>
          </w:p>
        </w:tc>
        <w:tc>
          <w:tcPr>
            <w:tcW w:w="1170" w:type="dxa"/>
            <w:tcBorders>
              <w:top w:val="nil"/>
              <w:left w:val="nil"/>
              <w:bottom w:val="nil"/>
              <w:right w:val="nil"/>
            </w:tcBorders>
            <w:shd w:val="clear" w:color="auto" w:fill="auto"/>
            <w:noWrap/>
            <w:vAlign w:val="center"/>
            <w:hideMark/>
          </w:tcPr>
          <w:p w14:paraId="1B8B0DB6" w14:textId="59046981"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B710C2D"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7C37095" w14:textId="390F98EB"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Jefferson County School District</w:t>
            </w:r>
          </w:p>
        </w:tc>
        <w:tc>
          <w:tcPr>
            <w:tcW w:w="649" w:type="dxa"/>
            <w:tcBorders>
              <w:top w:val="nil"/>
              <w:left w:val="nil"/>
              <w:bottom w:val="nil"/>
              <w:right w:val="nil"/>
            </w:tcBorders>
            <w:shd w:val="clear" w:color="auto" w:fill="auto"/>
            <w:noWrap/>
            <w:vAlign w:val="center"/>
            <w:hideMark/>
          </w:tcPr>
          <w:p w14:paraId="4FC2E5AF" w14:textId="54B2E35E"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02F25773" w14:textId="655DC89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86,581</w:t>
            </w:r>
          </w:p>
        </w:tc>
        <w:tc>
          <w:tcPr>
            <w:tcW w:w="1796" w:type="dxa"/>
            <w:tcBorders>
              <w:top w:val="nil"/>
              <w:left w:val="nil"/>
              <w:bottom w:val="nil"/>
              <w:right w:val="nil"/>
            </w:tcBorders>
            <w:shd w:val="clear" w:color="auto" w:fill="auto"/>
            <w:noWrap/>
            <w:vAlign w:val="center"/>
            <w:hideMark/>
          </w:tcPr>
          <w:p w14:paraId="26118755" w14:textId="5B1FAA1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165</w:t>
            </w:r>
          </w:p>
        </w:tc>
        <w:tc>
          <w:tcPr>
            <w:tcW w:w="1170" w:type="dxa"/>
            <w:tcBorders>
              <w:top w:val="nil"/>
              <w:left w:val="nil"/>
              <w:bottom w:val="nil"/>
              <w:right w:val="nil"/>
            </w:tcBorders>
            <w:shd w:val="clear" w:color="auto" w:fill="auto"/>
            <w:noWrap/>
            <w:vAlign w:val="center"/>
            <w:hideMark/>
          </w:tcPr>
          <w:p w14:paraId="09819656" w14:textId="46910E9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5B9AD089"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4AECF742" w14:textId="12C13576"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Milwaukee School District</w:t>
            </w:r>
          </w:p>
        </w:tc>
        <w:tc>
          <w:tcPr>
            <w:tcW w:w="649" w:type="dxa"/>
            <w:tcBorders>
              <w:top w:val="nil"/>
              <w:left w:val="nil"/>
              <w:bottom w:val="nil"/>
              <w:right w:val="nil"/>
            </w:tcBorders>
            <w:shd w:val="clear" w:color="auto" w:fill="auto"/>
            <w:noWrap/>
            <w:vAlign w:val="center"/>
            <w:hideMark/>
          </w:tcPr>
          <w:p w14:paraId="7FD681CE" w14:textId="613B305D"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WI</w:t>
            </w:r>
          </w:p>
        </w:tc>
        <w:tc>
          <w:tcPr>
            <w:tcW w:w="1177" w:type="dxa"/>
            <w:tcBorders>
              <w:top w:val="nil"/>
              <w:left w:val="nil"/>
              <w:bottom w:val="nil"/>
              <w:right w:val="nil"/>
            </w:tcBorders>
            <w:shd w:val="clear" w:color="auto" w:fill="auto"/>
            <w:noWrap/>
            <w:vAlign w:val="center"/>
            <w:hideMark/>
          </w:tcPr>
          <w:p w14:paraId="633EAC14" w14:textId="4845394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77,316</w:t>
            </w:r>
          </w:p>
        </w:tc>
        <w:tc>
          <w:tcPr>
            <w:tcW w:w="1796" w:type="dxa"/>
            <w:tcBorders>
              <w:top w:val="nil"/>
              <w:left w:val="nil"/>
              <w:bottom w:val="nil"/>
              <w:right w:val="nil"/>
            </w:tcBorders>
            <w:shd w:val="clear" w:color="auto" w:fill="auto"/>
            <w:noWrap/>
            <w:vAlign w:val="center"/>
            <w:hideMark/>
          </w:tcPr>
          <w:p w14:paraId="765C58FF" w14:textId="6B04877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167</w:t>
            </w:r>
          </w:p>
        </w:tc>
        <w:tc>
          <w:tcPr>
            <w:tcW w:w="1170" w:type="dxa"/>
            <w:tcBorders>
              <w:top w:val="nil"/>
              <w:left w:val="nil"/>
              <w:bottom w:val="nil"/>
              <w:right w:val="nil"/>
            </w:tcBorders>
            <w:shd w:val="clear" w:color="auto" w:fill="auto"/>
            <w:noWrap/>
            <w:vAlign w:val="center"/>
            <w:hideMark/>
          </w:tcPr>
          <w:p w14:paraId="4FCF37C1" w14:textId="38ECF6C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0A564034"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D3F0769" w14:textId="7DE7DEF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Minneapolis Public School Dist.</w:t>
            </w:r>
          </w:p>
        </w:tc>
        <w:tc>
          <w:tcPr>
            <w:tcW w:w="649" w:type="dxa"/>
            <w:tcBorders>
              <w:top w:val="nil"/>
              <w:left w:val="nil"/>
              <w:bottom w:val="nil"/>
              <w:right w:val="nil"/>
            </w:tcBorders>
            <w:shd w:val="clear" w:color="auto" w:fill="auto"/>
            <w:noWrap/>
            <w:vAlign w:val="center"/>
            <w:hideMark/>
          </w:tcPr>
          <w:p w14:paraId="560C39B5" w14:textId="0A1082B1"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MN</w:t>
            </w:r>
          </w:p>
        </w:tc>
        <w:tc>
          <w:tcPr>
            <w:tcW w:w="1177" w:type="dxa"/>
            <w:tcBorders>
              <w:top w:val="nil"/>
              <w:left w:val="nil"/>
              <w:bottom w:val="nil"/>
              <w:right w:val="nil"/>
            </w:tcBorders>
            <w:shd w:val="clear" w:color="auto" w:fill="auto"/>
            <w:noWrap/>
            <w:vAlign w:val="center"/>
            <w:hideMark/>
          </w:tcPr>
          <w:p w14:paraId="2E0ECA8B" w14:textId="62516E20"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36,999</w:t>
            </w:r>
          </w:p>
        </w:tc>
        <w:tc>
          <w:tcPr>
            <w:tcW w:w="1796" w:type="dxa"/>
            <w:tcBorders>
              <w:top w:val="nil"/>
              <w:left w:val="nil"/>
              <w:bottom w:val="nil"/>
              <w:right w:val="nil"/>
            </w:tcBorders>
            <w:shd w:val="clear" w:color="auto" w:fill="auto"/>
            <w:noWrap/>
            <w:vAlign w:val="center"/>
            <w:hideMark/>
          </w:tcPr>
          <w:p w14:paraId="087CFEA8" w14:textId="715BD3B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96</w:t>
            </w:r>
          </w:p>
        </w:tc>
        <w:tc>
          <w:tcPr>
            <w:tcW w:w="1170" w:type="dxa"/>
            <w:tcBorders>
              <w:top w:val="nil"/>
              <w:left w:val="nil"/>
              <w:bottom w:val="nil"/>
              <w:right w:val="nil"/>
            </w:tcBorders>
            <w:shd w:val="clear" w:color="auto" w:fill="auto"/>
            <w:noWrap/>
            <w:vAlign w:val="center"/>
            <w:hideMark/>
          </w:tcPr>
          <w:p w14:paraId="3E42236F" w14:textId="1BAD908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6CBCC238"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9E9CD6E" w14:textId="24C56B3C"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New London School District</w:t>
            </w:r>
          </w:p>
        </w:tc>
        <w:tc>
          <w:tcPr>
            <w:tcW w:w="649" w:type="dxa"/>
            <w:tcBorders>
              <w:top w:val="nil"/>
              <w:left w:val="nil"/>
              <w:bottom w:val="nil"/>
              <w:right w:val="nil"/>
            </w:tcBorders>
            <w:shd w:val="clear" w:color="auto" w:fill="auto"/>
            <w:noWrap/>
            <w:vAlign w:val="center"/>
            <w:hideMark/>
          </w:tcPr>
          <w:p w14:paraId="097AB3D4" w14:textId="2396E18B"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CT</w:t>
            </w:r>
          </w:p>
        </w:tc>
        <w:tc>
          <w:tcPr>
            <w:tcW w:w="1177" w:type="dxa"/>
            <w:tcBorders>
              <w:top w:val="nil"/>
              <w:left w:val="nil"/>
              <w:bottom w:val="nil"/>
              <w:right w:val="nil"/>
            </w:tcBorders>
            <w:shd w:val="clear" w:color="auto" w:fill="auto"/>
            <w:noWrap/>
            <w:vAlign w:val="center"/>
            <w:hideMark/>
          </w:tcPr>
          <w:p w14:paraId="43518EB4" w14:textId="29E8DD7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3,199</w:t>
            </w:r>
          </w:p>
        </w:tc>
        <w:tc>
          <w:tcPr>
            <w:tcW w:w="1796" w:type="dxa"/>
            <w:tcBorders>
              <w:top w:val="nil"/>
              <w:left w:val="nil"/>
              <w:bottom w:val="nil"/>
              <w:right w:val="nil"/>
            </w:tcBorders>
            <w:shd w:val="clear" w:color="auto" w:fill="auto"/>
            <w:noWrap/>
            <w:vAlign w:val="center"/>
            <w:hideMark/>
          </w:tcPr>
          <w:p w14:paraId="2ADC5C32" w14:textId="5590554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6</w:t>
            </w:r>
          </w:p>
        </w:tc>
        <w:tc>
          <w:tcPr>
            <w:tcW w:w="1170" w:type="dxa"/>
            <w:tcBorders>
              <w:top w:val="nil"/>
              <w:left w:val="nil"/>
              <w:bottom w:val="nil"/>
              <w:right w:val="nil"/>
            </w:tcBorders>
            <w:shd w:val="clear" w:color="auto" w:fill="auto"/>
            <w:noWrap/>
            <w:vAlign w:val="center"/>
            <w:hideMark/>
          </w:tcPr>
          <w:p w14:paraId="62C9A49B" w14:textId="1402248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14133873"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073DE79" w14:textId="1FB3892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New York City Public Schools</w:t>
            </w:r>
          </w:p>
        </w:tc>
        <w:tc>
          <w:tcPr>
            <w:tcW w:w="649" w:type="dxa"/>
            <w:tcBorders>
              <w:top w:val="nil"/>
              <w:left w:val="nil"/>
              <w:bottom w:val="nil"/>
              <w:right w:val="nil"/>
            </w:tcBorders>
            <w:shd w:val="clear" w:color="auto" w:fill="auto"/>
            <w:noWrap/>
            <w:vAlign w:val="center"/>
            <w:hideMark/>
          </w:tcPr>
          <w:p w14:paraId="182A92D0" w14:textId="5C31B27C"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NY</w:t>
            </w:r>
          </w:p>
        </w:tc>
        <w:tc>
          <w:tcPr>
            <w:tcW w:w="1177" w:type="dxa"/>
            <w:tcBorders>
              <w:top w:val="nil"/>
              <w:left w:val="nil"/>
              <w:bottom w:val="nil"/>
              <w:right w:val="nil"/>
            </w:tcBorders>
            <w:shd w:val="clear" w:color="auto" w:fill="auto"/>
            <w:noWrap/>
            <w:vAlign w:val="center"/>
            <w:hideMark/>
          </w:tcPr>
          <w:p w14:paraId="344EFAA6" w14:textId="061F574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972,325</w:t>
            </w:r>
          </w:p>
        </w:tc>
        <w:tc>
          <w:tcPr>
            <w:tcW w:w="1796" w:type="dxa"/>
            <w:tcBorders>
              <w:top w:val="nil"/>
              <w:left w:val="nil"/>
              <w:bottom w:val="nil"/>
              <w:right w:val="nil"/>
            </w:tcBorders>
            <w:shd w:val="clear" w:color="auto" w:fill="auto"/>
            <w:noWrap/>
            <w:vAlign w:val="center"/>
            <w:hideMark/>
          </w:tcPr>
          <w:p w14:paraId="54F277EA" w14:textId="6F1FA5B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1,601</w:t>
            </w:r>
          </w:p>
        </w:tc>
        <w:tc>
          <w:tcPr>
            <w:tcW w:w="1170" w:type="dxa"/>
            <w:tcBorders>
              <w:top w:val="nil"/>
              <w:left w:val="nil"/>
              <w:bottom w:val="nil"/>
              <w:right w:val="nil"/>
            </w:tcBorders>
            <w:shd w:val="clear" w:color="auto" w:fill="auto"/>
            <w:noWrap/>
            <w:vAlign w:val="center"/>
            <w:hideMark/>
          </w:tcPr>
          <w:p w14:paraId="74EF1C07" w14:textId="5BA5E3B5"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B1D0530"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406949A7" w14:textId="364F3C88"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Newark Public School District</w:t>
            </w:r>
          </w:p>
        </w:tc>
        <w:tc>
          <w:tcPr>
            <w:tcW w:w="649" w:type="dxa"/>
            <w:tcBorders>
              <w:top w:val="nil"/>
              <w:left w:val="nil"/>
              <w:bottom w:val="nil"/>
              <w:right w:val="nil"/>
            </w:tcBorders>
            <w:shd w:val="clear" w:color="auto" w:fill="auto"/>
            <w:noWrap/>
            <w:vAlign w:val="center"/>
            <w:hideMark/>
          </w:tcPr>
          <w:p w14:paraId="223B5626" w14:textId="4D3EA41E"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NJ</w:t>
            </w:r>
          </w:p>
        </w:tc>
        <w:tc>
          <w:tcPr>
            <w:tcW w:w="1177" w:type="dxa"/>
            <w:tcBorders>
              <w:top w:val="nil"/>
              <w:left w:val="nil"/>
              <w:bottom w:val="nil"/>
              <w:right w:val="nil"/>
            </w:tcBorders>
            <w:shd w:val="clear" w:color="auto" w:fill="auto"/>
            <w:noWrap/>
            <w:vAlign w:val="center"/>
            <w:hideMark/>
          </w:tcPr>
          <w:p w14:paraId="5964B869" w14:textId="45A076A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34,861</w:t>
            </w:r>
          </w:p>
        </w:tc>
        <w:tc>
          <w:tcPr>
            <w:tcW w:w="1796" w:type="dxa"/>
            <w:tcBorders>
              <w:top w:val="nil"/>
              <w:left w:val="nil"/>
              <w:bottom w:val="nil"/>
              <w:right w:val="nil"/>
            </w:tcBorders>
            <w:shd w:val="clear" w:color="auto" w:fill="auto"/>
            <w:noWrap/>
            <w:vAlign w:val="center"/>
            <w:hideMark/>
          </w:tcPr>
          <w:p w14:paraId="08036E5D" w14:textId="261CE25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76</w:t>
            </w:r>
          </w:p>
        </w:tc>
        <w:tc>
          <w:tcPr>
            <w:tcW w:w="1170" w:type="dxa"/>
            <w:tcBorders>
              <w:top w:val="nil"/>
              <w:left w:val="nil"/>
              <w:bottom w:val="nil"/>
              <w:right w:val="nil"/>
            </w:tcBorders>
            <w:shd w:val="clear" w:color="auto" w:fill="auto"/>
            <w:noWrap/>
            <w:vAlign w:val="center"/>
            <w:hideMark/>
          </w:tcPr>
          <w:p w14:paraId="06AD8D93" w14:textId="54ABD62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1771CCA4"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335CD289" w14:textId="4901D80C"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Oakland Unified</w:t>
            </w:r>
          </w:p>
        </w:tc>
        <w:tc>
          <w:tcPr>
            <w:tcW w:w="649" w:type="dxa"/>
            <w:tcBorders>
              <w:top w:val="nil"/>
              <w:left w:val="nil"/>
              <w:bottom w:val="nil"/>
              <w:right w:val="nil"/>
            </w:tcBorders>
            <w:shd w:val="clear" w:color="auto" w:fill="auto"/>
            <w:noWrap/>
            <w:vAlign w:val="center"/>
            <w:hideMark/>
          </w:tcPr>
          <w:p w14:paraId="0B05B248" w14:textId="75F7B989"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CA</w:t>
            </w:r>
          </w:p>
        </w:tc>
        <w:tc>
          <w:tcPr>
            <w:tcW w:w="1177" w:type="dxa"/>
            <w:tcBorders>
              <w:top w:val="nil"/>
              <w:left w:val="nil"/>
              <w:bottom w:val="nil"/>
              <w:right w:val="nil"/>
            </w:tcBorders>
            <w:shd w:val="clear" w:color="auto" w:fill="auto"/>
            <w:noWrap/>
            <w:vAlign w:val="center"/>
            <w:hideMark/>
          </w:tcPr>
          <w:p w14:paraId="749525D5" w14:textId="7BA4A10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48,077</w:t>
            </w:r>
          </w:p>
        </w:tc>
        <w:tc>
          <w:tcPr>
            <w:tcW w:w="1796" w:type="dxa"/>
            <w:tcBorders>
              <w:top w:val="nil"/>
              <w:left w:val="nil"/>
              <w:bottom w:val="nil"/>
              <w:right w:val="nil"/>
            </w:tcBorders>
            <w:shd w:val="clear" w:color="auto" w:fill="auto"/>
            <w:noWrap/>
            <w:vAlign w:val="center"/>
            <w:hideMark/>
          </w:tcPr>
          <w:p w14:paraId="18D946A1" w14:textId="27A5D30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130</w:t>
            </w:r>
          </w:p>
        </w:tc>
        <w:tc>
          <w:tcPr>
            <w:tcW w:w="1170" w:type="dxa"/>
            <w:tcBorders>
              <w:top w:val="nil"/>
              <w:left w:val="nil"/>
              <w:bottom w:val="nil"/>
              <w:right w:val="nil"/>
            </w:tcBorders>
            <w:shd w:val="clear" w:color="auto" w:fill="auto"/>
            <w:noWrap/>
            <w:vAlign w:val="center"/>
            <w:hideMark/>
          </w:tcPr>
          <w:p w14:paraId="627757D7" w14:textId="07632339"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637ACCF4"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03C47AE3" w14:textId="36A97B59"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Poudre School District</w:t>
            </w:r>
          </w:p>
        </w:tc>
        <w:tc>
          <w:tcPr>
            <w:tcW w:w="649" w:type="dxa"/>
            <w:tcBorders>
              <w:top w:val="nil"/>
              <w:left w:val="nil"/>
              <w:bottom w:val="nil"/>
              <w:right w:val="nil"/>
            </w:tcBorders>
            <w:shd w:val="clear" w:color="auto" w:fill="auto"/>
            <w:noWrap/>
            <w:vAlign w:val="center"/>
            <w:hideMark/>
          </w:tcPr>
          <w:p w14:paraId="23AAF8A2" w14:textId="23391EEC"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CO</w:t>
            </w:r>
          </w:p>
        </w:tc>
        <w:tc>
          <w:tcPr>
            <w:tcW w:w="1177" w:type="dxa"/>
            <w:tcBorders>
              <w:top w:val="nil"/>
              <w:left w:val="nil"/>
              <w:bottom w:val="nil"/>
              <w:right w:val="nil"/>
            </w:tcBorders>
            <w:shd w:val="clear" w:color="auto" w:fill="auto"/>
            <w:noWrap/>
            <w:vAlign w:val="center"/>
            <w:hideMark/>
          </w:tcPr>
          <w:p w14:paraId="71113218" w14:textId="531843E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29,053</w:t>
            </w:r>
          </w:p>
        </w:tc>
        <w:tc>
          <w:tcPr>
            <w:tcW w:w="1796" w:type="dxa"/>
            <w:tcBorders>
              <w:top w:val="nil"/>
              <w:left w:val="nil"/>
              <w:bottom w:val="nil"/>
              <w:right w:val="nil"/>
            </w:tcBorders>
            <w:shd w:val="clear" w:color="auto" w:fill="auto"/>
            <w:noWrap/>
            <w:vAlign w:val="center"/>
            <w:hideMark/>
          </w:tcPr>
          <w:p w14:paraId="3BBBBB5B" w14:textId="29AA3044"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53</w:t>
            </w:r>
          </w:p>
        </w:tc>
        <w:tc>
          <w:tcPr>
            <w:tcW w:w="1170" w:type="dxa"/>
            <w:tcBorders>
              <w:top w:val="nil"/>
              <w:left w:val="nil"/>
              <w:bottom w:val="nil"/>
              <w:right w:val="nil"/>
            </w:tcBorders>
            <w:shd w:val="clear" w:color="auto" w:fill="auto"/>
            <w:noWrap/>
            <w:vAlign w:val="center"/>
            <w:hideMark/>
          </w:tcPr>
          <w:p w14:paraId="2C0F569F" w14:textId="065A42B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3D21EADB"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79159982" w14:textId="529C311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 xml:space="preserve">Prince George's County </w:t>
            </w:r>
          </w:p>
        </w:tc>
        <w:tc>
          <w:tcPr>
            <w:tcW w:w="649" w:type="dxa"/>
            <w:tcBorders>
              <w:top w:val="nil"/>
              <w:left w:val="nil"/>
              <w:bottom w:val="nil"/>
              <w:right w:val="nil"/>
            </w:tcBorders>
            <w:shd w:val="clear" w:color="auto" w:fill="auto"/>
            <w:noWrap/>
            <w:vAlign w:val="center"/>
            <w:hideMark/>
          </w:tcPr>
          <w:p w14:paraId="4CAF0D82" w14:textId="28707D07"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MD</w:t>
            </w:r>
          </w:p>
        </w:tc>
        <w:tc>
          <w:tcPr>
            <w:tcW w:w="1177" w:type="dxa"/>
            <w:tcBorders>
              <w:top w:val="nil"/>
              <w:left w:val="nil"/>
              <w:bottom w:val="nil"/>
              <w:right w:val="nil"/>
            </w:tcBorders>
            <w:shd w:val="clear" w:color="auto" w:fill="auto"/>
            <w:noWrap/>
            <w:vAlign w:val="center"/>
            <w:hideMark/>
          </w:tcPr>
          <w:p w14:paraId="72A602AC" w14:textId="0F06D2D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127,576</w:t>
            </w:r>
          </w:p>
        </w:tc>
        <w:tc>
          <w:tcPr>
            <w:tcW w:w="1796" w:type="dxa"/>
            <w:tcBorders>
              <w:top w:val="nil"/>
              <w:left w:val="nil"/>
              <w:bottom w:val="nil"/>
              <w:right w:val="nil"/>
            </w:tcBorders>
            <w:shd w:val="clear" w:color="auto" w:fill="auto"/>
            <w:noWrap/>
            <w:vAlign w:val="center"/>
            <w:hideMark/>
          </w:tcPr>
          <w:p w14:paraId="65C18781" w14:textId="3EA0AA9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211</w:t>
            </w:r>
          </w:p>
        </w:tc>
        <w:tc>
          <w:tcPr>
            <w:tcW w:w="1170" w:type="dxa"/>
            <w:tcBorders>
              <w:top w:val="nil"/>
              <w:left w:val="nil"/>
              <w:bottom w:val="nil"/>
              <w:right w:val="nil"/>
            </w:tcBorders>
            <w:shd w:val="clear" w:color="auto" w:fill="auto"/>
            <w:noWrap/>
            <w:vAlign w:val="center"/>
            <w:hideMark/>
          </w:tcPr>
          <w:p w14:paraId="4C7845FD" w14:textId="00439AE9"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r w:rsidR="00936BD7" w:rsidRPr="00531469" w14:paraId="7DA63C8F"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93B9545" w14:textId="0E759F8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Rochester City School District</w:t>
            </w:r>
          </w:p>
        </w:tc>
        <w:tc>
          <w:tcPr>
            <w:tcW w:w="649" w:type="dxa"/>
            <w:tcBorders>
              <w:top w:val="nil"/>
              <w:left w:val="nil"/>
              <w:bottom w:val="nil"/>
              <w:right w:val="nil"/>
            </w:tcBorders>
            <w:shd w:val="clear" w:color="auto" w:fill="auto"/>
            <w:noWrap/>
            <w:vAlign w:val="center"/>
            <w:hideMark/>
          </w:tcPr>
          <w:p w14:paraId="5DDA5D5E" w14:textId="12DBA4DA"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NY</w:t>
            </w:r>
          </w:p>
        </w:tc>
        <w:tc>
          <w:tcPr>
            <w:tcW w:w="1177" w:type="dxa"/>
            <w:tcBorders>
              <w:top w:val="nil"/>
              <w:left w:val="nil"/>
              <w:bottom w:val="nil"/>
              <w:right w:val="nil"/>
            </w:tcBorders>
            <w:shd w:val="clear" w:color="auto" w:fill="auto"/>
            <w:noWrap/>
            <w:vAlign w:val="center"/>
            <w:hideMark/>
          </w:tcPr>
          <w:p w14:paraId="1D3CCF2B" w14:textId="0BB2A46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30,014</w:t>
            </w:r>
          </w:p>
        </w:tc>
        <w:tc>
          <w:tcPr>
            <w:tcW w:w="1796" w:type="dxa"/>
            <w:tcBorders>
              <w:top w:val="nil"/>
              <w:left w:val="nil"/>
              <w:bottom w:val="nil"/>
              <w:right w:val="nil"/>
            </w:tcBorders>
            <w:shd w:val="clear" w:color="auto" w:fill="auto"/>
            <w:noWrap/>
            <w:vAlign w:val="center"/>
            <w:hideMark/>
          </w:tcPr>
          <w:p w14:paraId="40E46D4D" w14:textId="22A76799"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54</w:t>
            </w:r>
          </w:p>
        </w:tc>
        <w:tc>
          <w:tcPr>
            <w:tcW w:w="1170" w:type="dxa"/>
            <w:tcBorders>
              <w:top w:val="nil"/>
              <w:left w:val="nil"/>
              <w:bottom w:val="nil"/>
              <w:right w:val="nil"/>
            </w:tcBorders>
            <w:shd w:val="clear" w:color="auto" w:fill="auto"/>
            <w:noWrap/>
            <w:vAlign w:val="center"/>
            <w:hideMark/>
          </w:tcPr>
          <w:p w14:paraId="16420428" w14:textId="695E0AB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084B7482"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6D6E2578" w14:textId="197785D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San Francisco Unified</w:t>
            </w:r>
          </w:p>
        </w:tc>
        <w:tc>
          <w:tcPr>
            <w:tcW w:w="649" w:type="dxa"/>
            <w:tcBorders>
              <w:top w:val="nil"/>
              <w:left w:val="nil"/>
              <w:bottom w:val="nil"/>
              <w:right w:val="nil"/>
            </w:tcBorders>
            <w:shd w:val="clear" w:color="auto" w:fill="auto"/>
            <w:noWrap/>
            <w:vAlign w:val="center"/>
            <w:hideMark/>
          </w:tcPr>
          <w:p w14:paraId="35A05F9C" w14:textId="121BA802"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CA</w:t>
            </w:r>
          </w:p>
        </w:tc>
        <w:tc>
          <w:tcPr>
            <w:tcW w:w="1177" w:type="dxa"/>
            <w:tcBorders>
              <w:top w:val="nil"/>
              <w:left w:val="nil"/>
              <w:bottom w:val="nil"/>
              <w:right w:val="nil"/>
            </w:tcBorders>
            <w:shd w:val="clear" w:color="auto" w:fill="auto"/>
            <w:noWrap/>
            <w:vAlign w:val="center"/>
            <w:hideMark/>
          </w:tcPr>
          <w:p w14:paraId="6480B69E" w14:textId="5889792E"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58,414</w:t>
            </w:r>
          </w:p>
        </w:tc>
        <w:tc>
          <w:tcPr>
            <w:tcW w:w="1796" w:type="dxa"/>
            <w:tcBorders>
              <w:top w:val="nil"/>
              <w:left w:val="nil"/>
              <w:bottom w:val="nil"/>
              <w:right w:val="nil"/>
            </w:tcBorders>
            <w:shd w:val="clear" w:color="auto" w:fill="auto"/>
            <w:noWrap/>
            <w:vAlign w:val="center"/>
            <w:hideMark/>
          </w:tcPr>
          <w:p w14:paraId="38EAA829" w14:textId="2BDA9676"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127</w:t>
            </w:r>
          </w:p>
        </w:tc>
        <w:tc>
          <w:tcPr>
            <w:tcW w:w="1170" w:type="dxa"/>
            <w:tcBorders>
              <w:top w:val="nil"/>
              <w:left w:val="nil"/>
              <w:bottom w:val="nil"/>
              <w:right w:val="nil"/>
            </w:tcBorders>
            <w:shd w:val="clear" w:color="auto" w:fill="auto"/>
            <w:noWrap/>
            <w:vAlign w:val="center"/>
            <w:hideMark/>
          </w:tcPr>
          <w:p w14:paraId="1D4201CA" w14:textId="343DBCEA"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21D660D"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51C155B3" w14:textId="719F16A5"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Santa Fe Public Schools</w:t>
            </w:r>
          </w:p>
        </w:tc>
        <w:tc>
          <w:tcPr>
            <w:tcW w:w="649" w:type="dxa"/>
            <w:tcBorders>
              <w:top w:val="nil"/>
              <w:left w:val="nil"/>
              <w:bottom w:val="nil"/>
              <w:right w:val="nil"/>
            </w:tcBorders>
            <w:shd w:val="clear" w:color="auto" w:fill="auto"/>
            <w:noWrap/>
            <w:vAlign w:val="center"/>
            <w:hideMark/>
          </w:tcPr>
          <w:p w14:paraId="01018FE5" w14:textId="20C9206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NM</w:t>
            </w:r>
          </w:p>
        </w:tc>
        <w:tc>
          <w:tcPr>
            <w:tcW w:w="1177" w:type="dxa"/>
            <w:tcBorders>
              <w:top w:val="nil"/>
              <w:left w:val="nil"/>
              <w:bottom w:val="nil"/>
              <w:right w:val="nil"/>
            </w:tcBorders>
            <w:shd w:val="clear" w:color="auto" w:fill="auto"/>
            <w:noWrap/>
            <w:vAlign w:val="center"/>
            <w:hideMark/>
          </w:tcPr>
          <w:p w14:paraId="33F9EBD4" w14:textId="2549625D"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14,752</w:t>
            </w:r>
          </w:p>
        </w:tc>
        <w:tc>
          <w:tcPr>
            <w:tcW w:w="1796" w:type="dxa"/>
            <w:tcBorders>
              <w:top w:val="nil"/>
              <w:left w:val="nil"/>
              <w:bottom w:val="nil"/>
              <w:right w:val="nil"/>
            </w:tcBorders>
            <w:shd w:val="clear" w:color="auto" w:fill="auto"/>
            <w:noWrap/>
            <w:vAlign w:val="center"/>
            <w:hideMark/>
          </w:tcPr>
          <w:p w14:paraId="15D9013B" w14:textId="7B0D781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33</w:t>
            </w:r>
          </w:p>
        </w:tc>
        <w:tc>
          <w:tcPr>
            <w:tcW w:w="1170" w:type="dxa"/>
            <w:tcBorders>
              <w:top w:val="nil"/>
              <w:left w:val="nil"/>
              <w:bottom w:val="nil"/>
              <w:right w:val="nil"/>
            </w:tcBorders>
            <w:shd w:val="clear" w:color="auto" w:fill="auto"/>
            <w:noWrap/>
            <w:vAlign w:val="center"/>
            <w:hideMark/>
          </w:tcPr>
          <w:p w14:paraId="4110F1EA" w14:textId="629E1A42"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7129F680"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7CE0E02E" w14:textId="63776C91"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Seattle Public Schools</w:t>
            </w:r>
          </w:p>
        </w:tc>
        <w:tc>
          <w:tcPr>
            <w:tcW w:w="649" w:type="dxa"/>
            <w:tcBorders>
              <w:top w:val="nil"/>
              <w:left w:val="nil"/>
              <w:bottom w:val="nil"/>
              <w:right w:val="nil"/>
            </w:tcBorders>
            <w:shd w:val="clear" w:color="auto" w:fill="auto"/>
            <w:noWrap/>
            <w:vAlign w:val="center"/>
            <w:hideMark/>
          </w:tcPr>
          <w:p w14:paraId="5A052E49" w14:textId="70984494"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WA</w:t>
            </w:r>
          </w:p>
        </w:tc>
        <w:tc>
          <w:tcPr>
            <w:tcW w:w="1177" w:type="dxa"/>
            <w:tcBorders>
              <w:top w:val="nil"/>
              <w:left w:val="nil"/>
              <w:bottom w:val="nil"/>
              <w:right w:val="nil"/>
            </w:tcBorders>
            <w:shd w:val="clear" w:color="auto" w:fill="auto"/>
            <w:noWrap/>
            <w:vAlign w:val="center"/>
            <w:hideMark/>
          </w:tcPr>
          <w:p w14:paraId="13CD7DD0" w14:textId="3C43860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52,834</w:t>
            </w:r>
          </w:p>
        </w:tc>
        <w:tc>
          <w:tcPr>
            <w:tcW w:w="1796" w:type="dxa"/>
            <w:tcBorders>
              <w:top w:val="nil"/>
              <w:left w:val="nil"/>
              <w:bottom w:val="nil"/>
              <w:right w:val="nil"/>
            </w:tcBorders>
            <w:shd w:val="clear" w:color="auto" w:fill="auto"/>
            <w:noWrap/>
            <w:vAlign w:val="center"/>
            <w:hideMark/>
          </w:tcPr>
          <w:p w14:paraId="4D605F7E" w14:textId="2AB8DAA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106</w:t>
            </w:r>
          </w:p>
        </w:tc>
        <w:tc>
          <w:tcPr>
            <w:tcW w:w="1170" w:type="dxa"/>
            <w:tcBorders>
              <w:top w:val="nil"/>
              <w:left w:val="nil"/>
              <w:bottom w:val="nil"/>
              <w:right w:val="nil"/>
            </w:tcBorders>
            <w:shd w:val="clear" w:color="auto" w:fill="auto"/>
            <w:noWrap/>
            <w:vAlign w:val="center"/>
            <w:hideMark/>
          </w:tcPr>
          <w:p w14:paraId="053C30D4" w14:textId="41407683"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695CA101"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71E28342" w14:textId="22FB18C0"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St. Paul Public School District</w:t>
            </w:r>
          </w:p>
        </w:tc>
        <w:tc>
          <w:tcPr>
            <w:tcW w:w="649" w:type="dxa"/>
            <w:tcBorders>
              <w:top w:val="nil"/>
              <w:left w:val="nil"/>
              <w:bottom w:val="nil"/>
              <w:right w:val="nil"/>
            </w:tcBorders>
            <w:shd w:val="clear" w:color="auto" w:fill="auto"/>
            <w:noWrap/>
            <w:vAlign w:val="center"/>
            <w:hideMark/>
          </w:tcPr>
          <w:p w14:paraId="19D2776F" w14:textId="63085813"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MN</w:t>
            </w:r>
          </w:p>
        </w:tc>
        <w:tc>
          <w:tcPr>
            <w:tcW w:w="1177" w:type="dxa"/>
            <w:tcBorders>
              <w:top w:val="nil"/>
              <w:left w:val="nil"/>
              <w:bottom w:val="nil"/>
              <w:right w:val="nil"/>
            </w:tcBorders>
            <w:shd w:val="clear" w:color="auto" w:fill="auto"/>
            <w:noWrap/>
            <w:vAlign w:val="center"/>
            <w:hideMark/>
          </w:tcPr>
          <w:p w14:paraId="3A3CABED" w14:textId="58B3D6D7"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37,969</w:t>
            </w:r>
          </w:p>
        </w:tc>
        <w:tc>
          <w:tcPr>
            <w:tcW w:w="1796" w:type="dxa"/>
            <w:tcBorders>
              <w:top w:val="nil"/>
              <w:left w:val="nil"/>
              <w:bottom w:val="nil"/>
              <w:right w:val="nil"/>
            </w:tcBorders>
            <w:shd w:val="clear" w:color="auto" w:fill="auto"/>
            <w:noWrap/>
            <w:vAlign w:val="center"/>
            <w:hideMark/>
          </w:tcPr>
          <w:p w14:paraId="449C6B54" w14:textId="3E52F394"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104</w:t>
            </w:r>
          </w:p>
        </w:tc>
        <w:tc>
          <w:tcPr>
            <w:tcW w:w="1170" w:type="dxa"/>
            <w:tcBorders>
              <w:top w:val="nil"/>
              <w:left w:val="nil"/>
              <w:bottom w:val="nil"/>
              <w:right w:val="nil"/>
            </w:tcBorders>
            <w:shd w:val="clear" w:color="auto" w:fill="auto"/>
            <w:noWrap/>
            <w:vAlign w:val="center"/>
            <w:hideMark/>
          </w:tcPr>
          <w:p w14:paraId="3FCE5340" w14:textId="241EBA18"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City</w:t>
            </w:r>
          </w:p>
        </w:tc>
      </w:tr>
      <w:tr w:rsidR="00936BD7" w:rsidRPr="00531469" w14:paraId="4008E4DF" w14:textId="77777777" w:rsidTr="00C62B30">
        <w:trPr>
          <w:trHeight w:val="276"/>
          <w:jc w:val="center"/>
        </w:trPr>
        <w:tc>
          <w:tcPr>
            <w:tcW w:w="3200" w:type="dxa"/>
            <w:tcBorders>
              <w:top w:val="nil"/>
              <w:left w:val="nil"/>
              <w:bottom w:val="nil"/>
              <w:right w:val="nil"/>
            </w:tcBorders>
            <w:shd w:val="clear" w:color="auto" w:fill="auto"/>
            <w:noWrap/>
            <w:vAlign w:val="center"/>
            <w:hideMark/>
          </w:tcPr>
          <w:p w14:paraId="21998CA4" w14:textId="2F3AF8FF"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Twin Rivers Unified</w:t>
            </w:r>
          </w:p>
        </w:tc>
        <w:tc>
          <w:tcPr>
            <w:tcW w:w="649" w:type="dxa"/>
            <w:tcBorders>
              <w:top w:val="nil"/>
              <w:left w:val="nil"/>
              <w:bottom w:val="nil"/>
              <w:right w:val="nil"/>
            </w:tcBorders>
            <w:shd w:val="clear" w:color="auto" w:fill="auto"/>
            <w:noWrap/>
            <w:vAlign w:val="center"/>
            <w:hideMark/>
          </w:tcPr>
          <w:p w14:paraId="1AB52AED" w14:textId="37A17FCB" w:rsidR="00936BD7" w:rsidRPr="00B97C17" w:rsidRDefault="00936BD7" w:rsidP="00936BD7">
            <w:pPr>
              <w:spacing w:after="0" w:line="240" w:lineRule="auto"/>
              <w:rPr>
                <w:rFonts w:asciiTheme="minorHAnsi" w:eastAsia="Times New Roman" w:hAnsiTheme="minorHAnsi"/>
                <w:color w:val="000000"/>
                <w:sz w:val="20"/>
                <w:szCs w:val="20"/>
              </w:rPr>
            </w:pPr>
            <w:r w:rsidRPr="00936BD7">
              <w:rPr>
                <w:rFonts w:eastAsia="Times New Roman"/>
                <w:color w:val="000000"/>
                <w:sz w:val="20"/>
                <w:szCs w:val="20"/>
              </w:rPr>
              <w:t>CA</w:t>
            </w:r>
          </w:p>
        </w:tc>
        <w:tc>
          <w:tcPr>
            <w:tcW w:w="1177" w:type="dxa"/>
            <w:tcBorders>
              <w:top w:val="nil"/>
              <w:left w:val="nil"/>
              <w:bottom w:val="nil"/>
              <w:right w:val="nil"/>
            </w:tcBorders>
            <w:shd w:val="clear" w:color="auto" w:fill="auto"/>
            <w:noWrap/>
            <w:vAlign w:val="center"/>
            <w:hideMark/>
          </w:tcPr>
          <w:p w14:paraId="333C742E" w14:textId="1097A96F"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31,035</w:t>
            </w:r>
          </w:p>
        </w:tc>
        <w:tc>
          <w:tcPr>
            <w:tcW w:w="1796" w:type="dxa"/>
            <w:tcBorders>
              <w:top w:val="nil"/>
              <w:left w:val="nil"/>
              <w:bottom w:val="nil"/>
              <w:right w:val="nil"/>
            </w:tcBorders>
            <w:shd w:val="clear" w:color="auto" w:fill="auto"/>
            <w:noWrap/>
            <w:vAlign w:val="center"/>
            <w:hideMark/>
          </w:tcPr>
          <w:p w14:paraId="3141D763" w14:textId="65B4775C"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54</w:t>
            </w:r>
          </w:p>
        </w:tc>
        <w:tc>
          <w:tcPr>
            <w:tcW w:w="1170" w:type="dxa"/>
            <w:tcBorders>
              <w:top w:val="nil"/>
              <w:left w:val="nil"/>
              <w:bottom w:val="nil"/>
              <w:right w:val="nil"/>
            </w:tcBorders>
            <w:shd w:val="clear" w:color="auto" w:fill="auto"/>
            <w:noWrap/>
            <w:vAlign w:val="center"/>
            <w:hideMark/>
          </w:tcPr>
          <w:p w14:paraId="45F0C02A" w14:textId="4796A11B" w:rsidR="00936BD7" w:rsidRPr="00B97C17" w:rsidRDefault="00936BD7" w:rsidP="00936BD7">
            <w:pPr>
              <w:spacing w:after="0" w:line="240" w:lineRule="auto"/>
              <w:jc w:val="center"/>
              <w:rPr>
                <w:rFonts w:asciiTheme="minorHAnsi" w:eastAsia="Times New Roman" w:hAnsiTheme="minorHAnsi"/>
                <w:color w:val="000000"/>
                <w:sz w:val="20"/>
                <w:szCs w:val="20"/>
              </w:rPr>
            </w:pPr>
            <w:r w:rsidRPr="00936BD7">
              <w:rPr>
                <w:rFonts w:eastAsia="Times New Roman"/>
                <w:color w:val="000000"/>
                <w:sz w:val="20"/>
                <w:szCs w:val="20"/>
              </w:rPr>
              <w:t>Suburb</w:t>
            </w:r>
          </w:p>
        </w:tc>
      </w:tr>
    </w:tbl>
    <w:p w14:paraId="7972EF68" w14:textId="0085B36D" w:rsidR="0057547B" w:rsidRDefault="000C6EF4" w:rsidP="00742B08">
      <w:pPr>
        <w:pStyle w:val="BodyText"/>
        <w:spacing w:before="240"/>
      </w:pPr>
      <w:r>
        <w:t>A stratified sample of districts with at least six schools will be drawn, stratifying on three student financial need categories (</w:t>
      </w:r>
      <w:r w:rsidR="00EA0AD1">
        <w:t xml:space="preserve">low, middle and high </w:t>
      </w:r>
      <w:r>
        <w:t>ranges of district-level poverty based on the Census Small Area Income</w:t>
      </w:r>
      <w:r w:rsidR="00CE0D41">
        <w:t xml:space="preserve"> and</w:t>
      </w:r>
      <w:r>
        <w:t xml:space="preserve"> Poverty Estimates)</w:t>
      </w:r>
      <w:r w:rsidR="00D03E5A">
        <w:rPr>
          <w:rStyle w:val="FootnoteReference"/>
        </w:rPr>
        <w:footnoteReference w:id="2"/>
      </w:r>
      <w:r>
        <w:t xml:space="preserve">, three </w:t>
      </w:r>
      <w:r w:rsidR="00022069">
        <w:t>NCES</w:t>
      </w:r>
      <w:r>
        <w:t xml:space="preserve"> locale categories (city, suburb, and town/rural combined)</w:t>
      </w:r>
      <w:r w:rsidR="00D03E5A">
        <w:rPr>
          <w:rStyle w:val="FootnoteReference"/>
        </w:rPr>
        <w:footnoteReference w:id="3"/>
      </w:r>
      <w:r>
        <w:t>, and two size categories (small/medium and large) so as to allow for meaningful comparisons across these subgroups.</w:t>
      </w:r>
      <w:r>
        <w:rPr>
          <w:rStyle w:val="FootnoteReference"/>
        </w:rPr>
        <w:footnoteReference w:id="4"/>
      </w:r>
      <w:r>
        <w:t xml:space="preserve"> The</w:t>
      </w:r>
      <w:r w:rsidR="00245872">
        <w:t xml:space="preserve"> </w:t>
      </w:r>
      <w:r w:rsidR="00775331">
        <w:t>31</w:t>
      </w:r>
      <w:r>
        <w:t xml:space="preserve"> districts identified as previously</w:t>
      </w:r>
      <w:r w:rsidR="00442EDC">
        <w:t xml:space="preserve"> </w:t>
      </w:r>
      <w:r w:rsidR="00022069">
        <w:t>having</w:t>
      </w:r>
      <w:r w:rsidR="00A055DD">
        <w:t xml:space="preserve"> implemented</w:t>
      </w:r>
      <w:r>
        <w:t xml:space="preserve">, currently implementing, or </w:t>
      </w:r>
      <w:r>
        <w:lastRenderedPageBreak/>
        <w:t xml:space="preserve">actively considering </w:t>
      </w:r>
      <w:r w:rsidR="00587D92">
        <w:t xml:space="preserve">WSF or </w:t>
      </w:r>
      <w:r w:rsidR="00BB63FD">
        <w:t xml:space="preserve">SBB </w:t>
      </w:r>
      <w:r>
        <w:t xml:space="preserve">will be selected with certainty to guarantee their </w:t>
      </w:r>
      <w:r w:rsidR="00022069">
        <w:t>inclusion</w:t>
      </w:r>
      <w:r>
        <w:t xml:space="preserve"> in the study</w:t>
      </w:r>
      <w:r w:rsidR="00F73FB3">
        <w:t xml:space="preserve"> (sampling selection probability equal to one)</w:t>
      </w:r>
      <w:r>
        <w:t xml:space="preserve">. </w:t>
      </w:r>
      <w:r w:rsidR="005352CC">
        <w:t>Additionally, the district sample size in each stratum will be determined proportionally to the number of schools within the stratum.</w:t>
      </w:r>
      <w:r w:rsidR="00C029CC">
        <w:t xml:space="preserve"> </w:t>
      </w:r>
      <w:r w:rsidR="005352CC">
        <w:t>W</w:t>
      </w:r>
      <w:r>
        <w:t xml:space="preserve">ithin each of these 18 district strata, the </w:t>
      </w:r>
      <w:r w:rsidR="00C029CC">
        <w:t xml:space="preserve">determined number of </w:t>
      </w:r>
      <w:r>
        <w:t>districts will be selected with probability proportional to the number of schools in the district. If a stratum has fewer than three districts allocated, then the stratum will be combined with a neighboring stratum to avoid the situation in which a stratum may have fewer than two responding districts and strata have to be collapsed after the data collection.</w:t>
      </w:r>
    </w:p>
    <w:p w14:paraId="2C8ECF03" w14:textId="2441007E" w:rsidR="005A37DF" w:rsidRPr="002A50EF" w:rsidRDefault="005A37DF" w:rsidP="005A37DF">
      <w:pPr>
        <w:pStyle w:val="BodyText"/>
      </w:pPr>
      <w:r w:rsidRPr="002A50EF">
        <w:t xml:space="preserve">After district selection, schools in the sampled districts within each stratum will be pooled together, and the pooled list of schools will be stratified by school level (elementary, middle, and high school). </w:t>
      </w:r>
      <w:r w:rsidR="00F73FB3" w:rsidRPr="00F73FB3">
        <w:t>From the total number of schools included in each stratum, roughly equal number of schools will be sampled with probability proportional to their district sampling weights. In turn, the school selection probability within each schooling level will be equal in the case where the within-district composition of schools with respect to schooling level is equal to that of the district stratum from which they are being sampled</w:t>
      </w:r>
      <w:r w:rsidR="00F73FB3">
        <w:t>.</w:t>
      </w:r>
      <w:r w:rsidR="000B7DAC">
        <w:t xml:space="preserve"> </w:t>
      </w:r>
      <w:r w:rsidR="00775331">
        <w:t>Ten</w:t>
      </w:r>
      <w:r w:rsidR="000B7DAC">
        <w:t xml:space="preserve"> schools will be sampled from </w:t>
      </w:r>
      <w:r w:rsidR="009618E9">
        <w:t>31</w:t>
      </w:r>
      <w:r w:rsidR="000B7DAC">
        <w:t xml:space="preserve"> districts identified as previously having</w:t>
      </w:r>
      <w:r w:rsidR="00CE7E72">
        <w:t xml:space="preserve"> impl</w:t>
      </w:r>
      <w:r w:rsidR="00383DE5">
        <w:t>e</w:t>
      </w:r>
      <w:r w:rsidR="00CE7E72">
        <w:t>mented</w:t>
      </w:r>
      <w:r w:rsidR="000B7DAC">
        <w:t>, currently implementing, or actively considering WSF or SBB, and one school will be sampled from each of the other selected districts.</w:t>
      </w:r>
    </w:p>
    <w:p w14:paraId="6B5BF6A4" w14:textId="659D60A6" w:rsidR="0057547B" w:rsidRDefault="000C6EF4">
      <w:pPr>
        <w:pStyle w:val="BodyText"/>
        <w:rPr>
          <w:spacing w:val="-4"/>
        </w:rPr>
      </w:pPr>
      <w:r w:rsidRPr="00B612E8">
        <w:t>Due to the clustering of schools within the districts and differential selection probabilities to satisfy sample size requirements for different groups, we expect a design effect (a proportional increase in variance) of between 1.6 and 2.0.</w:t>
      </w:r>
      <w:r w:rsidR="001E13CD">
        <w:t xml:space="preserve"> </w:t>
      </w:r>
      <w:r>
        <w:t xml:space="preserve">Assuming the conservative design effect (2.0) for both the district and school samples, we propose a design with a sample of </w:t>
      </w:r>
      <w:r w:rsidR="00775331">
        <w:t>400</w:t>
      </w:r>
      <w:r w:rsidR="00B612E8">
        <w:t xml:space="preserve"> </w:t>
      </w:r>
      <w:r>
        <w:t xml:space="preserve">districts and </w:t>
      </w:r>
      <w:r w:rsidR="00B612E8">
        <w:t xml:space="preserve">679 </w:t>
      </w:r>
      <w:r>
        <w:t>schools. The target response rate</w:t>
      </w:r>
      <w:r w:rsidR="005D3A10">
        <w:t>s</w:t>
      </w:r>
      <w:r>
        <w:t xml:space="preserve"> </w:t>
      </w:r>
      <w:r w:rsidR="00775331">
        <w:t xml:space="preserve">for WSF districts and their schools </w:t>
      </w:r>
      <w:r w:rsidR="005C2439">
        <w:t>are</w:t>
      </w:r>
      <w:r w:rsidR="00775331">
        <w:t xml:space="preserve"> 95 percent and 85 percent, respectively, while for non-WSF districts the district- and school-level response rates are 75 percent and 65 percent</w:t>
      </w:r>
      <w:r>
        <w:t>.</w:t>
      </w:r>
      <w:r w:rsidR="00BC0244">
        <w:t xml:space="preserve"> The rationale for these response rates is that participation in this study is voluntary and on a topic that may not be perceived as relevant to some respondents. To encourage response, to the study team will provide survey </w:t>
      </w:r>
      <w:r w:rsidR="00BC0244" w:rsidRPr="009F7DF7">
        <w:t xml:space="preserve">respondents a $25 gift card as a token of appreciation, as well as to conduct a variety of non-response follow-up outreach activities. </w:t>
      </w:r>
      <w:proofErr w:type="gramStart"/>
      <w:r w:rsidR="00BC0244" w:rsidRPr="009F7DF7">
        <w:t xml:space="preserve">Given these considerations and efforts, the study team estimates </w:t>
      </w:r>
      <w:r w:rsidR="009D2014" w:rsidRPr="009F7DF7">
        <w:t xml:space="preserve">district </w:t>
      </w:r>
      <w:r w:rsidR="00BC0244" w:rsidRPr="009F7DF7">
        <w:t xml:space="preserve">response rates at </w:t>
      </w:r>
      <w:r w:rsidR="009F3ECB" w:rsidRPr="009F7DF7">
        <w:t xml:space="preserve">95 </w:t>
      </w:r>
      <w:r w:rsidR="009D2014" w:rsidRPr="009F7DF7">
        <w:t xml:space="preserve">and </w:t>
      </w:r>
      <w:r w:rsidR="007E790F" w:rsidRPr="009F7DF7">
        <w:t>75</w:t>
      </w:r>
      <w:r w:rsidR="009D2014" w:rsidRPr="009F7DF7">
        <w:t xml:space="preserve"> percent </w:t>
      </w:r>
      <w:r w:rsidR="00BC0244" w:rsidRPr="009F7DF7">
        <w:t xml:space="preserve">for </w:t>
      </w:r>
      <w:r w:rsidR="009D2014" w:rsidRPr="009F7DF7">
        <w:t xml:space="preserve">WSF and non-WSF </w:t>
      </w:r>
      <w:r w:rsidR="00BC0244" w:rsidRPr="009F7DF7">
        <w:t>districts</w:t>
      </w:r>
      <w:r w:rsidR="009D2014" w:rsidRPr="009F7DF7">
        <w:t>, respectively,</w:t>
      </w:r>
      <w:r w:rsidR="00BC0244" w:rsidRPr="009F7DF7">
        <w:t xml:space="preserve"> and </w:t>
      </w:r>
      <w:r w:rsidR="009D2014" w:rsidRPr="009F7DF7">
        <w:t xml:space="preserve">principal response rates of </w:t>
      </w:r>
      <w:r w:rsidR="007E790F" w:rsidRPr="009F7DF7">
        <w:t>85</w:t>
      </w:r>
      <w:r w:rsidR="009D2014" w:rsidRPr="009F7DF7">
        <w:t xml:space="preserve"> and 65 percent</w:t>
      </w:r>
      <w:r w:rsidR="00BC0244" w:rsidRPr="009F7DF7">
        <w:t xml:space="preserve"> for principals</w:t>
      </w:r>
      <w:r w:rsidR="009D2014" w:rsidRPr="009F7DF7">
        <w:t xml:space="preserve"> in WSF and non-WSF schools, respectively</w:t>
      </w:r>
      <w:r w:rsidR="00BC0244" w:rsidRPr="009F7DF7">
        <w:t>.</w:t>
      </w:r>
      <w:proofErr w:type="gramEnd"/>
      <w:r w:rsidR="00410478" w:rsidRPr="009F7DF7">
        <w:t xml:space="preserve"> </w:t>
      </w:r>
      <w:r w:rsidR="00BC0244" w:rsidRPr="009F7DF7">
        <w:t>At</w:t>
      </w:r>
      <w:r w:rsidRPr="009F7DF7">
        <w:t xml:space="preserve"> th</w:t>
      </w:r>
      <w:r w:rsidR="009D2014" w:rsidRPr="009F7DF7">
        <w:t>ese</w:t>
      </w:r>
      <w:r w:rsidRPr="009F7DF7">
        <w:t xml:space="preserve"> target response rate</w:t>
      </w:r>
      <w:r w:rsidR="009D2014" w:rsidRPr="009F7DF7">
        <w:t>s</w:t>
      </w:r>
      <w:r w:rsidRPr="009F7DF7">
        <w:t xml:space="preserve">, we will obtain </w:t>
      </w:r>
      <w:r w:rsidR="007E790F" w:rsidRPr="009F7DF7">
        <w:t>306</w:t>
      </w:r>
      <w:r w:rsidR="00B612E8" w:rsidRPr="009F7DF7">
        <w:t xml:space="preserve"> </w:t>
      </w:r>
      <w:r w:rsidRPr="009F7DF7">
        <w:t xml:space="preserve">district responses and </w:t>
      </w:r>
      <w:r w:rsidR="009D2014" w:rsidRPr="009F7DF7">
        <w:t>503</w:t>
      </w:r>
      <w:r w:rsidR="00B67806" w:rsidRPr="009F7DF7">
        <w:t xml:space="preserve"> </w:t>
      </w:r>
      <w:r w:rsidRPr="009F7DF7">
        <w:t xml:space="preserve">principal responses. Given these sample yields, we anticipate </w:t>
      </w:r>
      <w:r w:rsidRPr="009F7DF7">
        <w:rPr>
          <w:spacing w:val="-4"/>
        </w:rPr>
        <w:t xml:space="preserve">estimating, with a 95 percent confidence level, a school-level average response on a dichotomous variable with a value of 0.5 to within plus or minus </w:t>
      </w:r>
      <w:r w:rsidR="009D2014" w:rsidRPr="009F7DF7">
        <w:rPr>
          <w:spacing w:val="-4"/>
        </w:rPr>
        <w:t>0.</w:t>
      </w:r>
      <w:r w:rsidR="009F7DF7" w:rsidRPr="009F7DF7">
        <w:rPr>
          <w:spacing w:val="-4"/>
        </w:rPr>
        <w:t>0618</w:t>
      </w:r>
      <w:r w:rsidRPr="009F7DF7">
        <w:rPr>
          <w:spacing w:val="-4"/>
        </w:rPr>
        <w:t xml:space="preserve">, and a district-level average response on a dichotomous variable with a value of 0.5 to within plus or minus </w:t>
      </w:r>
      <w:r w:rsidR="009D2014" w:rsidRPr="009F7DF7">
        <w:rPr>
          <w:spacing w:val="-4"/>
        </w:rPr>
        <w:t>0.0825</w:t>
      </w:r>
      <w:r w:rsidRPr="009F7DF7">
        <w:rPr>
          <w:spacing w:val="-4"/>
        </w:rPr>
        <w:t>.</w:t>
      </w:r>
    </w:p>
    <w:p w14:paraId="4302534D" w14:textId="552F607E" w:rsidR="00E361E7" w:rsidRDefault="00E361E7">
      <w:pPr>
        <w:pStyle w:val="BodyText"/>
      </w:pPr>
      <w:r>
        <w:rPr>
          <w:spacing w:val="-4"/>
        </w:rPr>
        <w:t>To better understand and adjust for nonresponse bias, we will identify subsample</w:t>
      </w:r>
      <w:r w:rsidR="00196F88">
        <w:rPr>
          <w:spacing w:val="-4"/>
        </w:rPr>
        <w:t>s</w:t>
      </w:r>
      <w:r>
        <w:rPr>
          <w:spacing w:val="-4"/>
        </w:rPr>
        <w:t xml:space="preserve"> of the overall </w:t>
      </w:r>
      <w:r w:rsidR="00196F88">
        <w:rPr>
          <w:spacing w:val="-4"/>
        </w:rPr>
        <w:t xml:space="preserve">district and school </w:t>
      </w:r>
      <w:r>
        <w:rPr>
          <w:spacing w:val="-4"/>
        </w:rPr>
        <w:t>sample</w:t>
      </w:r>
      <w:r w:rsidR="00196F88">
        <w:rPr>
          <w:spacing w:val="-4"/>
        </w:rPr>
        <w:t>s</w:t>
      </w:r>
      <w:r>
        <w:rPr>
          <w:spacing w:val="-4"/>
        </w:rPr>
        <w:t xml:space="preserve"> </w:t>
      </w:r>
      <w:r w:rsidR="00196F88">
        <w:rPr>
          <w:spacing w:val="-4"/>
        </w:rPr>
        <w:t xml:space="preserve">(of 30 percent and 20 percent, respectively) </w:t>
      </w:r>
      <w:r w:rsidR="002426E7">
        <w:rPr>
          <w:spacing w:val="-4"/>
        </w:rPr>
        <w:t xml:space="preserve">with </w:t>
      </w:r>
      <w:r w:rsidR="00D94191">
        <w:rPr>
          <w:spacing w:val="-4"/>
        </w:rPr>
        <w:t xml:space="preserve">whom </w:t>
      </w:r>
      <w:r w:rsidR="002426E7">
        <w:rPr>
          <w:spacing w:val="-4"/>
        </w:rPr>
        <w:t xml:space="preserve">we will </w:t>
      </w:r>
      <w:r w:rsidR="00196F88">
        <w:rPr>
          <w:spacing w:val="-4"/>
        </w:rPr>
        <w:t xml:space="preserve">conduct </w:t>
      </w:r>
      <w:r>
        <w:rPr>
          <w:spacing w:val="-4"/>
        </w:rPr>
        <w:t>intensive follow up</w:t>
      </w:r>
      <w:r w:rsidR="002426E7">
        <w:rPr>
          <w:spacing w:val="-4"/>
        </w:rPr>
        <w:t xml:space="preserve"> with </w:t>
      </w:r>
      <w:r w:rsidR="00196F88">
        <w:rPr>
          <w:spacing w:val="-4"/>
        </w:rPr>
        <w:t xml:space="preserve">those that prove to be </w:t>
      </w:r>
      <w:r w:rsidR="002426E7">
        <w:rPr>
          <w:spacing w:val="-4"/>
        </w:rPr>
        <w:t>non-responsive</w:t>
      </w:r>
      <w:r>
        <w:rPr>
          <w:spacing w:val="-4"/>
        </w:rPr>
        <w:t>.</w:t>
      </w:r>
      <w:r w:rsidR="00D24337">
        <w:rPr>
          <w:rStyle w:val="FootnoteReference"/>
          <w:spacing w:val="-4"/>
        </w:rPr>
        <w:footnoteReference w:id="5"/>
      </w:r>
      <w:r>
        <w:rPr>
          <w:spacing w:val="-4"/>
        </w:rPr>
        <w:t xml:space="preserve"> </w:t>
      </w:r>
      <w:r w:rsidR="002426E7">
        <w:rPr>
          <w:spacing w:val="-4"/>
        </w:rPr>
        <w:t xml:space="preserve">Specifically, we will reach out to </w:t>
      </w:r>
      <w:r w:rsidR="00196F88">
        <w:rPr>
          <w:spacing w:val="-4"/>
        </w:rPr>
        <w:t xml:space="preserve">the </w:t>
      </w:r>
      <w:r>
        <w:rPr>
          <w:spacing w:val="-4"/>
        </w:rPr>
        <w:t xml:space="preserve">non-respondents </w:t>
      </w:r>
      <w:r w:rsidR="00196F88">
        <w:rPr>
          <w:spacing w:val="-4"/>
        </w:rPr>
        <w:t xml:space="preserve">in each of these groups </w:t>
      </w:r>
      <w:r w:rsidR="00D94191">
        <w:rPr>
          <w:spacing w:val="-4"/>
        </w:rPr>
        <w:t>and ask them to complete abbreviated survey</w:t>
      </w:r>
      <w:r w:rsidR="00196F88">
        <w:rPr>
          <w:spacing w:val="-4"/>
        </w:rPr>
        <w:t>s</w:t>
      </w:r>
      <w:r w:rsidR="00D94191">
        <w:rPr>
          <w:spacing w:val="-4"/>
        </w:rPr>
        <w:t xml:space="preserve"> consisting of </w:t>
      </w:r>
      <w:r>
        <w:rPr>
          <w:spacing w:val="-4"/>
        </w:rPr>
        <w:t xml:space="preserve">a </w:t>
      </w:r>
      <w:r w:rsidR="00D94191">
        <w:rPr>
          <w:spacing w:val="-4"/>
        </w:rPr>
        <w:t>small</w:t>
      </w:r>
      <w:r>
        <w:rPr>
          <w:spacing w:val="-4"/>
        </w:rPr>
        <w:t xml:space="preserve"> subset of key survey items. This will allow us to compare non-respondents to respondents on these key items </w:t>
      </w:r>
      <w:r w:rsidR="007A46BB">
        <w:rPr>
          <w:spacing w:val="-4"/>
        </w:rPr>
        <w:t>and</w:t>
      </w:r>
      <w:r>
        <w:rPr>
          <w:spacing w:val="-4"/>
        </w:rPr>
        <w:t xml:space="preserve"> more precisely adjust weights to account for non-response bias.</w:t>
      </w:r>
    </w:p>
    <w:p w14:paraId="4211F0A8" w14:textId="33B0CA3D" w:rsidR="0057547B" w:rsidRDefault="000C6EF4">
      <w:pPr>
        <w:pStyle w:val="BodyText"/>
      </w:pPr>
      <w:r w:rsidRPr="00E361E7">
        <w:rPr>
          <w:rStyle w:val="Heading5Char"/>
        </w:rPr>
        <w:t>Sample Preparation</w:t>
      </w:r>
      <w:r w:rsidRPr="00E361E7">
        <w:rPr>
          <w:rStyle w:val="Heading5Char"/>
          <w:i/>
        </w:rPr>
        <w:t>.</w:t>
      </w:r>
      <w:r>
        <w:rPr>
          <w:rStyle w:val="Heading5Char"/>
          <w:b w:val="0"/>
        </w:rPr>
        <w:t xml:space="preserve"> </w:t>
      </w:r>
      <w:r>
        <w:t xml:space="preserve">A list of sampled districts will be generated as part of the sampling process. The CCD file contains the addresses and phone numbers for districts and schools, but not the names, titles, or </w:t>
      </w:r>
      <w:r w:rsidR="00E041D1">
        <w:lastRenderedPageBreak/>
        <w:t>email</w:t>
      </w:r>
      <w:r>
        <w:t xml:space="preserve"> addresses of key contacts in the district. </w:t>
      </w:r>
      <w:r w:rsidR="00BC0244">
        <w:t>Therefore</w:t>
      </w:r>
      <w:r>
        <w:t xml:space="preserve">, although the CCD data provide a starting point for creating a database of contact information for each sampled district and school, the information is not adequate for administering the study’s survey. </w:t>
      </w:r>
      <w:r w:rsidR="00BC0244">
        <w:t>In order to</w:t>
      </w:r>
      <w:r>
        <w:t xml:space="preserve"> ensure that the survey is directed to the appropriate district or school official who can report </w:t>
      </w:r>
      <w:r w:rsidR="004768F8">
        <w:t xml:space="preserve">on the </w:t>
      </w:r>
      <w:r w:rsidR="00BC0244">
        <w:t>details</w:t>
      </w:r>
      <w:r w:rsidR="004768F8">
        <w:t xml:space="preserve"> of the </w:t>
      </w:r>
      <w:r w:rsidR="00BC0244">
        <w:t>district’s school resource allocation</w:t>
      </w:r>
      <w:r w:rsidR="004768F8">
        <w:t xml:space="preserve"> system</w:t>
      </w:r>
      <w:r w:rsidR="00BC0244">
        <w:t xml:space="preserve">, the </w:t>
      </w:r>
      <w:r>
        <w:t>study team will find additional information from state department of education online directories; engage in Internet searches; and, as needed, make phone calls to each of the district’s central offices to identify the official who is in the best position to respond to each survey and</w:t>
      </w:r>
      <w:r w:rsidR="00BC0244">
        <w:t xml:space="preserve"> to</w:t>
      </w:r>
      <w:r>
        <w:t xml:space="preserve"> verify this person’s contact phone number and </w:t>
      </w:r>
      <w:r w:rsidR="00E041D1">
        <w:t>email</w:t>
      </w:r>
      <w:r>
        <w:t xml:space="preserve"> address. At the district level, this person might be the superintendent, </w:t>
      </w:r>
      <w:r w:rsidR="004768F8">
        <w:t xml:space="preserve">chief academic officer, </w:t>
      </w:r>
      <w:r>
        <w:t>chief financial officer, or budget manager; at the school level, it might be the principal, assistant principal, or budget manager.</w:t>
      </w:r>
    </w:p>
    <w:p w14:paraId="4B83D68B" w14:textId="59FB82A5" w:rsidR="0057547B" w:rsidRDefault="000C6EF4">
      <w:pPr>
        <w:pStyle w:val="BodyText"/>
      </w:pPr>
      <w:proofErr w:type="gramStart"/>
      <w:r w:rsidRPr="00B7481C">
        <w:rPr>
          <w:b/>
        </w:rPr>
        <w:t>Weighting and Variance Estimation Procedures.</w:t>
      </w:r>
      <w:proofErr w:type="gramEnd"/>
      <w:r>
        <w:t xml:space="preserve"> Weights will be created for analysis so that a weighted response sample is unbiased. The district and school weights will reflect the sample design by taking into account the stratification and differential selection probabilities, and will include adjustments for differential response rates among different subgroups and adjustments for matching population totals for certain demographic characteristics.</w:t>
      </w:r>
    </w:p>
    <w:p w14:paraId="1BCA8178" w14:textId="77777777" w:rsidR="0057547B" w:rsidRDefault="000C6EF4">
      <w:pPr>
        <w:pStyle w:val="BodyText"/>
      </w:pPr>
      <w:r>
        <w:t xml:space="preserve">Within each district stratum, the district selection probabilities will be calculated as </w:t>
      </w:r>
    </w:p>
    <w:p w14:paraId="42D58C72" w14:textId="77777777" w:rsidR="0057547B" w:rsidRDefault="009F7DF7">
      <w:pPr>
        <w:pStyle w:val="BodyText"/>
      </w:pPr>
      <m:oMathPara>
        <m:oMath>
          <m:sSub>
            <m:sSubPr>
              <m:ctrlPr>
                <w:rPr>
                  <w:rFonts w:ascii="Cambria Math" w:hAnsi="Cambria Math"/>
                  <w:lang w:eastAsia="zh-CN"/>
                </w:rPr>
              </m:ctrlPr>
            </m:sSubPr>
            <m:e>
              <m:r>
                <w:rPr>
                  <w:rFonts w:ascii="Cambria Math" w:hAnsi="Cambria Math"/>
                </w:rPr>
                <m:t>DISTPROB</m:t>
              </m:r>
            </m:e>
            <m:sub>
              <m:r>
                <w:rPr>
                  <w:rFonts w:ascii="Cambria Math" w:hAnsi="Cambria Math"/>
                </w:rPr>
                <m:t>ij</m:t>
              </m:r>
            </m:sub>
          </m:sSub>
          <m:r>
            <m:rPr>
              <m:sty m:val="p"/>
            </m:rPr>
            <w:rPr>
              <w:rFonts w:ascii="Cambria Math" w:hAnsi="Cambria Math"/>
            </w:rPr>
            <m:t>=</m:t>
          </m:r>
          <m:f>
            <m:fPr>
              <m:ctrlPr>
                <w:rPr>
                  <w:rFonts w:ascii="Cambria Math" w:hAnsi="Cambria Math"/>
                </w:rPr>
              </m:ctrlPr>
            </m:fPr>
            <m:num>
              <m:sSub>
                <m:sSubPr>
                  <m:ctrlPr>
                    <w:rPr>
                      <w:rFonts w:ascii="Cambria Math" w:hAnsi="Cambria Math"/>
                      <w:lang w:eastAsia="zh-CN"/>
                    </w:rPr>
                  </m:ctrlPr>
                </m:sSubPr>
                <m:e>
                  <m:r>
                    <w:rPr>
                      <w:rFonts w:ascii="Cambria Math" w:hAnsi="Cambria Math"/>
                    </w:rPr>
                    <m:t>n</m:t>
                  </m:r>
                </m:e>
                <m:sub>
                  <m:r>
                    <w:rPr>
                      <w:rFonts w:ascii="Cambria Math" w:hAnsi="Cambria Math"/>
                    </w:rPr>
                    <m:t>i</m:t>
                  </m:r>
                </m:sub>
              </m:sSub>
              <m:sSub>
                <m:sSubPr>
                  <m:ctrlPr>
                    <w:rPr>
                      <w:rFonts w:ascii="Cambria Math" w:hAnsi="Cambria Math"/>
                      <w:lang w:eastAsia="zh-CN"/>
                    </w:rPr>
                  </m:ctrlPr>
                </m:sSubPr>
                <m:e>
                  <m:r>
                    <m:rPr>
                      <m:sty m:val="p"/>
                    </m:rPr>
                    <w:rPr>
                      <w:rFonts w:ascii="Cambria Math" w:hAnsi="Cambria Math"/>
                    </w:rPr>
                    <m:t>×</m:t>
                  </m:r>
                  <m:r>
                    <w:rPr>
                      <w:rFonts w:ascii="Cambria Math" w:hAnsi="Cambria Math"/>
                    </w:rPr>
                    <m:t>MOS</m:t>
                  </m:r>
                </m:e>
                <m:sub>
                  <m:r>
                    <w:rPr>
                      <w:rFonts w:ascii="Cambria Math" w:hAnsi="Cambria Math"/>
                    </w:rPr>
                    <m:t>ij</m:t>
                  </m:r>
                </m:sub>
              </m:sSub>
            </m:num>
            <m:den>
              <m:nary>
                <m:naryPr>
                  <m:chr m:val="∑"/>
                  <m:limLoc m:val="undOvr"/>
                  <m:supHide m:val="1"/>
                  <m:ctrlPr>
                    <w:rPr>
                      <w:rFonts w:ascii="Cambria Math" w:hAnsi="Cambria Math"/>
                      <w:lang w:eastAsia="zh-CN"/>
                    </w:rPr>
                  </m:ctrlPr>
                </m:naryPr>
                <m:sub>
                  <m:r>
                    <w:rPr>
                      <w:rFonts w:ascii="Cambria Math" w:hAnsi="Cambria Math"/>
                    </w:rPr>
                    <m:t>j</m:t>
                  </m:r>
                  <m:r>
                    <m:rPr>
                      <m:sty m:val="p"/>
                    </m:rPr>
                    <w:rPr>
                      <w:rFonts w:ascii="Cambria Math" w:hAnsi="Cambria Math"/>
                    </w:rPr>
                    <m:t>∈</m:t>
                  </m:r>
                  <m:r>
                    <w:rPr>
                      <w:rFonts w:ascii="Cambria Math" w:hAnsi="Cambria Math"/>
                    </w:rPr>
                    <m:t>i</m:t>
                  </m:r>
                </m:sub>
                <m:sup/>
                <m:e>
                  <m:sSub>
                    <m:sSubPr>
                      <m:ctrlPr>
                        <w:rPr>
                          <w:rFonts w:ascii="Cambria Math" w:hAnsi="Cambria Math"/>
                          <w:lang w:eastAsia="zh-CN"/>
                        </w:rPr>
                      </m:ctrlPr>
                    </m:sSubPr>
                    <m:e>
                      <m:r>
                        <w:rPr>
                          <w:rFonts w:ascii="Cambria Math" w:hAnsi="Cambria Math"/>
                        </w:rPr>
                        <m:t>MO</m:t>
                      </m:r>
                      <m:r>
                        <w:rPr>
                          <w:rFonts w:ascii="Cambria Math" w:hAnsi="Cambria Math"/>
                        </w:rPr>
                        <m:t>S</m:t>
                      </m:r>
                    </m:e>
                    <m:sub>
                      <m:r>
                        <w:rPr>
                          <w:rFonts w:ascii="Cambria Math" w:hAnsi="Cambria Math"/>
                        </w:rPr>
                        <m:t>ij</m:t>
                      </m:r>
                    </m:sub>
                  </m:sSub>
                </m:e>
              </m:nary>
            </m:den>
          </m:f>
        </m:oMath>
      </m:oMathPara>
    </w:p>
    <w:p w14:paraId="1579BF91" w14:textId="77777777" w:rsidR="0057547B" w:rsidRDefault="000C6EF4">
      <w:pPr>
        <w:pStyle w:val="BodyText"/>
      </w:pPr>
      <w:proofErr w:type="gramStart"/>
      <w:r>
        <w:t>where</w:t>
      </w:r>
      <w:proofErr w:type="gramEnd"/>
      <w:r>
        <w:t xml:space="preserve"> </w:t>
      </w:r>
      <m:oMath>
        <m:sSub>
          <m:sSubPr>
            <m:ctrlPr>
              <w:rPr>
                <w:rFonts w:ascii="Cambria Math" w:hAnsi="Cambria Math"/>
                <w:i/>
                <w:iCs/>
                <w:lang w:eastAsia="zh-CN"/>
              </w:rPr>
            </m:ctrlPr>
          </m:sSubPr>
          <m:e>
            <m:r>
              <w:rPr>
                <w:rFonts w:ascii="Cambria Math" w:hAnsi="Cambria Math"/>
              </w:rPr>
              <m:t>n</m:t>
            </m:r>
          </m:e>
          <m:sub>
            <m:r>
              <w:rPr>
                <w:rFonts w:ascii="Cambria Math" w:hAnsi="Cambria Math"/>
              </w:rPr>
              <m:t>i</m:t>
            </m:r>
          </m:sub>
        </m:sSub>
      </m:oMath>
      <w:r>
        <w:rPr>
          <w:iCs/>
          <w:lang w:eastAsia="zh-CN"/>
        </w:rPr>
        <w:t xml:space="preserve"> is the assigned sample size for district </w:t>
      </w:r>
      <w:r>
        <w:t xml:space="preserve">stratum </w:t>
      </w:r>
      <w:proofErr w:type="spellStart"/>
      <w:r>
        <w:rPr>
          <w:i/>
        </w:rPr>
        <w:t>i</w:t>
      </w:r>
      <w:proofErr w:type="spellEnd"/>
      <w:r>
        <w:t xml:space="preserve">, and </w:t>
      </w:r>
      <m:oMath>
        <m:sSub>
          <m:sSubPr>
            <m:ctrlPr>
              <w:rPr>
                <w:rFonts w:ascii="Cambria Math" w:hAnsi="Cambria Math"/>
                <w:i/>
                <w:iCs/>
                <w:lang w:eastAsia="zh-CN"/>
              </w:rPr>
            </m:ctrlPr>
          </m:sSubPr>
          <m:e>
            <m:r>
              <w:rPr>
                <w:rFonts w:ascii="Cambria Math" w:hAnsi="Cambria Math"/>
              </w:rPr>
              <m:t>MOS</m:t>
            </m:r>
          </m:e>
          <m:sub>
            <m:r>
              <w:rPr>
                <w:rFonts w:ascii="Cambria Math" w:hAnsi="Cambria Math"/>
              </w:rPr>
              <m:t>ij</m:t>
            </m:r>
          </m:sub>
        </m:sSub>
      </m:oMath>
      <w:r>
        <w:t xml:space="preserve"> is the MOS (measure of size, which is the number of eligible schools in the district) of district </w:t>
      </w:r>
      <w:r>
        <w:rPr>
          <w:i/>
          <w:iCs/>
        </w:rPr>
        <w:t>j</w:t>
      </w:r>
      <w:r>
        <w:t xml:space="preserve"> in district stratum </w:t>
      </w:r>
      <w:proofErr w:type="spellStart"/>
      <w:r>
        <w:rPr>
          <w:i/>
        </w:rPr>
        <w:t>i</w:t>
      </w:r>
      <w:proofErr w:type="spellEnd"/>
      <w:r>
        <w:t>. The district base weight is the reciprocal of the district selection probabilities:</w:t>
      </w:r>
    </w:p>
    <w:p w14:paraId="7AB6E275" w14:textId="77777777" w:rsidR="0057547B" w:rsidRDefault="009F7DF7">
      <w:pPr>
        <w:pStyle w:val="BodyText"/>
        <w:jc w:val="center"/>
      </w:pPr>
      <m:oMath>
        <m:sSub>
          <m:sSubPr>
            <m:ctrlPr>
              <w:rPr>
                <w:rFonts w:ascii="Cambria Math" w:hAnsi="Cambria Math"/>
                <w:iCs/>
                <w:lang w:eastAsia="zh-CN"/>
              </w:rPr>
            </m:ctrlPr>
          </m:sSubPr>
          <m:e>
            <m:r>
              <w:rPr>
                <w:rFonts w:ascii="Cambria Math" w:hAnsi="Cambria Math"/>
              </w:rPr>
              <m:t>DISTBW</m:t>
            </m:r>
          </m:e>
          <m:sub>
            <m:r>
              <w:rPr>
                <w:rFonts w:ascii="Cambria Math" w:hAnsi="Cambria Math"/>
              </w:rPr>
              <m:t>ij</m:t>
            </m:r>
          </m:sub>
        </m:sSub>
        <m:r>
          <m:rPr>
            <m:sty m:val="p"/>
          </m:rPr>
          <w:rPr>
            <w:rFonts w:ascii="Cambria Math" w:hAnsi="Cambria Math"/>
          </w:rPr>
          <m:t>=</m:t>
        </m:r>
        <m:sSub>
          <m:sSubPr>
            <m:ctrlPr>
              <w:rPr>
                <w:rFonts w:ascii="Cambria Math" w:hAnsi="Cambria Math"/>
                <w:iCs/>
                <w:lang w:eastAsia="zh-CN"/>
              </w:rPr>
            </m:ctrlPr>
          </m:sSubPr>
          <m:e>
            <m:r>
              <m:rPr>
                <m:sty m:val="p"/>
              </m:rPr>
              <w:rPr>
                <w:rFonts w:ascii="Cambria Math" w:hAnsi="Cambria Math"/>
              </w:rPr>
              <m:t>1/</m:t>
            </m:r>
            <m:r>
              <w:rPr>
                <w:rFonts w:ascii="Cambria Math" w:hAnsi="Cambria Math"/>
              </w:rPr>
              <m:t>DISTPROB</m:t>
            </m:r>
          </m:e>
          <m:sub>
            <m:r>
              <w:rPr>
                <w:rFonts w:ascii="Cambria Math" w:hAnsi="Cambria Math"/>
              </w:rPr>
              <m:t>ij</m:t>
            </m:r>
          </m:sub>
        </m:sSub>
      </m:oMath>
      <w:r w:rsidR="000C6EF4">
        <w:t>.</w:t>
      </w:r>
    </w:p>
    <w:p w14:paraId="551A98F7" w14:textId="27F0EFB4" w:rsidR="0057547B" w:rsidRDefault="000C6EF4">
      <w:pPr>
        <w:pStyle w:val="BodyText"/>
      </w:pPr>
      <w:r>
        <w:t>Within each district in the sample, the school selection probabilities will be calculated as</w:t>
      </w:r>
    </w:p>
    <w:p w14:paraId="786B1C4F" w14:textId="77777777" w:rsidR="0057547B" w:rsidRDefault="009F7DF7">
      <w:pPr>
        <w:pStyle w:val="BodyText"/>
      </w:pPr>
      <m:oMathPara>
        <m:oMath>
          <m:sSub>
            <m:sSubPr>
              <m:ctrlPr>
                <w:rPr>
                  <w:rFonts w:ascii="Cambria Math" w:hAnsi="Cambria Math"/>
                  <w:iCs/>
                  <w:lang w:eastAsia="zh-CN"/>
                </w:rPr>
              </m:ctrlPr>
            </m:sSubPr>
            <m:e>
              <m:r>
                <w:rPr>
                  <w:rFonts w:ascii="Cambria Math" w:hAnsi="Cambria Math"/>
                </w:rPr>
                <m:t>SCHPROB</m:t>
              </m:r>
            </m:e>
            <m:sub>
              <m:r>
                <w:rPr>
                  <w:rFonts w:ascii="Cambria Math" w:hAnsi="Cambria Math"/>
                </w:rPr>
                <m:t>ijk</m:t>
              </m:r>
            </m:sub>
          </m:sSub>
          <m:r>
            <m:rPr>
              <m:sty m:val="p"/>
            </m:rPr>
            <w:rPr>
              <w:rFonts w:ascii="Cambria Math" w:hAnsi="Cambria Math"/>
            </w:rPr>
            <m:t>=</m:t>
          </m:r>
          <m:f>
            <m:fPr>
              <m:ctrlPr>
                <w:rPr>
                  <w:rFonts w:ascii="Cambria Math" w:hAnsi="Cambria Math"/>
                  <w:iCs/>
                  <w:lang w:eastAsia="zh-CN"/>
                </w:rPr>
              </m:ctrlPr>
            </m:fPr>
            <m:num>
              <m:sSub>
                <m:sSubPr>
                  <m:ctrlPr>
                    <w:rPr>
                      <w:rFonts w:ascii="Cambria Math" w:hAnsi="Cambria Math"/>
                      <w:iCs/>
                      <w:lang w:eastAsia="zh-CN"/>
                    </w:rPr>
                  </m:ctrlPr>
                </m:sSubPr>
                <m:e>
                  <m:r>
                    <w:rPr>
                      <w:rFonts w:ascii="Cambria Math" w:hAnsi="Cambria Math"/>
                      <w:lang w:eastAsia="zh-CN"/>
                    </w:rPr>
                    <m:t>n</m:t>
                  </m:r>
                </m:e>
                <m:sub>
                  <m:r>
                    <w:rPr>
                      <w:rFonts w:ascii="Cambria Math" w:hAnsi="Cambria Math"/>
                    </w:rPr>
                    <m:t>ijk</m:t>
                  </m:r>
                </m:sub>
              </m:sSub>
            </m:num>
            <m:den>
              <m:sSub>
                <m:sSubPr>
                  <m:ctrlPr>
                    <w:rPr>
                      <w:rFonts w:ascii="Cambria Math" w:hAnsi="Cambria Math"/>
                      <w:iCs/>
                      <w:lang w:eastAsia="zh-CN"/>
                    </w:rPr>
                  </m:ctrlPr>
                </m:sSubPr>
                <m:e>
                  <m:r>
                    <w:rPr>
                      <w:rFonts w:ascii="Cambria Math" w:hAnsi="Cambria Math"/>
                    </w:rPr>
                    <m:t>N</m:t>
                  </m:r>
                </m:e>
                <m:sub>
                  <m:r>
                    <w:rPr>
                      <w:rFonts w:ascii="Cambria Math" w:hAnsi="Cambria Math"/>
                    </w:rPr>
                    <m:t>ijk</m:t>
                  </m:r>
                </m:sub>
              </m:sSub>
            </m:den>
          </m:f>
        </m:oMath>
      </m:oMathPara>
    </w:p>
    <w:p w14:paraId="0946E892" w14:textId="77777777" w:rsidR="00814D69" w:rsidRDefault="00814D69">
      <w:pPr>
        <w:spacing w:after="0" w:line="240" w:lineRule="auto"/>
        <w:rPr>
          <w:rFonts w:asciiTheme="minorHAnsi" w:eastAsia="Times New Roman" w:hAnsiTheme="minorHAnsi"/>
          <w:sz w:val="23"/>
          <w:szCs w:val="24"/>
        </w:rPr>
      </w:pPr>
      <w:r>
        <w:br w:type="page"/>
      </w:r>
    </w:p>
    <w:p w14:paraId="402A0812" w14:textId="0D62258A" w:rsidR="0057547B" w:rsidRDefault="000C6EF4">
      <w:pPr>
        <w:pStyle w:val="BodyText"/>
      </w:pPr>
      <w:proofErr w:type="gramStart"/>
      <w:r>
        <w:lastRenderedPageBreak/>
        <w:t>where</w:t>
      </w:r>
      <w:proofErr w:type="gramEnd"/>
      <w:r>
        <w:t xml:space="preserve"> </w:t>
      </w:r>
      <m:oMath>
        <m:sSub>
          <m:sSubPr>
            <m:ctrlPr>
              <w:rPr>
                <w:rFonts w:ascii="Cambria Math" w:hAnsi="Cambria Math"/>
                <w:i/>
                <w:iCs/>
                <w:lang w:eastAsia="zh-CN"/>
              </w:rPr>
            </m:ctrlPr>
          </m:sSubPr>
          <m:e>
            <m:r>
              <w:rPr>
                <w:rFonts w:ascii="Cambria Math" w:hAnsi="Cambria Math"/>
              </w:rPr>
              <m:t>n</m:t>
            </m:r>
          </m:e>
          <m:sub>
            <m:r>
              <w:rPr>
                <w:rFonts w:ascii="Cambria Math" w:hAnsi="Cambria Math"/>
                <w:lang w:eastAsia="zh-CN"/>
              </w:rPr>
              <m:t>ijk</m:t>
            </m:r>
          </m:sub>
        </m:sSub>
      </m:oMath>
      <w:r>
        <w:rPr>
          <w:iCs/>
          <w:lang w:eastAsia="zh-CN"/>
        </w:rPr>
        <w:t xml:space="preserve"> is the sample size (up to two as discussed earlier) </w:t>
      </w:r>
      <w:r>
        <w:t xml:space="preserve">for school stratum </w:t>
      </w:r>
      <w:r>
        <w:rPr>
          <w:i/>
        </w:rPr>
        <w:t>k</w:t>
      </w:r>
      <w:r>
        <w:t xml:space="preserve"> in the district</w:t>
      </w:r>
      <w:r>
        <w:rPr>
          <w:iCs/>
          <w:lang w:eastAsia="zh-CN"/>
        </w:rPr>
        <w:t xml:space="preserve"> </w:t>
      </w:r>
      <w:r>
        <w:rPr>
          <w:i/>
          <w:iCs/>
        </w:rPr>
        <w:t>j</w:t>
      </w:r>
      <w:r>
        <w:t xml:space="preserve"> in district stratum </w:t>
      </w:r>
      <w:proofErr w:type="spellStart"/>
      <w:r>
        <w:rPr>
          <w:i/>
        </w:rPr>
        <w:t>i</w:t>
      </w:r>
      <w:proofErr w:type="spellEnd"/>
      <w:r>
        <w:rPr>
          <w:iCs/>
          <w:lang w:eastAsia="zh-CN"/>
        </w:rPr>
        <w:t xml:space="preserve"> and </w:t>
      </w:r>
      <m:oMath>
        <m:sSub>
          <m:sSubPr>
            <m:ctrlPr>
              <w:rPr>
                <w:rFonts w:ascii="Cambria Math" w:hAnsi="Cambria Math"/>
                <w:i/>
                <w:iCs/>
                <w:lang w:eastAsia="zh-CN"/>
              </w:rPr>
            </m:ctrlPr>
          </m:sSubPr>
          <m:e>
            <m:r>
              <w:rPr>
                <w:rFonts w:ascii="Cambria Math" w:hAnsi="Cambria Math"/>
              </w:rPr>
              <m:t>N</m:t>
            </m:r>
          </m:e>
          <m:sub>
            <m:r>
              <w:rPr>
                <w:rFonts w:ascii="Cambria Math" w:hAnsi="Cambria Math"/>
              </w:rPr>
              <m:t>ijk</m:t>
            </m:r>
          </m:sub>
        </m:sSub>
      </m:oMath>
      <w:r>
        <w:rPr>
          <w:iCs/>
          <w:lang w:eastAsia="zh-CN"/>
        </w:rPr>
        <w:t xml:space="preserve"> is </w:t>
      </w:r>
      <w:r>
        <w:t xml:space="preserve">the number of schools in school stratum </w:t>
      </w:r>
      <w:r>
        <w:rPr>
          <w:i/>
        </w:rPr>
        <w:t>k</w:t>
      </w:r>
      <w:r>
        <w:t xml:space="preserve"> in the district</w:t>
      </w:r>
      <w:r>
        <w:rPr>
          <w:i/>
          <w:iCs/>
        </w:rPr>
        <w:t xml:space="preserve"> j</w:t>
      </w:r>
      <w:r>
        <w:t xml:space="preserve"> in district stratum </w:t>
      </w:r>
      <w:proofErr w:type="spellStart"/>
      <w:r>
        <w:rPr>
          <w:i/>
        </w:rPr>
        <w:t>i</w:t>
      </w:r>
      <w:proofErr w:type="spellEnd"/>
      <w:r>
        <w:t>. The school base weight is the district base weight times the reciprocal of the school selection probability:</w:t>
      </w:r>
    </w:p>
    <w:p w14:paraId="278480AB" w14:textId="77777777" w:rsidR="0057547B" w:rsidRDefault="009F7DF7">
      <w:pPr>
        <w:pStyle w:val="BodyText"/>
        <w:jc w:val="center"/>
        <w:rPr>
          <w:szCs w:val="23"/>
        </w:rPr>
      </w:pPr>
      <m:oMath>
        <m:sSub>
          <m:sSubPr>
            <m:ctrlPr>
              <w:rPr>
                <w:rFonts w:ascii="Cambria Math" w:hAnsi="Cambria Math"/>
                <w:i/>
                <w:iCs/>
                <w:szCs w:val="23"/>
                <w:lang w:eastAsia="zh-CN"/>
              </w:rPr>
            </m:ctrlPr>
          </m:sSubPr>
          <m:e>
            <m:r>
              <w:rPr>
                <w:rFonts w:ascii="Cambria Math" w:hAnsi="Cambria Math"/>
                <w:szCs w:val="23"/>
              </w:rPr>
              <m:t>SCHBW</m:t>
            </m:r>
          </m:e>
          <m:sub>
            <m:r>
              <w:rPr>
                <w:rFonts w:ascii="Cambria Math" w:hAnsi="Cambria Math"/>
                <w:szCs w:val="23"/>
              </w:rPr>
              <m:t>ijk</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DISTBW</m:t>
            </m:r>
          </m:e>
          <m:sub>
            <m:r>
              <w:rPr>
                <w:rFonts w:ascii="Cambria Math" w:hAnsi="Cambria Math"/>
                <w:szCs w:val="23"/>
              </w:rPr>
              <m:t>ij</m:t>
            </m:r>
          </m:sub>
        </m:sSub>
        <m:r>
          <w:rPr>
            <w:rFonts w:ascii="Cambria Math" w:hAnsi="Cambria Math"/>
            <w:szCs w:val="23"/>
            <w:lang w:eastAsia="zh-CN"/>
          </w:rPr>
          <m:t>*</m:t>
        </m:r>
        <m:f>
          <m:fPr>
            <m:ctrlPr>
              <w:rPr>
                <w:rFonts w:ascii="Cambria Math" w:hAnsi="Cambria Math"/>
                <w:i/>
                <w:iCs/>
                <w:szCs w:val="23"/>
                <w:lang w:eastAsia="zh-CN"/>
              </w:rPr>
            </m:ctrlPr>
          </m:fPr>
          <m:num>
            <m:r>
              <w:rPr>
                <w:rFonts w:ascii="Cambria Math" w:hAnsi="Cambria Math"/>
                <w:szCs w:val="23"/>
                <w:lang w:eastAsia="zh-CN"/>
              </w:rPr>
              <m:t>1</m:t>
            </m:r>
          </m:num>
          <m:den>
            <m:sSub>
              <m:sSubPr>
                <m:ctrlPr>
                  <w:rPr>
                    <w:rFonts w:ascii="Cambria Math" w:hAnsi="Cambria Math"/>
                    <w:i/>
                    <w:iCs/>
                    <w:szCs w:val="23"/>
                    <w:lang w:eastAsia="zh-CN"/>
                  </w:rPr>
                </m:ctrlPr>
              </m:sSubPr>
              <m:e>
                <m:r>
                  <w:rPr>
                    <w:rFonts w:ascii="Cambria Math" w:hAnsi="Cambria Math"/>
                    <w:szCs w:val="23"/>
                  </w:rPr>
                  <m:t>SCHPROB</m:t>
                </m:r>
              </m:e>
              <m:sub>
                <m:r>
                  <w:rPr>
                    <w:rFonts w:ascii="Cambria Math" w:hAnsi="Cambria Math"/>
                    <w:szCs w:val="23"/>
                  </w:rPr>
                  <m:t>ijk</m:t>
                </m:r>
              </m:sub>
            </m:sSub>
          </m:den>
        </m:f>
      </m:oMath>
      <w:r w:rsidR="000C6EF4">
        <w:rPr>
          <w:szCs w:val="23"/>
        </w:rPr>
        <w:t>.</w:t>
      </w:r>
    </w:p>
    <w:p w14:paraId="2148E9B4" w14:textId="77777777" w:rsidR="0057547B" w:rsidRDefault="000C6EF4">
      <w:pPr>
        <w:pStyle w:val="BodyText"/>
        <w:rPr>
          <w:lang w:eastAsia="zh-CN"/>
        </w:rPr>
      </w:pPr>
      <w:r>
        <w:rPr>
          <w:lang w:eastAsia="zh-CN"/>
        </w:rPr>
        <w:t>Nonresponse adjustments will be conducted at both the district and school levels. The nonresponse adjustment factor (</w:t>
      </w:r>
      <m:oMath>
        <m:sSub>
          <m:sSubPr>
            <m:ctrlPr>
              <w:rPr>
                <w:rFonts w:ascii="Cambria Math" w:hAnsi="Cambria Math"/>
                <w:i/>
                <w:lang w:eastAsia="zh-CN"/>
              </w:rPr>
            </m:ctrlPr>
          </m:sSubPr>
          <m:e>
            <m:r>
              <w:rPr>
                <w:rFonts w:ascii="Cambria Math" w:hAnsi="Cambria Math"/>
                <w:lang w:eastAsia="zh-CN"/>
              </w:rPr>
              <m:t>DISTNF</m:t>
            </m:r>
          </m:e>
          <m:sub>
            <m:r>
              <w:rPr>
                <w:rFonts w:ascii="Cambria Math" w:hAnsi="Cambria Math"/>
                <w:lang w:eastAsia="zh-CN"/>
              </w:rPr>
              <m:t>c</m:t>
            </m:r>
          </m:sub>
        </m:sSub>
      </m:oMath>
      <w:r>
        <w:rPr>
          <w:rFonts w:eastAsiaTheme="minorEastAsia"/>
          <w:lang w:eastAsia="zh-CN"/>
        </w:rPr>
        <w:t xml:space="preserve"> for </w:t>
      </w:r>
      <w:r>
        <w:rPr>
          <w:rFonts w:eastAsiaTheme="minorEastAsia"/>
        </w:rPr>
        <w:t>districts</w:t>
      </w:r>
      <w:r>
        <w:rPr>
          <w:rFonts w:eastAsiaTheme="minorEastAsia"/>
          <w:lang w:eastAsia="zh-CN"/>
        </w:rPr>
        <w:t xml:space="preserve"> and </w:t>
      </w:r>
      <m:oMath>
        <m:sSub>
          <m:sSubPr>
            <m:ctrlPr>
              <w:rPr>
                <w:rFonts w:ascii="Cambria Math" w:hAnsi="Cambria Math"/>
                <w:i/>
                <w:lang w:eastAsia="zh-CN"/>
              </w:rPr>
            </m:ctrlPr>
          </m:sSubPr>
          <m:e>
            <m:r>
              <w:rPr>
                <w:rFonts w:ascii="Cambria Math" w:hAnsi="Cambria Math"/>
                <w:lang w:eastAsia="zh-CN"/>
              </w:rPr>
              <m:t>SCHNF</m:t>
            </m:r>
          </m:e>
          <m:sub>
            <m:r>
              <w:rPr>
                <w:rFonts w:ascii="Cambria Math" w:hAnsi="Cambria Math"/>
                <w:lang w:eastAsia="zh-CN"/>
              </w:rPr>
              <m:t>c</m:t>
            </m:r>
          </m:sub>
        </m:sSub>
      </m:oMath>
      <w:r>
        <w:rPr>
          <w:rFonts w:eastAsiaTheme="minorEastAsia"/>
          <w:lang w:eastAsia="zh-CN"/>
        </w:rPr>
        <w:t xml:space="preserve"> for schools</w:t>
      </w:r>
      <w:r>
        <w:rPr>
          <w:lang w:eastAsia="zh-CN"/>
        </w:rPr>
        <w:t xml:space="preserve">) will be computed as the sum of the weights for all the sampled units in a nonresponse cell divided by the sum of the weights of the responding units in nonresponse cell </w:t>
      </w:r>
      <w:r>
        <w:rPr>
          <w:i/>
          <w:lang w:eastAsia="zh-CN"/>
        </w:rPr>
        <w:t>c</w:t>
      </w:r>
      <w:r>
        <w:rPr>
          <w:lang w:eastAsia="zh-CN"/>
        </w:rPr>
        <w:t>. The final district weight is a product of the district base weight and the district nonresponse adjustment factor:</w:t>
      </w:r>
    </w:p>
    <w:p w14:paraId="053A601B" w14:textId="77777777" w:rsidR="0057547B" w:rsidRDefault="009F7DF7">
      <w:pPr>
        <w:pStyle w:val="BodyText"/>
        <w:jc w:val="center"/>
        <w:rPr>
          <w:szCs w:val="23"/>
        </w:rPr>
      </w:pPr>
      <m:oMath>
        <m:sSub>
          <m:sSubPr>
            <m:ctrlPr>
              <w:rPr>
                <w:rFonts w:ascii="Cambria Math" w:hAnsi="Cambria Math"/>
                <w:i/>
                <w:iCs/>
                <w:szCs w:val="23"/>
                <w:lang w:eastAsia="zh-CN"/>
              </w:rPr>
            </m:ctrlPr>
          </m:sSubPr>
          <m:e>
            <m:r>
              <w:rPr>
                <w:rFonts w:ascii="Cambria Math" w:hAnsi="Cambria Math"/>
                <w:szCs w:val="23"/>
              </w:rPr>
              <m:t>DISTNW</m:t>
            </m:r>
          </m:e>
          <m:sub>
            <m:r>
              <w:rPr>
                <w:rFonts w:ascii="Cambria Math" w:hAnsi="Cambria Math"/>
                <w:szCs w:val="23"/>
              </w:rPr>
              <m:t>ij</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DISTBW</m:t>
            </m:r>
          </m:e>
          <m:sub>
            <m:r>
              <w:rPr>
                <w:rFonts w:ascii="Cambria Math" w:hAnsi="Cambria Math"/>
                <w:szCs w:val="23"/>
              </w:rPr>
              <m:t>ij</m:t>
            </m:r>
          </m:sub>
        </m:sSub>
        <m:r>
          <w:rPr>
            <w:rFonts w:ascii="Cambria Math" w:hAnsi="Cambria Math"/>
            <w:szCs w:val="23"/>
            <w:lang w:eastAsia="zh-CN"/>
          </w:rPr>
          <m:t>*</m:t>
        </m:r>
        <m:sSub>
          <m:sSubPr>
            <m:ctrlPr>
              <w:rPr>
                <w:rFonts w:ascii="Cambria Math" w:hAnsi="Cambria Math"/>
                <w:i/>
                <w:iCs/>
                <w:szCs w:val="23"/>
                <w:lang w:eastAsia="zh-CN"/>
              </w:rPr>
            </m:ctrlPr>
          </m:sSubPr>
          <m:e>
            <m:r>
              <w:rPr>
                <w:rFonts w:ascii="Cambria Math" w:hAnsi="Cambria Math"/>
                <w:szCs w:val="23"/>
                <w:lang w:eastAsia="zh-CN"/>
              </w:rPr>
              <m:t>DISTNF</m:t>
            </m:r>
          </m:e>
          <m:sub>
            <m:r>
              <w:rPr>
                <w:rFonts w:ascii="Cambria Math" w:hAnsi="Cambria Math"/>
                <w:szCs w:val="23"/>
                <w:lang w:eastAsia="zh-CN"/>
              </w:rPr>
              <m:t>c</m:t>
            </m:r>
          </m:sub>
        </m:sSub>
      </m:oMath>
      <w:r w:rsidR="000C6EF4">
        <w:rPr>
          <w:rFonts w:eastAsiaTheme="minorEastAsia"/>
          <w:iCs/>
          <w:szCs w:val="23"/>
          <w:lang w:eastAsia="zh-CN"/>
        </w:rPr>
        <w:t>.</w:t>
      </w:r>
    </w:p>
    <w:p w14:paraId="2B85AAC0" w14:textId="77777777" w:rsidR="0057547B" w:rsidRDefault="000C6EF4">
      <w:pPr>
        <w:pStyle w:val="BodyText"/>
        <w:rPr>
          <w:lang w:eastAsia="zh-CN"/>
        </w:rPr>
      </w:pPr>
      <w:r>
        <w:rPr>
          <w:lang w:eastAsia="zh-CN"/>
        </w:rPr>
        <w:t>The final school weight is a product of the school base weight and the school nonresponse adjustment factors:</w:t>
      </w:r>
    </w:p>
    <w:p w14:paraId="41F45168" w14:textId="77777777" w:rsidR="0057547B" w:rsidRDefault="009F7DF7">
      <w:pPr>
        <w:pStyle w:val="BodyText"/>
        <w:rPr>
          <w:szCs w:val="23"/>
        </w:rPr>
      </w:pPr>
      <m:oMathPara>
        <m:oMath>
          <m:sSub>
            <m:sSubPr>
              <m:ctrlPr>
                <w:rPr>
                  <w:rFonts w:ascii="Cambria Math" w:hAnsi="Cambria Math"/>
                  <w:i/>
                  <w:iCs/>
                  <w:szCs w:val="23"/>
                  <w:lang w:eastAsia="zh-CN"/>
                </w:rPr>
              </m:ctrlPr>
            </m:sSubPr>
            <m:e>
              <m:r>
                <w:rPr>
                  <w:rFonts w:ascii="Cambria Math" w:hAnsi="Cambria Math"/>
                  <w:szCs w:val="23"/>
                </w:rPr>
                <m:t>SCHNW</m:t>
              </m:r>
            </m:e>
            <m:sub>
              <m:r>
                <w:rPr>
                  <w:rFonts w:ascii="Cambria Math" w:hAnsi="Cambria Math"/>
                  <w:szCs w:val="23"/>
                </w:rPr>
                <m:t>ijk</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S</m:t>
              </m:r>
              <m:r>
                <w:rPr>
                  <w:rFonts w:ascii="Cambria Math" w:hAnsi="Cambria Math"/>
                  <w:szCs w:val="23"/>
                </w:rPr>
                <m:t>CHBW</m:t>
              </m:r>
            </m:e>
            <m:sub>
              <m:r>
                <w:rPr>
                  <w:rFonts w:ascii="Cambria Math" w:hAnsi="Cambria Math"/>
                  <w:szCs w:val="23"/>
                </w:rPr>
                <m:t>ijk</m:t>
              </m:r>
            </m:sub>
          </m:sSub>
          <m:r>
            <w:rPr>
              <w:rFonts w:ascii="Cambria Math" w:hAnsi="Cambria Math"/>
              <w:szCs w:val="23"/>
              <w:lang w:eastAsia="zh-CN"/>
            </w:rPr>
            <m:t>*</m:t>
          </m:r>
          <m:sSub>
            <m:sSubPr>
              <m:ctrlPr>
                <w:rPr>
                  <w:rFonts w:ascii="Cambria Math" w:hAnsi="Cambria Math"/>
                  <w:i/>
                  <w:iCs/>
                  <w:szCs w:val="23"/>
                  <w:lang w:eastAsia="zh-CN"/>
                </w:rPr>
              </m:ctrlPr>
            </m:sSubPr>
            <m:e>
              <m:r>
                <w:rPr>
                  <w:rFonts w:ascii="Cambria Math" w:hAnsi="Cambria Math"/>
                  <w:szCs w:val="23"/>
                  <w:lang w:eastAsia="zh-CN"/>
                </w:rPr>
                <m:t>SCHNF</m:t>
              </m:r>
            </m:e>
            <m:sub>
              <m:r>
                <w:rPr>
                  <w:rFonts w:ascii="Cambria Math" w:hAnsi="Cambria Math"/>
                  <w:szCs w:val="23"/>
                  <w:lang w:eastAsia="zh-CN"/>
                </w:rPr>
                <m:t>c</m:t>
              </m:r>
            </m:sub>
          </m:sSub>
          <m:r>
            <w:rPr>
              <w:rFonts w:ascii="Cambria Math" w:hAnsi="Cambria Math"/>
              <w:szCs w:val="23"/>
              <w:lang w:eastAsia="zh-CN"/>
            </w:rPr>
            <m:t>.</m:t>
          </m:r>
        </m:oMath>
      </m:oMathPara>
    </w:p>
    <w:p w14:paraId="54E3CB76" w14:textId="77777777" w:rsidR="0057547B" w:rsidRDefault="000C6EF4">
      <w:pPr>
        <w:pStyle w:val="BodyText"/>
        <w:rPr>
          <w:lang w:eastAsia="zh-CN"/>
        </w:rPr>
      </w:pPr>
      <w:r>
        <w:rPr>
          <w:lang w:eastAsia="zh-CN"/>
        </w:rPr>
        <w:t>After the nonresponse adjustment, the weights will be further adjusted by raking adjustments such that the sum of the final weights matches population totals for certain demographic characteristics. T</w:t>
      </w:r>
      <w:r>
        <w:t xml:space="preserve">he raking adjustment procedure can further correct for </w:t>
      </w:r>
      <w:proofErr w:type="spellStart"/>
      <w:r>
        <w:t>noncoverage</w:t>
      </w:r>
      <w:proofErr w:type="spellEnd"/>
      <w:r>
        <w:t xml:space="preserve">, nonresponse, and other types of </w:t>
      </w:r>
      <w:proofErr w:type="spellStart"/>
      <w:r>
        <w:t>nonsampling</w:t>
      </w:r>
      <w:proofErr w:type="spellEnd"/>
      <w:r>
        <w:t xml:space="preserve"> bias due to </w:t>
      </w:r>
      <w:proofErr w:type="spellStart"/>
      <w:r>
        <w:t>noncoverage</w:t>
      </w:r>
      <w:proofErr w:type="spellEnd"/>
      <w:r>
        <w:t xml:space="preserve">, nonresponse, and fluctuations in the sampling and adjustment processes. </w:t>
      </w:r>
      <w:r>
        <w:rPr>
          <w:lang w:eastAsia="zh-CN"/>
        </w:rPr>
        <w:t>This procedure iteratively adjusts the weights until a convergence criterion is reached and the final weights can produce the marginal distributions of each of the demographic characteristics adjusted in the procedure. The raked final district weight is a product of the final district and the raking adjustment factor (</w:t>
      </w:r>
      <m:oMath>
        <m:sSub>
          <m:sSubPr>
            <m:ctrlPr>
              <w:rPr>
                <w:rFonts w:ascii="Cambria Math" w:hAnsi="Cambria Math"/>
                <w:i/>
                <w:lang w:eastAsia="zh-CN"/>
              </w:rPr>
            </m:ctrlPr>
          </m:sSubPr>
          <m:e>
            <m:r>
              <w:rPr>
                <w:rFonts w:ascii="Cambria Math" w:hAnsi="Cambria Math"/>
                <w:lang w:eastAsia="zh-CN"/>
              </w:rPr>
              <m:t>DISTR</m:t>
            </m:r>
            <m:r>
              <w:rPr>
                <w:rFonts w:ascii="Cambria Math" w:hAnsi="Cambria Math"/>
                <w:lang w:eastAsia="zh-CN"/>
              </w:rPr>
              <m:t>F</m:t>
            </m:r>
          </m:e>
          <m:sub>
            <m:r>
              <w:rPr>
                <w:rFonts w:ascii="Cambria Math" w:hAnsi="Cambria Math"/>
                <w:lang w:eastAsia="zh-CN"/>
              </w:rPr>
              <m:t>ij</m:t>
            </m:r>
          </m:sub>
        </m:sSub>
      </m:oMath>
      <w:r>
        <w:rPr>
          <w:lang w:eastAsia="zh-CN"/>
        </w:rPr>
        <w:t>):</w:t>
      </w:r>
    </w:p>
    <w:p w14:paraId="42014F0D" w14:textId="77777777" w:rsidR="0057547B" w:rsidRDefault="009F7DF7">
      <w:pPr>
        <w:pStyle w:val="BodyText"/>
        <w:jc w:val="center"/>
        <w:rPr>
          <w:szCs w:val="23"/>
        </w:rPr>
      </w:pPr>
      <m:oMath>
        <m:sSub>
          <m:sSubPr>
            <m:ctrlPr>
              <w:rPr>
                <w:rFonts w:ascii="Cambria Math" w:hAnsi="Cambria Math"/>
                <w:i/>
                <w:iCs/>
                <w:szCs w:val="23"/>
                <w:lang w:eastAsia="zh-CN"/>
              </w:rPr>
            </m:ctrlPr>
          </m:sSubPr>
          <m:e>
            <m:r>
              <w:rPr>
                <w:rFonts w:ascii="Cambria Math" w:hAnsi="Cambria Math"/>
                <w:szCs w:val="23"/>
              </w:rPr>
              <m:t>DISTRNW</m:t>
            </m:r>
          </m:e>
          <m:sub>
            <m:r>
              <w:rPr>
                <w:rFonts w:ascii="Cambria Math" w:hAnsi="Cambria Math"/>
                <w:szCs w:val="23"/>
              </w:rPr>
              <m:t>ij</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DISTNW</m:t>
            </m:r>
          </m:e>
          <m:sub>
            <m:r>
              <w:rPr>
                <w:rFonts w:ascii="Cambria Math" w:hAnsi="Cambria Math"/>
                <w:szCs w:val="23"/>
              </w:rPr>
              <m:t>ij</m:t>
            </m:r>
          </m:sub>
        </m:sSub>
        <m:r>
          <w:rPr>
            <w:rFonts w:ascii="Cambria Math" w:hAnsi="Cambria Math"/>
            <w:szCs w:val="23"/>
            <w:lang w:eastAsia="zh-CN"/>
          </w:rPr>
          <m:t>*</m:t>
        </m:r>
        <m:sSub>
          <m:sSubPr>
            <m:ctrlPr>
              <w:rPr>
                <w:rFonts w:ascii="Cambria Math" w:hAnsi="Cambria Math"/>
                <w:i/>
                <w:iCs/>
                <w:szCs w:val="23"/>
                <w:lang w:eastAsia="zh-CN"/>
              </w:rPr>
            </m:ctrlPr>
          </m:sSubPr>
          <m:e>
            <m:r>
              <w:rPr>
                <w:rFonts w:ascii="Cambria Math" w:hAnsi="Cambria Math"/>
                <w:szCs w:val="23"/>
                <w:lang w:eastAsia="zh-CN"/>
              </w:rPr>
              <m:t>DISTRF</m:t>
            </m:r>
          </m:e>
          <m:sub>
            <m:r>
              <w:rPr>
                <w:rFonts w:ascii="Cambria Math" w:hAnsi="Cambria Math"/>
                <w:szCs w:val="23"/>
                <w:lang w:eastAsia="zh-CN"/>
              </w:rPr>
              <m:t>ij</m:t>
            </m:r>
          </m:sub>
        </m:sSub>
      </m:oMath>
      <w:r w:rsidR="000C6EF4">
        <w:rPr>
          <w:rFonts w:eastAsiaTheme="minorEastAsia"/>
          <w:iCs/>
          <w:szCs w:val="23"/>
          <w:lang w:eastAsia="zh-CN"/>
        </w:rPr>
        <w:t>.</w:t>
      </w:r>
    </w:p>
    <w:p w14:paraId="47426FC0" w14:textId="77777777" w:rsidR="0057547B" w:rsidRDefault="000C6EF4">
      <w:pPr>
        <w:pStyle w:val="BodyText"/>
        <w:rPr>
          <w:lang w:eastAsia="zh-CN"/>
        </w:rPr>
      </w:pPr>
      <w:r>
        <w:rPr>
          <w:lang w:eastAsia="zh-CN"/>
        </w:rPr>
        <w:t>The raked final school weight is a product of the final school and the raking adjustment factor (</w:t>
      </w:r>
      <m:oMath>
        <m:sSub>
          <m:sSubPr>
            <m:ctrlPr>
              <w:rPr>
                <w:rFonts w:ascii="Cambria Math" w:hAnsi="Cambria Math"/>
                <w:i/>
                <w:lang w:eastAsia="zh-CN"/>
              </w:rPr>
            </m:ctrlPr>
          </m:sSubPr>
          <m:e>
            <m:r>
              <w:rPr>
                <w:rFonts w:ascii="Cambria Math" w:hAnsi="Cambria Math"/>
                <w:lang w:eastAsia="zh-CN"/>
              </w:rPr>
              <m:t>SCHRF</m:t>
            </m:r>
          </m:e>
          <m:sub>
            <m:r>
              <w:rPr>
                <w:rFonts w:ascii="Cambria Math" w:hAnsi="Cambria Math"/>
                <w:lang w:eastAsia="zh-CN"/>
              </w:rPr>
              <m:t>ijk</m:t>
            </m:r>
          </m:sub>
        </m:sSub>
      </m:oMath>
      <w:r>
        <w:rPr>
          <w:lang w:eastAsia="zh-CN"/>
        </w:rPr>
        <w:t>):</w:t>
      </w:r>
    </w:p>
    <w:p w14:paraId="5AC60445" w14:textId="77777777" w:rsidR="0057547B" w:rsidRDefault="009F7DF7">
      <w:pPr>
        <w:pStyle w:val="BodyText"/>
        <w:jc w:val="center"/>
        <w:rPr>
          <w:lang w:eastAsia="zh-CN"/>
        </w:rPr>
      </w:pPr>
      <m:oMath>
        <m:sSub>
          <m:sSubPr>
            <m:ctrlPr>
              <w:rPr>
                <w:rFonts w:ascii="Cambria Math" w:hAnsi="Cambria Math"/>
                <w:i/>
                <w:iCs/>
                <w:szCs w:val="23"/>
                <w:lang w:eastAsia="zh-CN"/>
              </w:rPr>
            </m:ctrlPr>
          </m:sSubPr>
          <m:e>
            <m:r>
              <w:rPr>
                <w:rFonts w:ascii="Cambria Math" w:hAnsi="Cambria Math"/>
                <w:szCs w:val="23"/>
              </w:rPr>
              <m:t>SCHRNW</m:t>
            </m:r>
          </m:e>
          <m:sub>
            <m:r>
              <w:rPr>
                <w:rFonts w:ascii="Cambria Math" w:hAnsi="Cambria Math"/>
                <w:szCs w:val="23"/>
              </w:rPr>
              <m:t>ij</m:t>
            </m:r>
          </m:sub>
        </m:sSub>
        <m:r>
          <w:rPr>
            <w:rFonts w:ascii="Cambria Math" w:hAnsi="Cambria Math"/>
            <w:szCs w:val="23"/>
          </w:rPr>
          <m:t>=</m:t>
        </m:r>
        <m:sSub>
          <m:sSubPr>
            <m:ctrlPr>
              <w:rPr>
                <w:rFonts w:ascii="Cambria Math" w:hAnsi="Cambria Math"/>
                <w:i/>
                <w:iCs/>
                <w:szCs w:val="23"/>
                <w:lang w:eastAsia="zh-CN"/>
              </w:rPr>
            </m:ctrlPr>
          </m:sSubPr>
          <m:e>
            <m:r>
              <w:rPr>
                <w:rFonts w:ascii="Cambria Math" w:hAnsi="Cambria Math"/>
                <w:szCs w:val="23"/>
              </w:rPr>
              <m:t>SCHNW</m:t>
            </m:r>
          </m:e>
          <m:sub>
            <m:r>
              <w:rPr>
                <w:rFonts w:ascii="Cambria Math" w:hAnsi="Cambria Math"/>
                <w:szCs w:val="23"/>
              </w:rPr>
              <m:t>ijk</m:t>
            </m:r>
          </m:sub>
        </m:sSub>
        <m:r>
          <w:rPr>
            <w:rFonts w:ascii="Cambria Math" w:hAnsi="Cambria Math"/>
            <w:szCs w:val="23"/>
            <w:lang w:eastAsia="zh-CN"/>
          </w:rPr>
          <m:t>*</m:t>
        </m:r>
        <m:sSub>
          <m:sSubPr>
            <m:ctrlPr>
              <w:rPr>
                <w:rFonts w:ascii="Cambria Math" w:hAnsi="Cambria Math"/>
                <w:i/>
                <w:iCs/>
                <w:szCs w:val="23"/>
                <w:lang w:eastAsia="zh-CN"/>
              </w:rPr>
            </m:ctrlPr>
          </m:sSubPr>
          <m:e>
            <m:r>
              <w:rPr>
                <w:rFonts w:ascii="Cambria Math" w:hAnsi="Cambria Math"/>
                <w:szCs w:val="23"/>
                <w:lang w:eastAsia="zh-CN"/>
              </w:rPr>
              <m:t>SCHRF</m:t>
            </m:r>
          </m:e>
          <m:sub>
            <m:r>
              <w:rPr>
                <w:rFonts w:ascii="Cambria Math" w:hAnsi="Cambria Math"/>
                <w:szCs w:val="23"/>
                <w:lang w:eastAsia="zh-CN"/>
              </w:rPr>
              <m:t>ijk</m:t>
            </m:r>
          </m:sub>
        </m:sSub>
      </m:oMath>
      <w:r w:rsidR="000C6EF4">
        <w:rPr>
          <w:rFonts w:eastAsiaTheme="minorEastAsia"/>
          <w:iCs/>
          <w:szCs w:val="23"/>
          <w:lang w:eastAsia="zh-CN"/>
        </w:rPr>
        <w:t>.</w:t>
      </w:r>
    </w:p>
    <w:p w14:paraId="799EBE01" w14:textId="77777777" w:rsidR="0057547B" w:rsidRDefault="000C6EF4">
      <w:pPr>
        <w:pStyle w:val="BodyText"/>
      </w:pPr>
      <w:r>
        <w:t>Standard errors of the estimates will be computed using the Taylor series linearization method that will incorporate sampling weights and sample design information (e.g., stratification and clustering).</w:t>
      </w:r>
    </w:p>
    <w:p w14:paraId="569336D5" w14:textId="77777777" w:rsidR="000555E5" w:rsidRDefault="000555E5" w:rsidP="000555E5">
      <w:pPr>
        <w:pStyle w:val="Heading3a"/>
      </w:pPr>
      <w:r>
        <w:t>Case Study Sample</w:t>
      </w:r>
    </w:p>
    <w:p w14:paraId="74AAFB70" w14:textId="24DCB3F7" w:rsidR="00885663" w:rsidRDefault="000555E5" w:rsidP="00095AD4">
      <w:pPr>
        <w:pStyle w:val="BodyText"/>
      </w:pPr>
      <w:r>
        <w:rPr>
          <w:color w:val="000000"/>
          <w:lang w:eastAsia="ko-KR" w:bidi="en-US"/>
        </w:rPr>
        <w:t>The study team will select nine case study districts from those known to be distributing funds to schools throu</w:t>
      </w:r>
      <w:r>
        <w:rPr>
          <w:color w:val="000000" w:themeColor="text1"/>
          <w:lang w:eastAsia="ko-KR" w:bidi="en-US"/>
        </w:rPr>
        <w:t xml:space="preserve">gh </w:t>
      </w:r>
      <w:r w:rsidR="00885663">
        <w:rPr>
          <w:color w:val="000000" w:themeColor="text1"/>
          <w:lang w:eastAsia="ko-KR" w:bidi="en-US"/>
        </w:rPr>
        <w:t xml:space="preserve">a WSF system (i.e., </w:t>
      </w:r>
      <w:r>
        <w:rPr>
          <w:color w:val="000000" w:themeColor="text1"/>
          <w:lang w:eastAsia="ko-KR" w:bidi="en-US"/>
        </w:rPr>
        <w:t>a</w:t>
      </w:r>
      <w:r w:rsidR="00885663">
        <w:rPr>
          <w:color w:val="000000" w:themeColor="text1"/>
          <w:lang w:eastAsia="ko-KR" w:bidi="en-US"/>
        </w:rPr>
        <w:t>n</w:t>
      </w:r>
      <w:r>
        <w:rPr>
          <w:color w:val="000000" w:themeColor="text1"/>
          <w:lang w:eastAsia="ko-KR" w:bidi="en-US"/>
        </w:rPr>
        <w:t xml:space="preserve"> SBB system that uses weights to adjust school allocations based on student needs</w:t>
      </w:r>
      <w:r w:rsidR="00885663">
        <w:rPr>
          <w:color w:val="000000" w:themeColor="text1"/>
          <w:lang w:eastAsia="ko-KR" w:bidi="en-US"/>
        </w:rPr>
        <w:t>)</w:t>
      </w:r>
      <w:r>
        <w:rPr>
          <w:color w:val="000000" w:themeColor="text1"/>
          <w:lang w:eastAsia="ko-KR" w:bidi="en-US"/>
        </w:rPr>
        <w:t xml:space="preserve">. </w:t>
      </w:r>
      <w:r>
        <w:rPr>
          <w:color w:val="000000" w:themeColor="text1"/>
        </w:rPr>
        <w:t xml:space="preserve">To facilitate the selection process, the study team </w:t>
      </w:r>
      <w:r w:rsidR="00CB71F6">
        <w:rPr>
          <w:color w:val="000000" w:themeColor="text1"/>
        </w:rPr>
        <w:t xml:space="preserve">will review the list of districts presented earlier in Exhibit 3 and determine </w:t>
      </w:r>
      <w:r w:rsidR="00A156F2">
        <w:rPr>
          <w:color w:val="000000" w:themeColor="text1"/>
        </w:rPr>
        <w:t xml:space="preserve">a short list of those that are currently </w:t>
      </w:r>
      <w:r w:rsidR="00CB71F6">
        <w:rPr>
          <w:color w:val="000000" w:themeColor="text1"/>
        </w:rPr>
        <w:t>implementing a WSF</w:t>
      </w:r>
      <w:r>
        <w:rPr>
          <w:color w:val="000000" w:themeColor="text1"/>
        </w:rPr>
        <w:t xml:space="preserve"> </w:t>
      </w:r>
      <w:r w:rsidR="00CB71F6">
        <w:rPr>
          <w:color w:val="000000" w:themeColor="text1"/>
        </w:rPr>
        <w:t>system</w:t>
      </w:r>
      <w:r>
        <w:rPr>
          <w:color w:val="000000" w:themeColor="text1"/>
        </w:rPr>
        <w:t>s</w:t>
      </w:r>
      <w:r>
        <w:rPr>
          <w:color w:val="000000" w:themeColor="text1"/>
          <w:lang w:eastAsia="ko-KR" w:bidi="en-US"/>
        </w:rPr>
        <w:t>.</w:t>
      </w:r>
      <w:r w:rsidR="00A156F2">
        <w:rPr>
          <w:color w:val="000000" w:themeColor="text1"/>
          <w:lang w:eastAsia="ko-KR" w:bidi="en-US"/>
        </w:rPr>
        <w:t xml:space="preserve"> </w:t>
      </w:r>
      <w:r>
        <w:rPr>
          <w:color w:val="000000" w:themeColor="text1"/>
          <w:lang w:eastAsia="ko-KR" w:bidi="en-US"/>
        </w:rPr>
        <w:t xml:space="preserve">The study team will validate this list through documentation scans and follow-up calls to the districts as needed to ensure that each are active </w:t>
      </w:r>
      <w:r w:rsidR="00A156F2">
        <w:rPr>
          <w:color w:val="000000" w:themeColor="text1"/>
          <w:lang w:eastAsia="ko-KR" w:bidi="en-US"/>
        </w:rPr>
        <w:t>WSF</w:t>
      </w:r>
      <w:r>
        <w:rPr>
          <w:color w:val="000000" w:themeColor="text1"/>
          <w:lang w:eastAsia="ko-KR" w:bidi="en-US"/>
        </w:rPr>
        <w:t xml:space="preserve"> implementers with a funding allocation system that uses weights to adjust funding for student needs and is sufficiently different from a traditional model.</w:t>
      </w:r>
      <w:r w:rsidR="00A156F2">
        <w:t xml:space="preserve"> </w:t>
      </w:r>
      <w:r>
        <w:rPr>
          <w:color w:val="000000" w:themeColor="text1"/>
          <w:lang w:eastAsia="ko-KR" w:bidi="en-US"/>
        </w:rPr>
        <w:t xml:space="preserve">We will also use this pre-screening as chance to gain a better understanding of the share of operational funding flowing through the </w:t>
      </w:r>
      <w:r w:rsidR="00A156F2">
        <w:rPr>
          <w:color w:val="000000" w:themeColor="text1"/>
          <w:lang w:eastAsia="ko-KR" w:bidi="en-US"/>
        </w:rPr>
        <w:t>WSF</w:t>
      </w:r>
      <w:r>
        <w:rPr>
          <w:color w:val="000000" w:themeColor="text1"/>
          <w:lang w:eastAsia="ko-KR" w:bidi="en-US"/>
        </w:rPr>
        <w:t xml:space="preserve"> system and how these funds are distributed. </w:t>
      </w:r>
      <w:r w:rsidR="00A156F2">
        <w:rPr>
          <w:color w:val="000000" w:themeColor="text1"/>
          <w:lang w:eastAsia="ko-KR" w:bidi="en-US"/>
        </w:rPr>
        <w:t xml:space="preserve">In total, we </w:t>
      </w:r>
      <w:r w:rsidR="00A156F2">
        <w:t>anticipate a final list of active implementers consisting of approximately 2</w:t>
      </w:r>
      <w:r w:rsidR="001E13CD">
        <w:t>1</w:t>
      </w:r>
      <w:r w:rsidR="00A156F2">
        <w:t xml:space="preserve"> districts, which will serve as the final case study sampling </w:t>
      </w:r>
      <w:r w:rsidR="00A156F2">
        <w:lastRenderedPageBreak/>
        <w:t xml:space="preserve">frame. </w:t>
      </w:r>
      <w:r>
        <w:rPr>
          <w:color w:val="000000" w:themeColor="text1"/>
          <w:lang w:eastAsia="ko-KR" w:bidi="en-US"/>
        </w:rPr>
        <w:t>In collaboration with the Department, t</w:t>
      </w:r>
      <w:r>
        <w:rPr>
          <w:color w:val="000000" w:themeColor="text1"/>
        </w:rPr>
        <w:t xml:space="preserve">he study team will select a purposive sample of nine case study districts from the comprehensive list, with the aim of yielding a diverse set of sites with respect to geographic location, age of </w:t>
      </w:r>
      <w:r w:rsidR="00A156F2">
        <w:rPr>
          <w:color w:val="000000" w:themeColor="text1"/>
        </w:rPr>
        <w:t>WSF</w:t>
      </w:r>
      <w:r>
        <w:rPr>
          <w:color w:val="000000" w:themeColor="text1"/>
        </w:rPr>
        <w:t xml:space="preserve"> system, and formula design</w:t>
      </w:r>
      <w:r w:rsidR="00987C11">
        <w:rPr>
          <w:color w:val="000000" w:themeColor="text1"/>
        </w:rPr>
        <w:t>.</w:t>
      </w:r>
    </w:p>
    <w:p w14:paraId="7733E621" w14:textId="539D2231" w:rsidR="009503B6" w:rsidRPr="007844EB" w:rsidRDefault="007844EB" w:rsidP="009503B6">
      <w:pPr>
        <w:pStyle w:val="BodyText"/>
        <w:rPr>
          <w:b/>
        </w:rPr>
      </w:pPr>
      <w:r>
        <w:rPr>
          <w:b/>
        </w:rPr>
        <w:t>Sample Recruitment, Survey and Case Study</w:t>
      </w:r>
    </w:p>
    <w:p w14:paraId="6A3EA683" w14:textId="604E6FC7" w:rsidR="009503B6" w:rsidRDefault="002C1B2E" w:rsidP="009503B6">
      <w:pPr>
        <w:pStyle w:val="BodyText"/>
      </w:pPr>
      <w:r w:rsidRPr="00A30BA8">
        <w:rPr>
          <w:b/>
        </w:rPr>
        <w:t>Study Notification Letters</w:t>
      </w:r>
      <w:r w:rsidR="006B42E0">
        <w:rPr>
          <w:b/>
        </w:rPr>
        <w:t>/Email</w:t>
      </w:r>
      <w:r w:rsidRPr="00A30BA8">
        <w:rPr>
          <w:b/>
        </w:rPr>
        <w:t>.</w:t>
      </w:r>
      <w:r>
        <w:t xml:space="preserve"> </w:t>
      </w:r>
      <w:r w:rsidR="007844EB" w:rsidRPr="00F73FB3">
        <w:rPr>
          <w:szCs w:val="23"/>
        </w:rPr>
        <w:t xml:space="preserve">Once </w:t>
      </w:r>
      <w:r w:rsidR="009503B6" w:rsidRPr="00F73FB3">
        <w:rPr>
          <w:szCs w:val="23"/>
        </w:rPr>
        <w:t xml:space="preserve">the </w:t>
      </w:r>
      <w:r w:rsidR="007844EB" w:rsidRPr="00F73FB3">
        <w:rPr>
          <w:szCs w:val="23"/>
        </w:rPr>
        <w:t xml:space="preserve">survey and case study </w:t>
      </w:r>
      <w:r w:rsidR="009503B6" w:rsidRPr="00F73FB3">
        <w:rPr>
          <w:szCs w:val="23"/>
        </w:rPr>
        <w:t xml:space="preserve">sample </w:t>
      </w:r>
      <w:r w:rsidR="007844EB" w:rsidRPr="00F73FB3">
        <w:rPr>
          <w:szCs w:val="23"/>
        </w:rPr>
        <w:t xml:space="preserve">are </w:t>
      </w:r>
      <w:r w:rsidR="009503B6" w:rsidRPr="00F73FB3">
        <w:rPr>
          <w:szCs w:val="23"/>
        </w:rPr>
        <w:t>selected</w:t>
      </w:r>
      <w:r w:rsidR="00F73FB3">
        <w:rPr>
          <w:szCs w:val="23"/>
        </w:rPr>
        <w:t>,</w:t>
      </w:r>
      <w:r w:rsidR="009503B6" w:rsidRPr="00F73FB3">
        <w:rPr>
          <w:szCs w:val="23"/>
        </w:rPr>
        <w:t xml:space="preserve"> a notification letter from the Department of Education will be mailed to the </w:t>
      </w:r>
      <w:r w:rsidR="00FD1332" w:rsidRPr="00F73FB3">
        <w:rPr>
          <w:szCs w:val="23"/>
        </w:rPr>
        <w:t>chief state officers/state e</w:t>
      </w:r>
      <w:r w:rsidR="009503B6" w:rsidRPr="00F73FB3">
        <w:rPr>
          <w:szCs w:val="23"/>
        </w:rPr>
        <w:t xml:space="preserve">ducation </w:t>
      </w:r>
      <w:r w:rsidR="00FD1332" w:rsidRPr="00F73FB3">
        <w:rPr>
          <w:szCs w:val="23"/>
        </w:rPr>
        <w:t>a</w:t>
      </w:r>
      <w:r w:rsidR="009503B6" w:rsidRPr="00F73FB3">
        <w:rPr>
          <w:szCs w:val="23"/>
        </w:rPr>
        <w:t xml:space="preserve">gency, followed three </w:t>
      </w:r>
      <w:r w:rsidR="00F73FB3">
        <w:rPr>
          <w:szCs w:val="23"/>
        </w:rPr>
        <w:t xml:space="preserve">business </w:t>
      </w:r>
      <w:r w:rsidR="009503B6" w:rsidRPr="00F73FB3">
        <w:rPr>
          <w:szCs w:val="23"/>
        </w:rPr>
        <w:t xml:space="preserve">days later </w:t>
      </w:r>
      <w:r w:rsidR="00987C11" w:rsidRPr="00F73FB3">
        <w:rPr>
          <w:szCs w:val="23"/>
        </w:rPr>
        <w:t xml:space="preserve">by a letter </w:t>
      </w:r>
      <w:r w:rsidR="009503B6" w:rsidRPr="00F73FB3">
        <w:rPr>
          <w:szCs w:val="23"/>
        </w:rPr>
        <w:t xml:space="preserve">to the </w:t>
      </w:r>
      <w:r w:rsidR="00FD1332" w:rsidRPr="00F73FB3">
        <w:rPr>
          <w:szCs w:val="23"/>
        </w:rPr>
        <w:t>d</w:t>
      </w:r>
      <w:r w:rsidR="009503B6" w:rsidRPr="00F73FB3">
        <w:rPr>
          <w:szCs w:val="23"/>
        </w:rPr>
        <w:t>istrict superintendents</w:t>
      </w:r>
      <w:r w:rsidR="00987C11" w:rsidRPr="00F73FB3">
        <w:rPr>
          <w:szCs w:val="23"/>
        </w:rPr>
        <w:t xml:space="preserve">, </w:t>
      </w:r>
      <w:r w:rsidR="009503B6" w:rsidRPr="00F73FB3">
        <w:rPr>
          <w:szCs w:val="23"/>
        </w:rPr>
        <w:t xml:space="preserve">informing </w:t>
      </w:r>
      <w:r w:rsidR="00F73FB3">
        <w:rPr>
          <w:szCs w:val="23"/>
        </w:rPr>
        <w:t>both</w:t>
      </w:r>
      <w:r w:rsidR="009503B6" w:rsidRPr="00F73FB3">
        <w:rPr>
          <w:szCs w:val="23"/>
        </w:rPr>
        <w:t xml:space="preserve"> of the survey and case studies study activities.</w:t>
      </w:r>
      <w:r w:rsidRPr="00F73FB3">
        <w:rPr>
          <w:szCs w:val="23"/>
        </w:rPr>
        <w:t xml:space="preserve"> The district notification letters will also ask </w:t>
      </w:r>
      <w:r w:rsidR="00987C11" w:rsidRPr="00F73FB3">
        <w:rPr>
          <w:szCs w:val="23"/>
        </w:rPr>
        <w:t xml:space="preserve">the district to notify the study team </w:t>
      </w:r>
      <w:r w:rsidRPr="00F73FB3">
        <w:rPr>
          <w:szCs w:val="23"/>
        </w:rPr>
        <w:t xml:space="preserve">if </w:t>
      </w:r>
      <w:r w:rsidR="00987C11" w:rsidRPr="00F73FB3">
        <w:rPr>
          <w:szCs w:val="23"/>
        </w:rPr>
        <w:t xml:space="preserve">additional </w:t>
      </w:r>
      <w:r w:rsidRPr="00F73FB3">
        <w:rPr>
          <w:szCs w:val="23"/>
        </w:rPr>
        <w:t>research clearance</w:t>
      </w:r>
      <w:r w:rsidR="00987C11" w:rsidRPr="00F73FB3">
        <w:rPr>
          <w:szCs w:val="23"/>
        </w:rPr>
        <w:t xml:space="preserve"> activities</w:t>
      </w:r>
      <w:r w:rsidRPr="00F73FB3">
        <w:rPr>
          <w:szCs w:val="23"/>
        </w:rPr>
        <w:t xml:space="preserve"> are </w:t>
      </w:r>
      <w:r w:rsidR="00987C11" w:rsidRPr="00F73FB3">
        <w:rPr>
          <w:szCs w:val="23"/>
        </w:rPr>
        <w:t>required</w:t>
      </w:r>
      <w:r w:rsidRPr="00F73FB3">
        <w:rPr>
          <w:szCs w:val="23"/>
        </w:rPr>
        <w:t>.</w:t>
      </w:r>
      <w:r w:rsidR="006B42E0" w:rsidRPr="00F73FB3">
        <w:rPr>
          <w:szCs w:val="23"/>
        </w:rPr>
        <w:t xml:space="preserve"> We also plan to </w:t>
      </w:r>
      <w:r w:rsidR="00987C11" w:rsidRPr="00F73FB3">
        <w:rPr>
          <w:szCs w:val="23"/>
        </w:rPr>
        <w:t>use</w:t>
      </w:r>
      <w:r w:rsidR="006B42E0" w:rsidRPr="00F73FB3">
        <w:rPr>
          <w:szCs w:val="23"/>
        </w:rPr>
        <w:t xml:space="preserve"> email communication and </w:t>
      </w:r>
      <w:r w:rsidR="00987C11" w:rsidRPr="00F73FB3">
        <w:rPr>
          <w:szCs w:val="23"/>
        </w:rPr>
        <w:t>follow-up phone calls</w:t>
      </w:r>
      <w:r w:rsidR="006B42E0" w:rsidRPr="00F73FB3">
        <w:rPr>
          <w:szCs w:val="23"/>
        </w:rPr>
        <w:t xml:space="preserve"> to recruit case study sites</w:t>
      </w:r>
      <w:r w:rsidR="00987C11" w:rsidRPr="00F73FB3">
        <w:rPr>
          <w:szCs w:val="23"/>
        </w:rPr>
        <w:t xml:space="preserve"> for the study</w:t>
      </w:r>
      <w:r w:rsidR="006B42E0" w:rsidRPr="00F73FB3">
        <w:rPr>
          <w:szCs w:val="23"/>
        </w:rPr>
        <w:t>.</w:t>
      </w:r>
    </w:p>
    <w:p w14:paraId="094DBDC5" w14:textId="257D2EB5" w:rsidR="00A644BE" w:rsidRPr="00F73FB3" w:rsidRDefault="009503B6" w:rsidP="009503B6">
      <w:pPr>
        <w:keepNext/>
        <w:spacing w:before="120" w:line="240" w:lineRule="auto"/>
        <w:rPr>
          <w:sz w:val="23"/>
          <w:szCs w:val="23"/>
        </w:rPr>
      </w:pPr>
      <w:proofErr w:type="gramStart"/>
      <w:r w:rsidRPr="00A30BA8">
        <w:rPr>
          <w:rStyle w:val="Heading5Char"/>
          <w:rFonts w:eastAsia="Calibri"/>
          <w:szCs w:val="23"/>
        </w:rPr>
        <w:t>District Research Clearances.</w:t>
      </w:r>
      <w:proofErr w:type="gramEnd"/>
      <w:r w:rsidRPr="00885663">
        <w:rPr>
          <w:rStyle w:val="Heading5Char"/>
          <w:rFonts w:eastAsia="Calibri"/>
          <w:b w:val="0"/>
          <w:szCs w:val="23"/>
        </w:rPr>
        <w:t xml:space="preserve"> </w:t>
      </w:r>
      <w:r w:rsidRPr="00F73FB3">
        <w:rPr>
          <w:sz w:val="23"/>
          <w:szCs w:val="23"/>
        </w:rPr>
        <w:t xml:space="preserve">The study team also will </w:t>
      </w:r>
      <w:r w:rsidR="00F73FB3">
        <w:rPr>
          <w:sz w:val="23"/>
          <w:szCs w:val="23"/>
        </w:rPr>
        <w:t xml:space="preserve">independently </w:t>
      </w:r>
      <w:r w:rsidRPr="00F73FB3">
        <w:rPr>
          <w:sz w:val="23"/>
          <w:szCs w:val="23"/>
        </w:rPr>
        <w:t xml:space="preserve">investigate whether any of the districts require advance review and approval of </w:t>
      </w:r>
      <w:r w:rsidR="00FD1332" w:rsidRPr="00F73FB3">
        <w:rPr>
          <w:sz w:val="23"/>
          <w:szCs w:val="23"/>
        </w:rPr>
        <w:t>any data collection (</w:t>
      </w:r>
      <w:r w:rsidRPr="00F73FB3">
        <w:rPr>
          <w:sz w:val="23"/>
          <w:szCs w:val="23"/>
        </w:rPr>
        <w:t xml:space="preserve">surveys </w:t>
      </w:r>
      <w:r w:rsidR="00FD1332" w:rsidRPr="00F73FB3">
        <w:rPr>
          <w:sz w:val="23"/>
          <w:szCs w:val="23"/>
        </w:rPr>
        <w:t xml:space="preserve">and/or case studies) </w:t>
      </w:r>
      <w:r w:rsidRPr="00F73FB3">
        <w:rPr>
          <w:sz w:val="23"/>
          <w:szCs w:val="23"/>
        </w:rPr>
        <w:t xml:space="preserve">being conducted in their districts. For those districts requiring </w:t>
      </w:r>
      <w:r w:rsidR="00F73FB3">
        <w:rPr>
          <w:sz w:val="23"/>
          <w:szCs w:val="23"/>
        </w:rPr>
        <w:t xml:space="preserve">such </w:t>
      </w:r>
      <w:r w:rsidRPr="00F73FB3">
        <w:rPr>
          <w:sz w:val="23"/>
          <w:szCs w:val="23"/>
        </w:rPr>
        <w:t xml:space="preserve">advance review and approval, a tailored application will be developed and submitted according to each district’s requirements; typically, the application will include a cover letter, a research application form or standard proposal for research, and copies of the surveys to be </w:t>
      </w:r>
      <w:r w:rsidR="00EF08B9" w:rsidRPr="00F73FB3">
        <w:rPr>
          <w:sz w:val="23"/>
          <w:szCs w:val="23"/>
        </w:rPr>
        <w:t>administered. Exhibit</w:t>
      </w:r>
      <w:r w:rsidR="00A644BE" w:rsidRPr="00F73FB3">
        <w:rPr>
          <w:sz w:val="23"/>
          <w:szCs w:val="23"/>
        </w:rPr>
        <w:t xml:space="preserve"> </w:t>
      </w:r>
      <w:r w:rsidR="00885663" w:rsidRPr="00F73FB3">
        <w:rPr>
          <w:sz w:val="23"/>
          <w:szCs w:val="23"/>
        </w:rPr>
        <w:t xml:space="preserve">4 </w:t>
      </w:r>
      <w:r w:rsidR="00A644BE" w:rsidRPr="00F73FB3">
        <w:rPr>
          <w:sz w:val="23"/>
          <w:szCs w:val="23"/>
        </w:rPr>
        <w:t xml:space="preserve">provides the schedule for the sample recruitment </w:t>
      </w:r>
      <w:r w:rsidR="006B42E0" w:rsidRPr="00F73FB3">
        <w:rPr>
          <w:sz w:val="23"/>
          <w:szCs w:val="23"/>
        </w:rPr>
        <w:t xml:space="preserve">(survey and case studies) </w:t>
      </w:r>
      <w:r w:rsidR="00A644BE" w:rsidRPr="00F73FB3">
        <w:rPr>
          <w:sz w:val="23"/>
          <w:szCs w:val="23"/>
        </w:rPr>
        <w:t>and district research clearances.</w:t>
      </w:r>
    </w:p>
    <w:p w14:paraId="349AC38C" w14:textId="747B8820" w:rsidR="002C1B2E" w:rsidRPr="00885663" w:rsidRDefault="002C1B2E" w:rsidP="00885663">
      <w:pPr>
        <w:pStyle w:val="ExhibitTitle"/>
      </w:pPr>
      <w:proofErr w:type="gramStart"/>
      <w:r w:rsidRPr="00885663">
        <w:t xml:space="preserve">Exhibit </w:t>
      </w:r>
      <w:r w:rsidR="00065FC0">
        <w:t>4</w:t>
      </w:r>
      <w:r w:rsidR="002F2733">
        <w:t>.</w:t>
      </w:r>
      <w:proofErr w:type="gramEnd"/>
      <w:r w:rsidRPr="00885663">
        <w:t xml:space="preserve"> </w:t>
      </w:r>
      <w:r w:rsidR="002F2733">
        <w:t>Planned</w:t>
      </w:r>
      <w:r w:rsidR="002F2733" w:rsidRPr="00885663">
        <w:t xml:space="preserve"> </w:t>
      </w:r>
      <w:r w:rsidRPr="00885663">
        <w:t xml:space="preserve">Recruitment Schedule </w:t>
      </w:r>
    </w:p>
    <w:tbl>
      <w:tblPr>
        <w:tblStyle w:val="MediumGrid1-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4"/>
        <w:gridCol w:w="4818"/>
      </w:tblGrid>
      <w:tr w:rsidR="002C1B2E" w:rsidRPr="00E14705" w14:paraId="552AD9D4" w14:textId="55018430" w:rsidTr="005F3C1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627" w:type="pct"/>
            <w:shd w:val="clear" w:color="auto" w:fill="4F81BD" w:themeFill="accent1"/>
            <w:vAlign w:val="bottom"/>
          </w:tcPr>
          <w:p w14:paraId="304CA3FB" w14:textId="3B8AED8C" w:rsidR="002C1B2E" w:rsidRPr="00E14705" w:rsidRDefault="002C1B2E" w:rsidP="005F3C11">
            <w:pPr>
              <w:pStyle w:val="ExhibitText"/>
              <w:spacing w:before="40" w:after="40"/>
              <w:rPr>
                <w:rFonts w:asciiTheme="minorHAnsi" w:hAnsiTheme="minorHAnsi"/>
                <w:color w:val="FFFFFF" w:themeColor="background1"/>
              </w:rPr>
            </w:pPr>
            <w:r w:rsidRPr="00E14705">
              <w:rPr>
                <w:rFonts w:asciiTheme="minorHAnsi" w:hAnsiTheme="minorHAnsi"/>
                <w:color w:val="FFFFFF" w:themeColor="background1"/>
              </w:rPr>
              <w:t xml:space="preserve">Event </w:t>
            </w:r>
          </w:p>
        </w:tc>
        <w:tc>
          <w:tcPr>
            <w:tcW w:w="2373" w:type="pct"/>
            <w:shd w:val="clear" w:color="auto" w:fill="4F81BD" w:themeFill="accent1"/>
            <w:vAlign w:val="bottom"/>
          </w:tcPr>
          <w:p w14:paraId="073BB106" w14:textId="5BC7DA84" w:rsidR="002C1B2E" w:rsidRPr="00E14705" w:rsidRDefault="002C1B2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E14705">
              <w:rPr>
                <w:rFonts w:asciiTheme="minorHAnsi" w:hAnsiTheme="minorHAnsi"/>
                <w:color w:val="FFFFFF" w:themeColor="background1"/>
              </w:rPr>
              <w:t>Event Date</w:t>
            </w:r>
          </w:p>
          <w:p w14:paraId="1802E8AE" w14:textId="1D16DECF" w:rsidR="002C1B2E" w:rsidRPr="00E14705" w:rsidRDefault="002C1B2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E14705">
              <w:rPr>
                <w:rFonts w:asciiTheme="minorHAnsi" w:hAnsiTheme="minorHAnsi"/>
                <w:color w:val="FFFFFF" w:themeColor="background1"/>
              </w:rPr>
              <w:t xml:space="preserve">(If Applicable, Number of Weeks After </w:t>
            </w:r>
          </w:p>
          <w:p w14:paraId="42A52936" w14:textId="116E7169" w:rsidR="002C1B2E" w:rsidRPr="00E14705" w:rsidRDefault="002C1B2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sidRPr="00E14705">
              <w:rPr>
                <w:rFonts w:asciiTheme="minorHAnsi" w:hAnsiTheme="minorHAnsi"/>
                <w:color w:val="FFFFFF" w:themeColor="background1"/>
              </w:rPr>
              <w:t>Initial Invitation Letter Sent)</w:t>
            </w:r>
          </w:p>
        </w:tc>
      </w:tr>
      <w:tr w:rsidR="002C1B2E" w:rsidRPr="00E14705" w14:paraId="4A67ED02" w14:textId="20B98730" w:rsidTr="005F3C1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67F3725B" w14:textId="3639045F" w:rsidR="002C1B2E" w:rsidRPr="00DC51F5" w:rsidRDefault="002C1B2E" w:rsidP="005F3C11">
            <w:pPr>
              <w:pStyle w:val="ExhibitText"/>
              <w:spacing w:before="40" w:after="40"/>
              <w:rPr>
                <w:rFonts w:asciiTheme="minorHAnsi" w:hAnsiTheme="minorHAnsi"/>
              </w:rPr>
            </w:pPr>
            <w:r w:rsidRPr="00DC51F5">
              <w:rPr>
                <w:rFonts w:asciiTheme="minorHAnsi" w:hAnsiTheme="minorHAnsi"/>
              </w:rPr>
              <w:t>Select sample</w:t>
            </w:r>
          </w:p>
        </w:tc>
        <w:tc>
          <w:tcPr>
            <w:tcW w:w="2373" w:type="pct"/>
            <w:shd w:val="clear" w:color="auto" w:fill="auto"/>
            <w:vAlign w:val="center"/>
          </w:tcPr>
          <w:p w14:paraId="0176ECD2" w14:textId="41F0C4E0" w:rsidR="002C1B2E" w:rsidRPr="00E14705" w:rsidRDefault="005935E5" w:rsidP="005935E5">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7/19/17</w:t>
            </w:r>
          </w:p>
        </w:tc>
      </w:tr>
      <w:tr w:rsidR="002C1B2E" w:rsidRPr="00E14705" w14:paraId="16679CD7" w14:textId="30043360" w:rsidTr="005F3C11">
        <w:trPr>
          <w:trHeight w:val="227"/>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0FFC52D4" w14:textId="0883FDC7" w:rsidR="002C1B2E" w:rsidRPr="00DC51F5" w:rsidRDefault="002C1B2E" w:rsidP="005F3C11">
            <w:pPr>
              <w:pStyle w:val="ExhibitText"/>
              <w:spacing w:before="40" w:after="40"/>
              <w:ind w:left="90" w:hanging="90"/>
              <w:rPr>
                <w:rFonts w:asciiTheme="minorHAnsi" w:hAnsiTheme="minorHAnsi"/>
              </w:rPr>
            </w:pPr>
            <w:r w:rsidRPr="00DC51F5">
              <w:rPr>
                <w:rFonts w:asciiTheme="minorHAnsi" w:hAnsiTheme="minorHAnsi"/>
              </w:rPr>
              <w:t>Sample preparation</w:t>
            </w:r>
          </w:p>
        </w:tc>
        <w:tc>
          <w:tcPr>
            <w:tcW w:w="2373" w:type="pct"/>
            <w:shd w:val="clear" w:color="auto" w:fill="auto"/>
            <w:vAlign w:val="center"/>
          </w:tcPr>
          <w:p w14:paraId="5E023993" w14:textId="4CBD9D6A" w:rsidR="002C1B2E" w:rsidRPr="00E14705" w:rsidRDefault="005935E5" w:rsidP="005935E5">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7/19/17 – 8/16/17</w:t>
            </w:r>
          </w:p>
        </w:tc>
      </w:tr>
      <w:tr w:rsidR="002C1B2E" w:rsidRPr="00E14705" w14:paraId="1662F1CA" w14:textId="634E922C" w:rsidTr="00E14705">
        <w:trPr>
          <w:cnfStyle w:val="000000100000" w:firstRow="0" w:lastRow="0" w:firstColumn="0" w:lastColumn="0" w:oddVBand="0" w:evenVBand="0" w:oddHBand="1" w:evenHBand="0" w:firstRowFirstColumn="0" w:firstRowLastColumn="0" w:lastRowFirstColumn="0" w:lastRowLastColumn="0"/>
          <w:trHeight w:val="683"/>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1FF88ED1" w14:textId="4A2EFB54" w:rsidR="002C1B2E" w:rsidRPr="00DC51F5" w:rsidRDefault="002C1B2E" w:rsidP="00F3485D">
            <w:pPr>
              <w:spacing w:after="0"/>
              <w:rPr>
                <w:rFonts w:asciiTheme="minorHAnsi" w:hAnsiTheme="minorHAnsi"/>
                <w:b w:val="0"/>
                <w:sz w:val="20"/>
                <w:szCs w:val="20"/>
              </w:rPr>
            </w:pPr>
            <w:r w:rsidRPr="00DC51F5">
              <w:rPr>
                <w:rFonts w:asciiTheme="minorHAnsi" w:hAnsiTheme="minorHAnsi"/>
                <w:b w:val="0"/>
                <w:sz w:val="20"/>
                <w:szCs w:val="20"/>
              </w:rPr>
              <w:t xml:space="preserve">Mail </w:t>
            </w:r>
            <w:r w:rsidRPr="00DC51F5">
              <w:rPr>
                <w:rFonts w:asciiTheme="minorHAnsi" w:hAnsiTheme="minorHAnsi"/>
                <w:sz w:val="20"/>
                <w:szCs w:val="20"/>
              </w:rPr>
              <w:t>study notification letter</w:t>
            </w:r>
            <w:r w:rsidRPr="00DC51F5">
              <w:rPr>
                <w:rFonts w:asciiTheme="minorHAnsi" w:hAnsiTheme="minorHAnsi"/>
                <w:b w:val="0"/>
                <w:sz w:val="20"/>
                <w:szCs w:val="20"/>
              </w:rPr>
              <w:t xml:space="preserve"> </w:t>
            </w:r>
            <w:r w:rsidR="00E14705" w:rsidRPr="00DC51F5">
              <w:rPr>
                <w:rFonts w:asciiTheme="minorHAnsi" w:hAnsiTheme="minorHAnsi"/>
                <w:b w:val="0"/>
                <w:sz w:val="20"/>
                <w:szCs w:val="20"/>
              </w:rPr>
              <w:t xml:space="preserve">from </w:t>
            </w:r>
            <w:r w:rsidRPr="00DC51F5">
              <w:rPr>
                <w:rFonts w:asciiTheme="minorHAnsi" w:hAnsiTheme="minorHAnsi"/>
                <w:b w:val="0"/>
                <w:sz w:val="20"/>
                <w:szCs w:val="20"/>
              </w:rPr>
              <w:t>ED</w:t>
            </w:r>
            <w:r w:rsidR="00E14705" w:rsidRPr="00DC51F5">
              <w:rPr>
                <w:rFonts w:asciiTheme="minorHAnsi" w:hAnsiTheme="minorHAnsi"/>
                <w:b w:val="0"/>
                <w:sz w:val="20"/>
                <w:szCs w:val="20"/>
              </w:rPr>
              <w:t xml:space="preserve"> </w:t>
            </w:r>
            <w:r w:rsidRPr="00DC51F5">
              <w:rPr>
                <w:rFonts w:asciiTheme="minorHAnsi" w:hAnsiTheme="minorHAnsi"/>
                <w:b w:val="0"/>
                <w:sz w:val="20"/>
                <w:szCs w:val="20"/>
              </w:rPr>
              <w:t xml:space="preserve">to </w:t>
            </w:r>
            <w:r w:rsidR="00FD1332" w:rsidRPr="00DC51F5">
              <w:rPr>
                <w:rFonts w:asciiTheme="minorHAnsi" w:hAnsiTheme="minorHAnsi"/>
                <w:b w:val="0"/>
                <w:sz w:val="20"/>
                <w:szCs w:val="20"/>
              </w:rPr>
              <w:t>c</w:t>
            </w:r>
            <w:r w:rsidR="00E14705" w:rsidRPr="00DC51F5">
              <w:rPr>
                <w:rFonts w:asciiTheme="minorHAnsi" w:hAnsiTheme="minorHAnsi"/>
                <w:b w:val="0"/>
                <w:sz w:val="20"/>
                <w:szCs w:val="20"/>
              </w:rPr>
              <w:t xml:space="preserve">hief </w:t>
            </w:r>
            <w:r w:rsidR="00FD1332" w:rsidRPr="00DC51F5">
              <w:rPr>
                <w:rFonts w:asciiTheme="minorHAnsi" w:hAnsiTheme="minorHAnsi"/>
                <w:b w:val="0"/>
                <w:sz w:val="20"/>
                <w:szCs w:val="20"/>
              </w:rPr>
              <w:t>s</w:t>
            </w:r>
            <w:r w:rsidR="00E14705" w:rsidRPr="00DC51F5">
              <w:rPr>
                <w:rFonts w:asciiTheme="minorHAnsi" w:hAnsiTheme="minorHAnsi"/>
                <w:b w:val="0"/>
                <w:sz w:val="20"/>
                <w:szCs w:val="20"/>
              </w:rPr>
              <w:t>tate officers</w:t>
            </w:r>
            <w:r w:rsidR="00FD1332" w:rsidRPr="00DC51F5">
              <w:rPr>
                <w:rFonts w:asciiTheme="minorHAnsi" w:hAnsiTheme="minorHAnsi"/>
                <w:b w:val="0"/>
                <w:sz w:val="20"/>
                <w:szCs w:val="20"/>
              </w:rPr>
              <w:t>/state education agencies</w:t>
            </w:r>
            <w:r w:rsidR="00E14705" w:rsidRPr="00DC51F5">
              <w:rPr>
                <w:rFonts w:asciiTheme="minorHAnsi" w:hAnsiTheme="minorHAnsi"/>
                <w:b w:val="0"/>
                <w:sz w:val="20"/>
                <w:szCs w:val="20"/>
              </w:rPr>
              <w:t xml:space="preserve"> </w:t>
            </w:r>
            <w:r w:rsidR="00DC51F5" w:rsidRPr="00DC51F5">
              <w:rPr>
                <w:rFonts w:asciiTheme="minorHAnsi" w:hAnsiTheme="minorHAnsi"/>
                <w:b w:val="0"/>
                <w:sz w:val="20"/>
                <w:szCs w:val="20"/>
              </w:rPr>
              <w:t xml:space="preserve">(see Appendix A) </w:t>
            </w:r>
            <w:r w:rsidR="00E14705" w:rsidRPr="00DC51F5">
              <w:rPr>
                <w:rFonts w:asciiTheme="minorHAnsi" w:hAnsiTheme="minorHAnsi"/>
                <w:b w:val="0"/>
                <w:sz w:val="20"/>
                <w:szCs w:val="20"/>
              </w:rPr>
              <w:t>a</w:t>
            </w:r>
            <w:r w:rsidRPr="00DC51F5">
              <w:rPr>
                <w:rFonts w:asciiTheme="minorHAnsi" w:hAnsiTheme="minorHAnsi"/>
                <w:b w:val="0"/>
                <w:sz w:val="20"/>
                <w:szCs w:val="20"/>
              </w:rPr>
              <w:t xml:space="preserve">nd </w:t>
            </w:r>
            <w:r w:rsidR="00FD1332" w:rsidRPr="00DC51F5">
              <w:rPr>
                <w:rFonts w:asciiTheme="minorHAnsi" w:hAnsiTheme="minorHAnsi"/>
                <w:b w:val="0"/>
                <w:sz w:val="20"/>
                <w:szCs w:val="20"/>
              </w:rPr>
              <w:t>d</w:t>
            </w:r>
            <w:r w:rsidRPr="00DC51F5">
              <w:rPr>
                <w:rFonts w:asciiTheme="minorHAnsi" w:hAnsiTheme="minorHAnsi"/>
                <w:b w:val="0"/>
                <w:sz w:val="20"/>
                <w:szCs w:val="20"/>
              </w:rPr>
              <w:t xml:space="preserve">istrict </w:t>
            </w:r>
            <w:r w:rsidR="00FD1332" w:rsidRPr="00DC51F5">
              <w:rPr>
                <w:b w:val="0"/>
                <w:sz w:val="20"/>
                <w:szCs w:val="20"/>
              </w:rPr>
              <w:t>s</w:t>
            </w:r>
            <w:r w:rsidR="00E14705" w:rsidRPr="00DC51F5">
              <w:rPr>
                <w:b w:val="0"/>
                <w:sz w:val="20"/>
                <w:szCs w:val="20"/>
              </w:rPr>
              <w:t>uperintendent</w:t>
            </w:r>
            <w:r w:rsidRPr="00DC51F5">
              <w:rPr>
                <w:rFonts w:asciiTheme="minorHAnsi" w:hAnsiTheme="minorHAnsi"/>
                <w:b w:val="0"/>
                <w:sz w:val="20"/>
                <w:szCs w:val="20"/>
              </w:rPr>
              <w:t xml:space="preserve"> </w:t>
            </w:r>
            <w:r w:rsidR="00DC51F5" w:rsidRPr="00DC51F5">
              <w:rPr>
                <w:rFonts w:asciiTheme="minorHAnsi" w:hAnsiTheme="minorHAnsi"/>
                <w:b w:val="0"/>
                <w:sz w:val="20"/>
                <w:szCs w:val="20"/>
              </w:rPr>
              <w:t xml:space="preserve">(see Appendix B) </w:t>
            </w:r>
            <w:r w:rsidRPr="00DC51F5">
              <w:rPr>
                <w:rFonts w:asciiTheme="minorHAnsi" w:hAnsiTheme="minorHAnsi"/>
                <w:b w:val="0"/>
                <w:sz w:val="20"/>
                <w:szCs w:val="20"/>
              </w:rPr>
              <w:t xml:space="preserve">as part of the sample recruitment </w:t>
            </w:r>
            <w:proofErr w:type="spellStart"/>
            <w:r w:rsidRPr="00DC51F5">
              <w:rPr>
                <w:rFonts w:asciiTheme="minorHAnsi" w:hAnsiTheme="minorHAnsi"/>
                <w:b w:val="0"/>
                <w:sz w:val="20"/>
                <w:szCs w:val="20"/>
              </w:rPr>
              <w:t>process</w:t>
            </w:r>
            <w:r w:rsidR="00B373D0">
              <w:rPr>
                <w:rFonts w:asciiTheme="minorHAnsi" w:hAnsiTheme="minorHAnsi"/>
                <w:b w:val="0"/>
                <w:sz w:val="20"/>
                <w:szCs w:val="20"/>
              </w:rPr>
              <w:t>.</w:t>
            </w:r>
            <w:r w:rsidR="00F3485D" w:rsidRPr="00F85201">
              <w:rPr>
                <w:sz w:val="20"/>
                <w:szCs w:val="20"/>
                <w:vertAlign w:val="superscript"/>
              </w:rPr>
              <w:t>a</w:t>
            </w:r>
            <w:proofErr w:type="spellEnd"/>
          </w:p>
        </w:tc>
        <w:tc>
          <w:tcPr>
            <w:tcW w:w="2373" w:type="pct"/>
            <w:shd w:val="clear" w:color="auto" w:fill="auto"/>
          </w:tcPr>
          <w:p w14:paraId="1D8BAFEF" w14:textId="7971CACE" w:rsidR="002C1B2E" w:rsidRPr="00E14705" w:rsidRDefault="005935E5" w:rsidP="005F3C11">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8/16/17 </w:t>
            </w:r>
            <w:r w:rsidR="002C1B2E" w:rsidRPr="00E14705">
              <w:rPr>
                <w:rFonts w:asciiTheme="minorHAnsi" w:hAnsiTheme="minorHAnsi"/>
              </w:rPr>
              <w:t xml:space="preserve"> SEA; </w:t>
            </w:r>
          </w:p>
          <w:p w14:paraId="12E92CA8" w14:textId="3D5820C8" w:rsidR="002C1B2E" w:rsidRPr="00E14705" w:rsidRDefault="005935E5" w:rsidP="005935E5">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8/21/17 </w:t>
            </w:r>
            <w:r w:rsidR="002C1B2E" w:rsidRPr="00E14705">
              <w:rPr>
                <w:rFonts w:asciiTheme="minorHAnsi" w:hAnsiTheme="minorHAnsi"/>
              </w:rPr>
              <w:t xml:space="preserve"> District Superintendents</w:t>
            </w:r>
          </w:p>
        </w:tc>
      </w:tr>
      <w:tr w:rsidR="002C1B2E" w:rsidRPr="00E14705" w14:paraId="023013CE" w14:textId="201BDAB9" w:rsidTr="005F3C11">
        <w:trPr>
          <w:trHeight w:val="227"/>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6CE2942B" w14:textId="34EABE18" w:rsidR="002C1B2E" w:rsidRPr="00DC51F5" w:rsidRDefault="00DC51F5" w:rsidP="00F3485D">
            <w:pPr>
              <w:pStyle w:val="ExhibitText"/>
              <w:spacing w:before="40" w:after="40"/>
              <w:rPr>
                <w:rFonts w:asciiTheme="minorHAnsi" w:hAnsiTheme="minorHAnsi"/>
                <w:b w:val="0"/>
              </w:rPr>
            </w:pPr>
            <w:r>
              <w:rPr>
                <w:rFonts w:asciiTheme="minorHAnsi" w:hAnsiTheme="minorHAnsi"/>
                <w:b w:val="0"/>
              </w:rPr>
              <w:t xml:space="preserve">Identify </w:t>
            </w:r>
            <w:r w:rsidRPr="00DC51F5">
              <w:rPr>
                <w:rFonts w:asciiTheme="minorHAnsi" w:hAnsiTheme="minorHAnsi"/>
              </w:rPr>
              <w:t>d</w:t>
            </w:r>
            <w:r w:rsidR="002C1B2E" w:rsidRPr="00DC51F5">
              <w:rPr>
                <w:rFonts w:asciiTheme="minorHAnsi" w:hAnsiTheme="minorHAnsi"/>
              </w:rPr>
              <w:t xml:space="preserve">istrict </w:t>
            </w:r>
            <w:r w:rsidRPr="00DC51F5">
              <w:rPr>
                <w:rFonts w:asciiTheme="minorHAnsi" w:hAnsiTheme="minorHAnsi"/>
              </w:rPr>
              <w:t>r</w:t>
            </w:r>
            <w:r w:rsidR="002C1B2E" w:rsidRPr="00DC51F5">
              <w:rPr>
                <w:rFonts w:asciiTheme="minorHAnsi" w:hAnsiTheme="minorHAnsi"/>
              </w:rPr>
              <w:t xml:space="preserve">esearch </w:t>
            </w:r>
            <w:r w:rsidRPr="00DC51F5">
              <w:rPr>
                <w:rFonts w:asciiTheme="minorHAnsi" w:hAnsiTheme="minorHAnsi"/>
              </w:rPr>
              <w:t>application</w:t>
            </w:r>
            <w:r>
              <w:rPr>
                <w:rFonts w:asciiTheme="minorHAnsi" w:hAnsiTheme="minorHAnsi"/>
                <w:b w:val="0"/>
              </w:rPr>
              <w:t xml:space="preserve"> requirements and obtain c</w:t>
            </w:r>
            <w:r w:rsidR="002C1B2E" w:rsidRPr="00E14705">
              <w:rPr>
                <w:rFonts w:asciiTheme="minorHAnsi" w:hAnsiTheme="minorHAnsi"/>
                <w:b w:val="0"/>
              </w:rPr>
              <w:t>learance</w:t>
            </w:r>
            <w:r>
              <w:rPr>
                <w:rFonts w:asciiTheme="minorHAnsi" w:hAnsiTheme="minorHAnsi"/>
                <w:b w:val="0"/>
              </w:rPr>
              <w:t>s</w:t>
            </w:r>
            <w:r w:rsidRPr="00DC51F5">
              <w:rPr>
                <w:rFonts w:asciiTheme="minorHAnsi" w:hAnsiTheme="minorHAnsi"/>
                <w:b w:val="0"/>
              </w:rPr>
              <w:t>.</w:t>
            </w:r>
            <w:r w:rsidR="002C1B2E" w:rsidRPr="00DC51F5">
              <w:rPr>
                <w:rFonts w:asciiTheme="minorHAnsi" w:hAnsiTheme="minorHAnsi"/>
                <w:b w:val="0"/>
              </w:rPr>
              <w:t xml:space="preserve"> </w:t>
            </w:r>
            <w:r w:rsidR="00A644BE" w:rsidRPr="00DC51F5">
              <w:rPr>
                <w:rFonts w:asciiTheme="minorHAnsi" w:hAnsiTheme="minorHAnsi"/>
                <w:b w:val="0"/>
              </w:rPr>
              <w:t xml:space="preserve">Appendix </w:t>
            </w:r>
            <w:r w:rsidR="005A1A28" w:rsidRPr="00DC51F5">
              <w:rPr>
                <w:rFonts w:asciiTheme="minorHAnsi" w:hAnsiTheme="minorHAnsi"/>
                <w:b w:val="0"/>
              </w:rPr>
              <w:t>C</w:t>
            </w:r>
            <w:r w:rsidRPr="00DC51F5">
              <w:rPr>
                <w:rFonts w:asciiTheme="minorHAnsi" w:hAnsiTheme="minorHAnsi"/>
                <w:b w:val="0"/>
              </w:rPr>
              <w:t xml:space="preserve"> </w:t>
            </w:r>
            <w:r w:rsidR="00F73FB3">
              <w:rPr>
                <w:rFonts w:asciiTheme="minorHAnsi" w:hAnsiTheme="minorHAnsi"/>
                <w:b w:val="0"/>
              </w:rPr>
              <w:t>presents samples of text to be included in</w:t>
            </w:r>
            <w:r w:rsidRPr="00DC51F5">
              <w:rPr>
                <w:rFonts w:asciiTheme="minorHAnsi" w:hAnsiTheme="minorHAnsi"/>
                <w:b w:val="0"/>
              </w:rPr>
              <w:t xml:space="preserve"> research application</w:t>
            </w:r>
            <w:r w:rsidR="00F73FB3">
              <w:rPr>
                <w:rFonts w:asciiTheme="minorHAnsi" w:hAnsiTheme="minorHAnsi"/>
                <w:b w:val="0"/>
              </w:rPr>
              <w:t>s,</w:t>
            </w:r>
            <w:r w:rsidRPr="00DC51F5">
              <w:rPr>
                <w:rFonts w:asciiTheme="minorHAnsi" w:hAnsiTheme="minorHAnsi"/>
                <w:b w:val="0"/>
              </w:rPr>
              <w:t xml:space="preserve"> </w:t>
            </w:r>
            <w:r w:rsidR="005A1A28" w:rsidRPr="00DC51F5">
              <w:rPr>
                <w:rFonts w:asciiTheme="minorHAnsi" w:hAnsiTheme="minorHAnsi"/>
                <w:b w:val="0"/>
              </w:rPr>
              <w:t xml:space="preserve">and </w:t>
            </w:r>
            <w:r w:rsidR="00FD1332" w:rsidRPr="00DC51F5">
              <w:rPr>
                <w:rFonts w:asciiTheme="minorHAnsi" w:hAnsiTheme="minorHAnsi"/>
                <w:b w:val="0"/>
              </w:rPr>
              <w:t xml:space="preserve">Appendix D </w:t>
            </w:r>
            <w:r w:rsidR="00570A36" w:rsidRPr="00DC51F5">
              <w:rPr>
                <w:rFonts w:asciiTheme="minorHAnsi" w:hAnsiTheme="minorHAnsi"/>
                <w:b w:val="0"/>
              </w:rPr>
              <w:t>provides an e</w:t>
            </w:r>
            <w:r w:rsidR="00FD1332" w:rsidRPr="00DC51F5">
              <w:rPr>
                <w:rFonts w:asciiTheme="minorHAnsi" w:hAnsiTheme="minorHAnsi"/>
                <w:b w:val="0"/>
              </w:rPr>
              <w:t xml:space="preserve">xample </w:t>
            </w:r>
            <w:r w:rsidR="00570A36" w:rsidRPr="00DC51F5">
              <w:rPr>
                <w:rFonts w:asciiTheme="minorHAnsi" w:hAnsiTheme="minorHAnsi"/>
                <w:b w:val="0"/>
              </w:rPr>
              <w:t>r</w:t>
            </w:r>
            <w:r w:rsidR="00FD1332" w:rsidRPr="00DC51F5">
              <w:rPr>
                <w:rFonts w:asciiTheme="minorHAnsi" w:hAnsiTheme="minorHAnsi"/>
                <w:b w:val="0"/>
              </w:rPr>
              <w:t>esearch</w:t>
            </w:r>
            <w:r w:rsidR="00570A36" w:rsidRPr="00DC51F5">
              <w:rPr>
                <w:rFonts w:asciiTheme="minorHAnsi" w:hAnsiTheme="minorHAnsi"/>
                <w:b w:val="0"/>
              </w:rPr>
              <w:t xml:space="preserve"> application </w:t>
            </w:r>
            <w:r w:rsidR="009D33CB">
              <w:rPr>
                <w:rFonts w:asciiTheme="minorHAnsi" w:hAnsiTheme="minorHAnsi"/>
                <w:b w:val="0"/>
              </w:rPr>
              <w:t>form</w:t>
            </w:r>
            <w:r w:rsidR="00570A36" w:rsidRPr="00DC51F5">
              <w:rPr>
                <w:rFonts w:asciiTheme="minorHAnsi" w:hAnsiTheme="minorHAnsi"/>
                <w:b w:val="0"/>
              </w:rPr>
              <w:t xml:space="preserve"> from a specific district, </w:t>
            </w:r>
            <w:r w:rsidR="00570A36" w:rsidRPr="00DC51F5">
              <w:rPr>
                <w:rFonts w:ascii="Calibri" w:hAnsi="Calibri"/>
                <w:b w:val="0"/>
              </w:rPr>
              <w:t xml:space="preserve">Los Angeles Unified School </w:t>
            </w:r>
            <w:proofErr w:type="spellStart"/>
            <w:r w:rsidR="00570A36" w:rsidRPr="00DC51F5">
              <w:rPr>
                <w:rFonts w:ascii="Calibri" w:hAnsi="Calibri"/>
                <w:b w:val="0"/>
              </w:rPr>
              <w:t>Distric</w:t>
            </w:r>
            <w:r w:rsidR="009D33CB" w:rsidRPr="009D33CB">
              <w:rPr>
                <w:rFonts w:asciiTheme="minorHAnsi" w:hAnsiTheme="minorHAnsi"/>
                <w:b w:val="0"/>
              </w:rPr>
              <w:t>t.</w:t>
            </w:r>
            <w:r w:rsidR="00F3485D" w:rsidRPr="00F85201">
              <w:rPr>
                <w:b w:val="0"/>
                <w:vertAlign w:val="superscript"/>
              </w:rPr>
              <w:t>a</w:t>
            </w:r>
            <w:proofErr w:type="spellEnd"/>
          </w:p>
        </w:tc>
        <w:tc>
          <w:tcPr>
            <w:tcW w:w="2373" w:type="pct"/>
            <w:shd w:val="clear" w:color="auto" w:fill="auto"/>
          </w:tcPr>
          <w:p w14:paraId="4B5B21E4" w14:textId="66E0667D" w:rsidR="002C1B2E" w:rsidRPr="00E14705" w:rsidRDefault="002C1B2E" w:rsidP="00D83799">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E14705">
              <w:rPr>
                <w:rFonts w:asciiTheme="minorHAnsi" w:hAnsiTheme="minorHAnsi"/>
              </w:rPr>
              <w:t xml:space="preserve">Begins </w:t>
            </w:r>
            <w:r w:rsidR="005935E5">
              <w:rPr>
                <w:rFonts w:asciiTheme="minorHAnsi" w:hAnsiTheme="minorHAnsi"/>
              </w:rPr>
              <w:t>8/2</w:t>
            </w:r>
            <w:r w:rsidR="00D83799">
              <w:rPr>
                <w:rFonts w:asciiTheme="minorHAnsi" w:hAnsiTheme="minorHAnsi"/>
              </w:rPr>
              <w:t>1</w:t>
            </w:r>
            <w:r w:rsidR="005935E5">
              <w:rPr>
                <w:rFonts w:asciiTheme="minorHAnsi" w:hAnsiTheme="minorHAnsi"/>
              </w:rPr>
              <w:t>/17</w:t>
            </w:r>
          </w:p>
        </w:tc>
      </w:tr>
      <w:tr w:rsidR="0072660C" w:rsidRPr="00E14705" w14:paraId="191A3824" w14:textId="0DBA4708" w:rsidTr="005F3C11">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2627" w:type="pct"/>
            <w:shd w:val="clear" w:color="auto" w:fill="auto"/>
            <w:vAlign w:val="center"/>
          </w:tcPr>
          <w:p w14:paraId="2BCF0C59" w14:textId="38618A72" w:rsidR="00DC51F5" w:rsidRDefault="00DC51F5" w:rsidP="00DC51F5">
            <w:pPr>
              <w:pStyle w:val="ExhibitText"/>
              <w:spacing w:before="40" w:after="0"/>
              <w:rPr>
                <w:rFonts w:asciiTheme="minorHAnsi" w:hAnsiTheme="minorHAnsi"/>
                <w:b w:val="0"/>
              </w:rPr>
            </w:pPr>
            <w:r>
              <w:rPr>
                <w:rFonts w:asciiTheme="minorHAnsi" w:hAnsiTheme="minorHAnsi"/>
                <w:b w:val="0"/>
              </w:rPr>
              <w:t xml:space="preserve">Conduct </w:t>
            </w:r>
            <w:r w:rsidRPr="00DC51F5">
              <w:rPr>
                <w:rFonts w:asciiTheme="minorHAnsi" w:hAnsiTheme="minorHAnsi"/>
              </w:rPr>
              <w:t>d</w:t>
            </w:r>
            <w:r w:rsidR="0072660C" w:rsidRPr="00DC51F5">
              <w:rPr>
                <w:rFonts w:asciiTheme="minorHAnsi" w:hAnsiTheme="minorHAnsi"/>
              </w:rPr>
              <w:t xml:space="preserve">istrict </w:t>
            </w:r>
            <w:r w:rsidRPr="00DC51F5">
              <w:rPr>
                <w:rFonts w:asciiTheme="minorHAnsi" w:hAnsiTheme="minorHAnsi"/>
              </w:rPr>
              <w:t>a</w:t>
            </w:r>
            <w:r w:rsidR="0072660C" w:rsidRPr="00DC51F5">
              <w:rPr>
                <w:rFonts w:asciiTheme="minorHAnsi" w:hAnsiTheme="minorHAnsi"/>
              </w:rPr>
              <w:t xml:space="preserve">dministrator </w:t>
            </w:r>
            <w:r w:rsidRPr="00DC51F5">
              <w:rPr>
                <w:rFonts w:asciiTheme="minorHAnsi" w:hAnsiTheme="minorHAnsi"/>
              </w:rPr>
              <w:t>c</w:t>
            </w:r>
            <w:r w:rsidR="0072660C" w:rsidRPr="00DC51F5">
              <w:rPr>
                <w:rFonts w:asciiTheme="minorHAnsi" w:hAnsiTheme="minorHAnsi"/>
              </w:rPr>
              <w:t>onversation</w:t>
            </w:r>
            <w:r>
              <w:rPr>
                <w:rFonts w:asciiTheme="minorHAnsi" w:hAnsiTheme="minorHAnsi"/>
                <w:b w:val="0"/>
              </w:rPr>
              <w:t xml:space="preserve"> </w:t>
            </w:r>
            <w:r w:rsidR="009C799D">
              <w:rPr>
                <w:rFonts w:asciiTheme="minorHAnsi" w:hAnsiTheme="minorHAnsi"/>
                <w:b w:val="0"/>
              </w:rPr>
              <w:t xml:space="preserve">to recruit </w:t>
            </w:r>
            <w:r>
              <w:rPr>
                <w:rFonts w:asciiTheme="minorHAnsi" w:hAnsiTheme="minorHAnsi"/>
                <w:b w:val="0"/>
              </w:rPr>
              <w:t>for case studies.</w:t>
            </w:r>
          </w:p>
          <w:p w14:paraId="49F299F2" w14:textId="67920DD2" w:rsidR="0072660C" w:rsidRPr="00DC51F5" w:rsidRDefault="006B42E0" w:rsidP="00F3485D">
            <w:pPr>
              <w:pStyle w:val="ExhibitText"/>
              <w:spacing w:before="0" w:after="40"/>
              <w:rPr>
                <w:rFonts w:asciiTheme="minorHAnsi" w:hAnsiTheme="minorHAnsi"/>
                <w:b w:val="0"/>
              </w:rPr>
            </w:pPr>
            <w:r w:rsidRPr="00DC51F5">
              <w:rPr>
                <w:rFonts w:asciiTheme="minorHAnsi" w:hAnsiTheme="minorHAnsi"/>
                <w:b w:val="0"/>
              </w:rPr>
              <w:t>Appendix E</w:t>
            </w:r>
            <w:r w:rsidR="00DC51F5" w:rsidRPr="00DC51F5">
              <w:rPr>
                <w:rFonts w:asciiTheme="minorHAnsi" w:hAnsiTheme="minorHAnsi"/>
                <w:b w:val="0"/>
              </w:rPr>
              <w:t xml:space="preserve"> provides example of the introductory invitation email that will be sent prior to any case study telephone </w:t>
            </w:r>
            <w:proofErr w:type="spellStart"/>
            <w:r w:rsidR="00DC51F5" w:rsidRPr="00DC51F5">
              <w:rPr>
                <w:rFonts w:asciiTheme="minorHAnsi" w:hAnsiTheme="minorHAnsi"/>
                <w:b w:val="0"/>
              </w:rPr>
              <w:t>conversations</w:t>
            </w:r>
            <w:r w:rsidR="009C799D">
              <w:rPr>
                <w:rFonts w:asciiTheme="minorHAnsi" w:hAnsiTheme="minorHAnsi"/>
                <w:b w:val="0"/>
              </w:rPr>
              <w:t>.</w:t>
            </w:r>
            <w:r w:rsidR="00F3485D" w:rsidRPr="00F85201">
              <w:rPr>
                <w:b w:val="0"/>
                <w:vertAlign w:val="superscript"/>
              </w:rPr>
              <w:t>a</w:t>
            </w:r>
            <w:proofErr w:type="spellEnd"/>
          </w:p>
        </w:tc>
        <w:tc>
          <w:tcPr>
            <w:tcW w:w="2373" w:type="pct"/>
            <w:shd w:val="clear" w:color="auto" w:fill="auto"/>
          </w:tcPr>
          <w:p w14:paraId="51BDB670" w14:textId="2FDA24A0" w:rsidR="00065FC0" w:rsidRDefault="006B42E0" w:rsidP="00065FC0">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E14705">
              <w:rPr>
                <w:rFonts w:asciiTheme="minorHAnsi" w:hAnsiTheme="minorHAnsi"/>
              </w:rPr>
              <w:t xml:space="preserve">Begins </w:t>
            </w:r>
            <w:r w:rsidR="00D83799">
              <w:rPr>
                <w:rFonts w:asciiTheme="minorHAnsi" w:hAnsiTheme="minorHAnsi"/>
              </w:rPr>
              <w:t>8/28/17</w:t>
            </w:r>
          </w:p>
          <w:p w14:paraId="7B08BBD1" w14:textId="760CC552" w:rsidR="0072660C" w:rsidRPr="00E14705" w:rsidRDefault="00065FC0" w:rsidP="00065FC0">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9C799D">
              <w:rPr>
                <w:rFonts w:asciiTheme="minorHAnsi" w:hAnsiTheme="minorHAnsi"/>
              </w:rPr>
              <w:t>with districts that do not require a research application</w:t>
            </w:r>
          </w:p>
        </w:tc>
      </w:tr>
    </w:tbl>
    <w:p w14:paraId="28D40E8B" w14:textId="69291EFB" w:rsidR="009503B6" w:rsidRPr="00F85201" w:rsidRDefault="00F85201">
      <w:pPr>
        <w:pStyle w:val="BodyText"/>
      </w:pPr>
      <w:r w:rsidRPr="00F85201">
        <w:rPr>
          <w:sz w:val="20"/>
          <w:szCs w:val="20"/>
          <w:vertAlign w:val="superscript"/>
        </w:rPr>
        <w:t>a.</w:t>
      </w:r>
      <w:r>
        <w:rPr>
          <w:sz w:val="20"/>
          <w:szCs w:val="20"/>
          <w:vertAlign w:val="superscript"/>
        </w:rPr>
        <w:t xml:space="preserve"> </w:t>
      </w:r>
      <w:r w:rsidRPr="00F85201">
        <w:rPr>
          <w:sz w:val="20"/>
          <w:szCs w:val="20"/>
        </w:rPr>
        <w:t xml:space="preserve">Appendices A </w:t>
      </w:r>
      <w:r>
        <w:rPr>
          <w:sz w:val="20"/>
          <w:szCs w:val="20"/>
        </w:rPr>
        <w:t>-E</w:t>
      </w:r>
      <w:r w:rsidRPr="00F85201">
        <w:rPr>
          <w:sz w:val="20"/>
          <w:szCs w:val="20"/>
        </w:rPr>
        <w:t xml:space="preserve"> were submitted</w:t>
      </w:r>
      <w:r>
        <w:rPr>
          <w:sz w:val="20"/>
          <w:szCs w:val="20"/>
        </w:rPr>
        <w:t xml:space="preserve"> with the recruitment and sample attainment OMB package</w:t>
      </w:r>
      <w:r w:rsidR="00F3485D">
        <w:rPr>
          <w:sz w:val="20"/>
          <w:szCs w:val="20"/>
        </w:rPr>
        <w:t>.</w:t>
      </w:r>
    </w:p>
    <w:p w14:paraId="767028FF" w14:textId="77777777" w:rsidR="00814D69" w:rsidRDefault="00814D69">
      <w:pPr>
        <w:spacing w:after="0" w:line="240" w:lineRule="auto"/>
        <w:rPr>
          <w:rFonts w:asciiTheme="minorHAnsi" w:eastAsia="Times New Roman" w:hAnsiTheme="minorHAnsi"/>
          <w:b/>
          <w:sz w:val="24"/>
          <w:szCs w:val="24"/>
        </w:rPr>
      </w:pPr>
      <w:bookmarkStart w:id="23" w:name="_Toc482978871"/>
      <w:bookmarkStart w:id="24" w:name="_Toc274743225"/>
      <w:r>
        <w:br w:type="page"/>
      </w:r>
    </w:p>
    <w:p w14:paraId="59EC1EA1" w14:textId="7BCCAF5B" w:rsidR="0057547B" w:rsidRDefault="000C6EF4">
      <w:pPr>
        <w:pStyle w:val="Heading3"/>
      </w:pPr>
      <w:r>
        <w:lastRenderedPageBreak/>
        <w:t>2. Procedures for Data Collection</w:t>
      </w:r>
      <w:bookmarkEnd w:id="23"/>
    </w:p>
    <w:p w14:paraId="40BAF0B3" w14:textId="09FDAA30" w:rsidR="00D34FE9" w:rsidRDefault="000C6EF4" w:rsidP="0094671F">
      <w:pPr>
        <w:pStyle w:val="BodyText"/>
      </w:pPr>
      <w:r>
        <w:t xml:space="preserve">The procedures for carrying out the </w:t>
      </w:r>
      <w:r w:rsidR="00D34FE9">
        <w:t xml:space="preserve">survey and </w:t>
      </w:r>
      <w:r>
        <w:t>case study data collection activities are described in the following section.</w:t>
      </w:r>
    </w:p>
    <w:p w14:paraId="08DD91FE" w14:textId="77777777" w:rsidR="004871C9" w:rsidRDefault="004871C9" w:rsidP="004871C9">
      <w:pPr>
        <w:pStyle w:val="Heading3a"/>
        <w:spacing w:before="0" w:after="240"/>
      </w:pPr>
      <w:r>
        <w:t>Survey Data Collection</w:t>
      </w:r>
    </w:p>
    <w:p w14:paraId="37367BC4" w14:textId="7A12B245" w:rsidR="004871C9" w:rsidRDefault="004871C9" w:rsidP="004871C9">
      <w:pPr>
        <w:pStyle w:val="BodyText"/>
        <w:rPr>
          <w:spacing w:val="-2"/>
          <w:szCs w:val="23"/>
        </w:rPr>
      </w:pPr>
      <w:r>
        <w:t>Nationally representative, quantitative survey data will be collected from a sample of districts</w:t>
      </w:r>
      <w:r w:rsidR="00BD0EA7">
        <w:t xml:space="preserve"> and schools</w:t>
      </w:r>
      <w:r>
        <w:t xml:space="preserve">. These data will complement the results of the case studies and extant data analyses by providing a higher level, national picture of the prevalence of SBB systems, their implementation, and their challenges. </w:t>
      </w:r>
      <w:r>
        <w:rPr>
          <w:spacing w:val="-2"/>
          <w:szCs w:val="23"/>
        </w:rPr>
        <w:t>This section describes how survey data collection instruments will be developed, followed by procedures for the collection from the nationally represented sample.</w:t>
      </w:r>
    </w:p>
    <w:p w14:paraId="49194B1A" w14:textId="1FBD5279" w:rsidR="00F73FB3" w:rsidRDefault="004871C9" w:rsidP="004871C9">
      <w:pPr>
        <w:pStyle w:val="BodyText"/>
      </w:pPr>
      <w:proofErr w:type="gramStart"/>
      <w:r>
        <w:rPr>
          <w:rStyle w:val="Heading5Char"/>
          <w:i/>
        </w:rPr>
        <w:t>Survey Questionnaire Development.</w:t>
      </w:r>
      <w:proofErr w:type="gramEnd"/>
      <w:r>
        <w:t xml:space="preserve"> The contractor team will employ a well-tested process for developing the questionnaires. Based on our previous experience developing survey instruments for </w:t>
      </w:r>
      <w:r w:rsidR="009C799D">
        <w:t>WSF studies</w:t>
      </w:r>
      <w:r>
        <w:t xml:space="preserve"> in California and Hawaii, we already have a core set of items across a range of key relevant constructs. The contractor will conduct an extensive review of existing surveys that can serve as sources for valid and reliable items.</w:t>
      </w:r>
      <w:r w:rsidR="00F73FB3">
        <w:t xml:space="preserve"> </w:t>
      </w:r>
    </w:p>
    <w:p w14:paraId="25957F73" w14:textId="77777777" w:rsidR="004871C9" w:rsidRDefault="004871C9" w:rsidP="004871C9">
      <w:pPr>
        <w:pStyle w:val="BodyText"/>
      </w:pPr>
      <w:r>
        <w:t>We will include questions in the surveys on topics such as the following:</w:t>
      </w:r>
    </w:p>
    <w:p w14:paraId="73471D31" w14:textId="3C672EAA" w:rsidR="004871C9" w:rsidRDefault="004871C9" w:rsidP="004871C9">
      <w:pPr>
        <w:pStyle w:val="Bullet1"/>
      </w:pPr>
      <w:r>
        <w:t xml:space="preserve">What is the structure of district school funding formulas (including weight structures for </w:t>
      </w:r>
      <w:r w:rsidR="00587D92">
        <w:t>WSF</w:t>
      </w:r>
      <w:r>
        <w:t xml:space="preserve"> districts if applicable)?</w:t>
      </w:r>
    </w:p>
    <w:p w14:paraId="0A37C668" w14:textId="77777777" w:rsidR="004871C9" w:rsidRDefault="004871C9" w:rsidP="004871C9">
      <w:pPr>
        <w:pStyle w:val="Bullet1"/>
      </w:pPr>
      <w:r>
        <w:t>What resources do principals report they have authority to allocate?</w:t>
      </w:r>
    </w:p>
    <w:p w14:paraId="18C342F3" w14:textId="77777777" w:rsidR="004871C9" w:rsidRDefault="004871C9" w:rsidP="004871C9">
      <w:pPr>
        <w:pStyle w:val="Bullet1"/>
      </w:pPr>
      <w:r>
        <w:t>What is principals’ understanding of how resources are distributed to schools?</w:t>
      </w:r>
    </w:p>
    <w:p w14:paraId="1E0D30A4" w14:textId="77777777" w:rsidR="004871C9" w:rsidRDefault="004871C9" w:rsidP="004871C9">
      <w:pPr>
        <w:pStyle w:val="Bullet1"/>
      </w:pPr>
      <w:r>
        <w:t>Who is involved in school resource allocation decision making?</w:t>
      </w:r>
    </w:p>
    <w:p w14:paraId="7B0FBF84" w14:textId="3D119E62" w:rsidR="004871C9" w:rsidRDefault="004871C9" w:rsidP="004871C9">
      <w:pPr>
        <w:pStyle w:val="Bullet1"/>
      </w:pPr>
      <w:r>
        <w:t xml:space="preserve">How long has the </w:t>
      </w:r>
      <w:r w:rsidR="009E23C9">
        <w:t xml:space="preserve">WSF or </w:t>
      </w:r>
      <w:r>
        <w:t>SBB system been in place? (</w:t>
      </w:r>
      <w:r w:rsidR="009E23C9">
        <w:t>WSF/</w:t>
      </w:r>
      <w:r>
        <w:t>SBB districts only)</w:t>
      </w:r>
    </w:p>
    <w:p w14:paraId="26333725" w14:textId="77777777" w:rsidR="004871C9" w:rsidRDefault="004871C9" w:rsidP="004871C9">
      <w:pPr>
        <w:pStyle w:val="Bullet1"/>
      </w:pPr>
      <w:r>
        <w:t>What training and support are provided to principals to build their capacity in making resource allocation decisions?</w:t>
      </w:r>
    </w:p>
    <w:p w14:paraId="15D75A97" w14:textId="77777777" w:rsidR="004871C9" w:rsidRDefault="004871C9" w:rsidP="004871C9">
      <w:pPr>
        <w:pStyle w:val="BodyText"/>
      </w:pPr>
      <w:r>
        <w:t xml:space="preserve">We will develop an item bank that includes information about all potential items to be used in the survey. In this item bank, we will include the proposed survey item, its source (e.g., the CCD, National Longitudinal Study of No Child Left Behind, and Evaluation of Hawaii’s Weighted Student Funding), the research question(s) the item addresses, any information concerning prior testing or quality of the item, and any additional testing that might be necessary. To the extent that the item requires adaptation of either the question wording or response options to be suitable for use in this study, both the original and revised wording will be documented. The item bank will include not only the content-specific items that will be used to address the study questions, but also appropriate background items, such as the number of current FTEs of district and school staff. </w:t>
      </w:r>
    </w:p>
    <w:p w14:paraId="01BB05A9" w14:textId="67F5F8CE" w:rsidR="004871C9" w:rsidRDefault="004871C9" w:rsidP="004871C9">
      <w:pPr>
        <w:pStyle w:val="BodyText"/>
      </w:pPr>
      <w:r>
        <w:t>Experience on other PPSS evaluation studies is that existing items from other surveys often require adaptation to better reflect the specific policy being studied or a more nuanced understanding of certain practices. We will evaluate the potential source items and adapt or supplement them with newly drafted items as needed.</w:t>
      </w:r>
    </w:p>
    <w:p w14:paraId="7ED4DDB6" w14:textId="6256E38E" w:rsidR="004871C9" w:rsidRDefault="004871C9" w:rsidP="004871C9">
      <w:pPr>
        <w:pStyle w:val="BodyText"/>
      </w:pPr>
      <w:proofErr w:type="gramStart"/>
      <w:r>
        <w:rPr>
          <w:rStyle w:val="Heading5Char"/>
          <w:i/>
        </w:rPr>
        <w:t>Programming and Testing.</w:t>
      </w:r>
      <w:proofErr w:type="gramEnd"/>
      <w:r>
        <w:rPr>
          <w:rStyle w:val="Heading5Char"/>
          <w:i/>
        </w:rPr>
        <w:t xml:space="preserve"> </w:t>
      </w:r>
      <w:r>
        <w:t xml:space="preserve">Upon approval of the final instrument from the study team, senior advisors, ED staff, Institutional Review Board, and OMB clearance, specifications will be written for programmers that include notes on the look and feel of the instruments, skip rules, and fills. The study team will then program the survey in </w:t>
      </w:r>
      <w:r>
        <w:rPr>
          <w:shd w:val="clear" w:color="auto" w:fill="FFFFFF"/>
        </w:rPr>
        <w:t>UNICOM® Intelligence™</w:t>
      </w:r>
      <w:r>
        <w:t xml:space="preserve">, a survey and sample tracking software that enables a </w:t>
      </w:r>
      <w:r>
        <w:lastRenderedPageBreak/>
        <w:t>project to program, launch, and track responses to a multimode survey in a single environment. This software will be used to administer the survey, track respondents, send out reminders, and report response rates.</w:t>
      </w:r>
    </w:p>
    <w:p w14:paraId="474A8D99" w14:textId="77777777" w:rsidR="004871C9" w:rsidRDefault="004871C9" w:rsidP="004871C9">
      <w:pPr>
        <w:pStyle w:val="BodyText"/>
      </w:pPr>
      <w:r>
        <w:t>A hard-copy version of the survey will be available for participant review upon request. Respondents will be provided a toll-free number if they have questions about the survey or if they would like to complete the survey over the telephone.</w:t>
      </w:r>
    </w:p>
    <w:p w14:paraId="12270884" w14:textId="3A64ADEE" w:rsidR="004871C9" w:rsidRDefault="004871C9" w:rsidP="004871C9">
      <w:pPr>
        <w:pStyle w:val="BodyText"/>
      </w:pPr>
      <w:r>
        <w:t xml:space="preserve">The contractor will design the surveys for the Web mode, which we expect most respondents to use. After the surveys have been extensively tested, the Web instrument will then be adapted for </w:t>
      </w:r>
      <w:r w:rsidR="00BD0EA7">
        <w:t xml:space="preserve">mail and for </w:t>
      </w:r>
      <w:r>
        <w:t xml:space="preserve">computer-assisted telephone interviewing (CATI) </w:t>
      </w:r>
      <w:r w:rsidR="00BD0EA7">
        <w:t>when we complete the nonresponse bias effort</w:t>
      </w:r>
      <w:r>
        <w:t>. The adaptations will be made with the goal of maximizing data quality in each mode (</w:t>
      </w:r>
      <w:proofErr w:type="spellStart"/>
      <w:r>
        <w:t>Dillman</w:t>
      </w:r>
      <w:proofErr w:type="spellEnd"/>
      <w:r>
        <w:t xml:space="preserve"> et al. 2014). For example, automatic skips and fills will be used in the Web and CATI modes, while design features will be used to accommodate any complexity in the mail survey instrument. </w:t>
      </w:r>
    </w:p>
    <w:p w14:paraId="7E7E72EF" w14:textId="77777777" w:rsidR="004871C9" w:rsidRDefault="004871C9" w:rsidP="004871C9">
      <w:pPr>
        <w:pStyle w:val="BodyText"/>
      </w:pPr>
      <w:r>
        <w:t>Before going live, the Web instrument will go through rigorous testing to ensure proper functionality. The online survey will be optimized for completion using mobile devices (e.g., smartphones and tablets)</w:t>
      </w:r>
      <w:proofErr w:type="gramStart"/>
      <w:r>
        <w:t>,</w:t>
      </w:r>
      <w:proofErr w:type="gramEnd"/>
      <w:r>
        <w:t xml:space="preserve"> even though we anticipate that most respondents to this survey will complete the survey using either a desktop or laptop computer.</w:t>
      </w:r>
    </w:p>
    <w:p w14:paraId="540C49DD" w14:textId="3E2AFFF0" w:rsidR="004871C9" w:rsidRDefault="004871C9" w:rsidP="004871C9">
      <w:pPr>
        <w:pStyle w:val="BodyText"/>
      </w:pPr>
      <w:r>
        <w:rPr>
          <w:rStyle w:val="Heading5Char"/>
          <w:i/>
        </w:rPr>
        <w:t xml:space="preserve">Building Awareness and Encouraging Participation. </w:t>
      </w:r>
      <w:r>
        <w:t xml:space="preserve">Survey response rates are improved if studies use </w:t>
      </w:r>
      <w:r w:rsidR="00DB404E">
        <w:t xml:space="preserve">survey </w:t>
      </w:r>
      <w:r>
        <w:t>advance letters from the sponsor of the study or other entities that support the survey (</w:t>
      </w:r>
      <w:proofErr w:type="spellStart"/>
      <w:r>
        <w:t>Lavrakas</w:t>
      </w:r>
      <w:proofErr w:type="spellEnd"/>
      <w:r>
        <w:t xml:space="preserve"> 2008). Therefore, the study team will prepare a draft letter of endorsement for the study from ED that will include the official seal and will be signed by a designated ED official. The letter will introduce the study to the sample members, verify ED’s support of the study, and encourage participation. The study team </w:t>
      </w:r>
      <w:r w:rsidR="009C799D">
        <w:t>has submitted this</w:t>
      </w:r>
      <w:r>
        <w:t xml:space="preserve"> draft letter as part of th</w:t>
      </w:r>
      <w:r w:rsidR="009C799D">
        <w:t>is</w:t>
      </w:r>
      <w:r w:rsidR="00E15615">
        <w:t xml:space="preserve"> </w:t>
      </w:r>
      <w:r>
        <w:t>package and will customize it as needed prior to contacting each of the respondents.</w:t>
      </w:r>
    </w:p>
    <w:p w14:paraId="767A73AE" w14:textId="204B4F11" w:rsidR="004871C9" w:rsidRDefault="004871C9" w:rsidP="004871C9">
      <w:pPr>
        <w:pStyle w:val="BodyText"/>
      </w:pPr>
      <w:r>
        <w:t xml:space="preserve">We also will encourage districts to show support for the principal survey to increase response rates. Some districts may prefer to send an </w:t>
      </w:r>
      <w:r w:rsidR="00E041D1">
        <w:t>email</w:t>
      </w:r>
      <w:r>
        <w:t xml:space="preserve"> directly to the sampled principals, post an announcement on an internal website, or allow the study team to attach an endorsement letter from the superintendent or other district official to the data collection materials. To promote effective endorsements and minimize the burden on districts, the research team will </w:t>
      </w:r>
      <w:r w:rsidRPr="00DA62D2">
        <w:t xml:space="preserve">draft materials that support the study and provide an accurate overview of the study, its purposes, </w:t>
      </w:r>
      <w:r>
        <w:t>the benefits of participating, and the activities that are associated with participation.</w:t>
      </w:r>
    </w:p>
    <w:p w14:paraId="52B4D697" w14:textId="24F3DBD6" w:rsidR="004871C9" w:rsidRDefault="004871C9" w:rsidP="004871C9">
      <w:pPr>
        <w:pStyle w:val="BodyText"/>
      </w:pPr>
      <w:r>
        <w:t>Following OMB approval and district research clearances,</w:t>
      </w:r>
      <w:r w:rsidR="009C799D">
        <w:t xml:space="preserve"> the</w:t>
      </w:r>
      <w:r w:rsidR="00A07A17">
        <w:t xml:space="preserve"> </w:t>
      </w:r>
      <w:r>
        <w:t>notification letter from ED will be mailed</w:t>
      </w:r>
      <w:r w:rsidR="009C799D">
        <w:t xml:space="preserve"> to districts to </w:t>
      </w:r>
      <w:r>
        <w:t>encourag</w:t>
      </w:r>
      <w:r w:rsidR="009C799D">
        <w:t>e</w:t>
      </w:r>
      <w:r>
        <w:t xml:space="preserve"> their participation will be sent starting in </w:t>
      </w:r>
      <w:r w:rsidR="009C799D">
        <w:t>July</w:t>
      </w:r>
      <w:r>
        <w:t xml:space="preserve"> 2017. We expect </w:t>
      </w:r>
      <w:r w:rsidR="009C799D">
        <w:t>to launch the survey</w:t>
      </w:r>
      <w:r w:rsidRPr="00DA62D2">
        <w:t xml:space="preserve"> </w:t>
      </w:r>
      <w:r>
        <w:t>in early September 2017</w:t>
      </w:r>
      <w:r w:rsidRPr="00DA62D2">
        <w:t xml:space="preserve">. </w:t>
      </w:r>
      <w:r>
        <w:t xml:space="preserve">All data collection activities will conclude </w:t>
      </w:r>
      <w:r w:rsidR="001E540B">
        <w:t>1</w:t>
      </w:r>
      <w:r w:rsidR="006B7F8A">
        <w:t>9</w:t>
      </w:r>
      <w:r>
        <w:t xml:space="preserve"> weeks later in </w:t>
      </w:r>
      <w:r w:rsidR="001E540B">
        <w:t>January 2018</w:t>
      </w:r>
      <w:r>
        <w:t xml:space="preserve">. </w:t>
      </w:r>
      <w:r w:rsidR="006B7F8A">
        <w:t xml:space="preserve">Non response bias data collection will </w:t>
      </w:r>
      <w:r w:rsidR="009E23C9">
        <w:t>take place during</w:t>
      </w:r>
      <w:r w:rsidR="006B7F8A">
        <w:t xml:space="preserve"> the last three weeks of the data collection window. </w:t>
      </w:r>
      <w:r w:rsidR="001E540B">
        <w:t>Starting data collection in the f</w:t>
      </w:r>
      <w:r>
        <w:t>all tends to be more successful due to the many commitments schools and districts have in the spring, such as student testing and planning and budgeting for the following school year. These dates are subject to change and are dependent on OMB approval.</w:t>
      </w:r>
    </w:p>
    <w:p w14:paraId="6C4400AB" w14:textId="4DEED802" w:rsidR="0057547B" w:rsidRDefault="000C6EF4" w:rsidP="0094671F">
      <w:pPr>
        <w:pStyle w:val="Heading3a"/>
        <w:spacing w:before="0" w:after="240"/>
      </w:pPr>
      <w:r>
        <w:t>Survey Administration Procedures</w:t>
      </w:r>
    </w:p>
    <w:p w14:paraId="07DA8AF9" w14:textId="77777777" w:rsidR="0057547B" w:rsidRDefault="000C6EF4">
      <w:pPr>
        <w:pStyle w:val="BodyText"/>
      </w:pPr>
      <w:r>
        <w:t>District administrators and school principals will be offered varied and sequenced modes of administration because research shows that the using a mixed-mode approach increases survey response rates significantly (</w:t>
      </w:r>
      <w:proofErr w:type="spellStart"/>
      <w:r>
        <w:t>Dillman</w:t>
      </w:r>
      <w:proofErr w:type="spellEnd"/>
      <w:r>
        <w:t xml:space="preserve"> et al. 2014). Different modes will be offered sequentially rather than </w:t>
      </w:r>
      <w:r>
        <w:lastRenderedPageBreak/>
        <w:t xml:space="preserve">simultaneously because people are more responsive to surveys when they are offered one mode at a time (Millar and </w:t>
      </w:r>
      <w:proofErr w:type="spellStart"/>
      <w:r>
        <w:t>Dillman</w:t>
      </w:r>
      <w:proofErr w:type="spellEnd"/>
      <w:r>
        <w:t xml:space="preserve"> 2011).</w:t>
      </w:r>
    </w:p>
    <w:p w14:paraId="661226D4" w14:textId="4F0160F9" w:rsidR="0057547B" w:rsidRDefault="00CE0870">
      <w:pPr>
        <w:pStyle w:val="BodyText"/>
      </w:pPr>
      <w:r>
        <w:t>In an effort to minimize costs and take advantage of the data quality benefits of using Web surveys (Couper 2000), the survey will start with a Web-only approach for both district administrators and principals.</w:t>
      </w:r>
      <w:r w:rsidR="000C6EF4">
        <w:t xml:space="preserve"> We expect that both respondent groups have consistent access to the Internet and are accustomed to reporting data electronically. For district administrators who do not respond to electronic solicitations, we will offer the opportunity to complete the survey by telephone. For nonrespon</w:t>
      </w:r>
      <w:r w:rsidR="009C799D">
        <w:t>sive</w:t>
      </w:r>
      <w:r w:rsidR="000C6EF4">
        <w:t xml:space="preserve"> school principals, the study team will </w:t>
      </w:r>
      <w:r w:rsidR="009C799D">
        <w:t xml:space="preserve">offer </w:t>
      </w:r>
      <w:r w:rsidR="000C6EF4">
        <w:t>the opportunity to complete the questionnaire on paper if they prefer that mode to the online platform. This design is the most cost-effective way of achieving the greatest response rates from both groups.</w:t>
      </w:r>
    </w:p>
    <w:p w14:paraId="616891F1" w14:textId="04250EE7" w:rsidR="0057547B" w:rsidRDefault="000C6EF4">
      <w:pPr>
        <w:pStyle w:val="BodyText"/>
      </w:pPr>
      <w:proofErr w:type="gramStart"/>
      <w:r>
        <w:rPr>
          <w:rStyle w:val="Heading5Char"/>
          <w:i/>
        </w:rPr>
        <w:t>Web Platform and Survey Access.</w:t>
      </w:r>
      <w:proofErr w:type="gramEnd"/>
      <w:r>
        <w:rPr>
          <w:rStyle w:val="Heading5Char"/>
          <w:i/>
        </w:rPr>
        <w:t xml:space="preserve"> </w:t>
      </w:r>
      <w:r>
        <w:t xml:space="preserve">The contractor currently uses the Unicom software package to program and administer surveys and to track and manage respondents. Unicom can accommodate complex survey formatting procedures and is appropriate for the number of cases included in this study. Respondents will be able to access the survey landing page using a specified website and will enter their assigned unique user ID to access the survey questions. This unique user ID will be assigned to respondents and provided along with the survey link in their survey invitation letter as well as reminder </w:t>
      </w:r>
      <w:r w:rsidR="00E041D1">
        <w:t>email</w:t>
      </w:r>
      <w:r>
        <w:t>s. As respondents complete the questionnaire online, their data are saved in real time. This feature minimizes the burden on respondents so that they do not have to complete the full survey in one sitting or need to worry about resubmitting responses to previously answered questions should a session time out or Internet access break off suddenly. In the event that a respondent breaks off, the data they have provided up to that point will be captured in the survey dataset, and Unicom allows them to pick up where they left off when they return to complete the questionnaire.</w:t>
      </w:r>
    </w:p>
    <w:p w14:paraId="024B3084" w14:textId="1CB97196" w:rsidR="0057547B" w:rsidRDefault="000C6EF4" w:rsidP="0094671F">
      <w:pPr>
        <w:pStyle w:val="BodyText"/>
      </w:pPr>
      <w:r>
        <w:rPr>
          <w:rStyle w:val="Heading5Char"/>
          <w:i/>
        </w:rPr>
        <w:t xml:space="preserve">Help Desk. </w:t>
      </w:r>
      <w:r>
        <w:t xml:space="preserve">The contractor will staff a toll-free telephone and </w:t>
      </w:r>
      <w:r w:rsidR="00E041D1">
        <w:t>email</w:t>
      </w:r>
      <w:r>
        <w:t xml:space="preserve"> help desk to assist respondents who are having any difficulties with the survey, or request to complete the survey by telephone These well-trained staff members will be able to provide technical support and answer more substantive questions, such as whether the survey is voluntary and how the information collected will be reported. The help desk will be staffed during regular business hours (Eastern through Pacific Time), and </w:t>
      </w:r>
      <w:r w:rsidR="00CE0870">
        <w:t>we will respond to inquiries w</w:t>
      </w:r>
      <w:r>
        <w:t>ithin one business day.</w:t>
      </w:r>
    </w:p>
    <w:p w14:paraId="1990F7CB" w14:textId="777F8D4D" w:rsidR="0057547B" w:rsidRDefault="000C6EF4">
      <w:pPr>
        <w:pStyle w:val="BodyText"/>
      </w:pPr>
      <w:proofErr w:type="gramStart"/>
      <w:r>
        <w:rPr>
          <w:rStyle w:val="Heading5Char"/>
          <w:i/>
        </w:rPr>
        <w:t>Monitoring Data Collection.</w:t>
      </w:r>
      <w:proofErr w:type="gramEnd"/>
      <w:r>
        <w:rPr>
          <w:rStyle w:val="Heading5Char"/>
          <w:i/>
        </w:rPr>
        <w:t xml:space="preserve"> </w:t>
      </w:r>
      <w:r>
        <w:t>The study team will monitor Web responses in real time, and completed paper questionnaires will be entered into a case management database as they are received. This tracking of Web and paper completions in the case management database will provide an overall, daily status of the project’s data collection efforts, and enable</w:t>
      </w:r>
      <w:r w:rsidR="00CE0870">
        <w:t xml:space="preserve"> the</w:t>
      </w:r>
      <w:r>
        <w:t xml:space="preserve"> team to provide survey response updates to the </w:t>
      </w:r>
      <w:r w:rsidR="00CE0870">
        <w:t>D</w:t>
      </w:r>
      <w:r>
        <w:t xml:space="preserve">epartment on a regular basis. We will identify district and school administrators who have not yet responded and decide whether additional nonresponse follow-up is needed outside of the </w:t>
      </w:r>
      <w:r w:rsidR="00C550FF">
        <w:t xml:space="preserve">activities </w:t>
      </w:r>
      <w:r>
        <w:t xml:space="preserve">outlined above. For example, we will </w:t>
      </w:r>
      <w:r w:rsidR="00540813">
        <w:t xml:space="preserve">attempt to </w:t>
      </w:r>
      <w:r>
        <w:t xml:space="preserve">verify that we have correct contact information, make additional follow-up telephone calls, or </w:t>
      </w:r>
      <w:r w:rsidR="00E041D1">
        <w:t>email</w:t>
      </w:r>
      <w:r>
        <w:t xml:space="preserve"> the paper questionnaire.</w:t>
      </w:r>
      <w:r w:rsidR="00B46C2A">
        <w:t xml:space="preserve"> </w:t>
      </w:r>
      <w:r w:rsidR="00CE0870">
        <w:t>The contractor</w:t>
      </w:r>
      <w:r w:rsidR="00B46C2A">
        <w:t xml:space="preserve"> will update PPSS regularly on the survey response rates.</w:t>
      </w:r>
    </w:p>
    <w:p w14:paraId="6A7871E0" w14:textId="77777777" w:rsidR="00885663" w:rsidRDefault="00885663" w:rsidP="00885663">
      <w:pPr>
        <w:pStyle w:val="Heading3a"/>
      </w:pPr>
      <w:r>
        <w:t>Procedures for Extant Data Collection to Inform Case Studies</w:t>
      </w:r>
    </w:p>
    <w:p w14:paraId="29B58CD2" w14:textId="42221914" w:rsidR="00885663" w:rsidRDefault="00885663" w:rsidP="00885663">
      <w:pPr>
        <w:pStyle w:val="BodyText"/>
      </w:pPr>
      <w:r>
        <w:t>The study team will use a comprehensive request for documents (RFD) to collect</w:t>
      </w:r>
      <w:r w:rsidR="001E5D6A">
        <w:t xml:space="preserve"> critical</w:t>
      </w:r>
      <w:r>
        <w:t xml:space="preserve"> extant data from the case study districts; the RFD will </w:t>
      </w:r>
      <w:r w:rsidR="001E5D6A">
        <w:t>request</w:t>
      </w:r>
      <w:r>
        <w:t xml:space="preserve"> the types of information needed to investigate the extent to which allocation of funding became more equitable and how the use of resources may have changed after introducing</w:t>
      </w:r>
      <w:r w:rsidR="001E5D6A">
        <w:t xml:space="preserve"> a</w:t>
      </w:r>
      <w:r>
        <w:t xml:space="preserve"> WSF</w:t>
      </w:r>
      <w:r w:rsidR="001E5D6A">
        <w:t xml:space="preserve"> system</w:t>
      </w:r>
      <w:r>
        <w:t xml:space="preserve">. The RFD will request the following documents for the WSF </w:t>
      </w:r>
      <w:r w:rsidR="0094671F">
        <w:t>case study districts:</w:t>
      </w:r>
    </w:p>
    <w:p w14:paraId="34E82417" w14:textId="77777777" w:rsidR="00885663" w:rsidRDefault="00885663" w:rsidP="00885663">
      <w:pPr>
        <w:pStyle w:val="Bullet1"/>
      </w:pPr>
      <w:r>
        <w:lastRenderedPageBreak/>
        <w:t xml:space="preserve">Documents describing how funding and other (personnel and </w:t>
      </w:r>
      <w:proofErr w:type="spellStart"/>
      <w:r>
        <w:t>nonpersonnel</w:t>
      </w:r>
      <w:proofErr w:type="spellEnd"/>
      <w:r>
        <w:t>) resources were allocated to schools</w:t>
      </w:r>
    </w:p>
    <w:p w14:paraId="48BD4AFD" w14:textId="77777777" w:rsidR="00885663" w:rsidRDefault="00885663" w:rsidP="00885663">
      <w:pPr>
        <w:pStyle w:val="Bullet1"/>
      </w:pPr>
      <w:r>
        <w:t>Documents describing the school-level budgeting process, including governance structure, timing, training and support for schools, and roles of district and school staff and other stakeholders in the budgeting process</w:t>
      </w:r>
    </w:p>
    <w:p w14:paraId="20F2B470" w14:textId="77777777" w:rsidR="00885663" w:rsidRDefault="00885663" w:rsidP="00885663">
      <w:pPr>
        <w:pStyle w:val="Bullet1"/>
      </w:pPr>
      <w:r>
        <w:t>Information regarding which school-level services were under the discretion of the central office versus school sites prior to and after implementation of the SBB system</w:t>
      </w:r>
    </w:p>
    <w:p w14:paraId="1A00EF14" w14:textId="09F2D71B" w:rsidR="00885663" w:rsidRDefault="00885663" w:rsidP="00885663">
      <w:pPr>
        <w:pStyle w:val="Bullet1"/>
      </w:pPr>
      <w:r>
        <w:t xml:space="preserve">Final audited end-of-year school-level fiscal files, including expenditures and revenues for at least five years prior to </w:t>
      </w:r>
      <w:r w:rsidR="001E5D6A">
        <w:t xml:space="preserve">WSF </w:t>
      </w:r>
      <w:r>
        <w:t>implementation and for at least five years after implementation (but ideally for all post-</w:t>
      </w:r>
      <w:r w:rsidR="001E5D6A">
        <w:t>WSF</w:t>
      </w:r>
      <w:r>
        <w:t xml:space="preserve"> years), recognizing that the five-year minimum may not be possible for districts that are more recent implementers</w:t>
      </w:r>
    </w:p>
    <w:p w14:paraId="30E08332" w14:textId="4432DA22" w:rsidR="00885663" w:rsidRDefault="00885663" w:rsidP="00885663">
      <w:pPr>
        <w:pStyle w:val="Bullet1"/>
      </w:pPr>
      <w:r>
        <w:t xml:space="preserve">School-level budgets and budget narratives for at least three years prior and three years after (if available) </w:t>
      </w:r>
      <w:r w:rsidR="001E5D6A">
        <w:t>WSF</w:t>
      </w:r>
      <w:r>
        <w:t xml:space="preserve"> implementation</w:t>
      </w:r>
    </w:p>
    <w:p w14:paraId="3015E018" w14:textId="77777777" w:rsidR="00885663" w:rsidRDefault="00885663" w:rsidP="00885663">
      <w:pPr>
        <w:pStyle w:val="Bullet1"/>
      </w:pPr>
      <w:r>
        <w:t>School improvement plans or other program plans</w:t>
      </w:r>
    </w:p>
    <w:p w14:paraId="5242C4C5" w14:textId="735CC425" w:rsidR="00885663" w:rsidRDefault="00885663" w:rsidP="00885663">
      <w:pPr>
        <w:pStyle w:val="BodyText"/>
      </w:pPr>
      <w:r>
        <w:t xml:space="preserve">RFDs will be sent to district staff via </w:t>
      </w:r>
      <w:r w:rsidR="00E041D1">
        <w:t>email</w:t>
      </w:r>
      <w:r>
        <w:t xml:space="preserve"> only after the district has agreed to participate. To place minimal burden on those providing the data, the study team will ask providers not to modify the information they provide but instead to send extant materials in the format most convenient for them. The RFD also will include instructions for providing this information via a File Transfer Protocol (FTP) site or other secure transfer method. The administration of the RFD will mark the beginning of the</w:t>
      </w:r>
      <w:r w:rsidR="001E5D6A">
        <w:t xml:space="preserve"> case study</w:t>
      </w:r>
      <w:r>
        <w:t xml:space="preserve"> data collection, which is </w:t>
      </w:r>
      <w:r w:rsidR="00031609">
        <w:t>expected to start in fall 2017.</w:t>
      </w:r>
    </w:p>
    <w:p w14:paraId="6683A16A" w14:textId="77777777" w:rsidR="00885663" w:rsidRDefault="00885663" w:rsidP="00885663">
      <w:pPr>
        <w:pStyle w:val="Heading3a"/>
      </w:pPr>
      <w:r>
        <w:t>Procedures for Case Study Site Visit and Interview Data Collection</w:t>
      </w:r>
    </w:p>
    <w:p w14:paraId="62D45644" w14:textId="0F416B99" w:rsidR="00885663" w:rsidRDefault="00885663" w:rsidP="00885663">
      <w:pPr>
        <w:pStyle w:val="BodyText"/>
        <w:rPr>
          <w:rStyle w:val="Heading5Char"/>
          <w:rFonts w:eastAsia="Calibri"/>
          <w:b w:val="0"/>
        </w:rPr>
      </w:pPr>
      <w:r>
        <w:rPr>
          <w:rStyle w:val="Heading5Char"/>
          <w:rFonts w:eastAsia="Calibri"/>
          <w:b w:val="0"/>
        </w:rPr>
        <w:t xml:space="preserve">In each case study district, the study team will conduct on-site interviews with a district program officer, district finance officer, and three school principals. Additionally, </w:t>
      </w:r>
      <w:r w:rsidR="00742B08">
        <w:rPr>
          <w:rStyle w:val="Heading5Char"/>
          <w:rFonts w:eastAsia="Calibri"/>
          <w:b w:val="0"/>
        </w:rPr>
        <w:t xml:space="preserve">if time permits </w:t>
      </w:r>
      <w:r>
        <w:rPr>
          <w:rStyle w:val="Heading5Char"/>
          <w:rFonts w:eastAsia="Calibri"/>
          <w:b w:val="0"/>
        </w:rPr>
        <w:t>the study team will hold on-site interviews with respondents in two of the following three groups—</w:t>
      </w:r>
      <w:r w:rsidRPr="003D3293">
        <w:rPr>
          <w:rStyle w:val="Heading5Char"/>
          <w:rFonts w:eastAsia="Calibri"/>
          <w:b w:val="0"/>
        </w:rPr>
        <w:t xml:space="preserve"> </w:t>
      </w:r>
      <w:r>
        <w:rPr>
          <w:rStyle w:val="Heading5Char"/>
          <w:rFonts w:eastAsia="Calibri"/>
          <w:b w:val="0"/>
        </w:rPr>
        <w:t xml:space="preserve">a union representative, school board member, or </w:t>
      </w:r>
      <w:r w:rsidR="0094671F">
        <w:rPr>
          <w:rStyle w:val="Heading5Char"/>
          <w:rFonts w:eastAsia="Calibri"/>
          <w:b w:val="0"/>
        </w:rPr>
        <w:t xml:space="preserve">an </w:t>
      </w:r>
      <w:r>
        <w:rPr>
          <w:rStyle w:val="Heading5Char"/>
          <w:rFonts w:eastAsia="Calibri"/>
          <w:b w:val="0"/>
        </w:rPr>
        <w:t xml:space="preserve">additional district administrator—depending on the union’s presence in the district and which respondents are most knowledgeable about </w:t>
      </w:r>
      <w:r w:rsidR="0094671F">
        <w:rPr>
          <w:rStyle w:val="Heading5Char"/>
          <w:rFonts w:eastAsia="Calibri"/>
          <w:b w:val="0"/>
        </w:rPr>
        <w:t>the WSF system</w:t>
      </w:r>
      <w:r>
        <w:rPr>
          <w:rStyle w:val="Heading5Char"/>
          <w:rFonts w:eastAsia="Calibri"/>
          <w:b w:val="0"/>
        </w:rPr>
        <w:t xml:space="preserve">. </w:t>
      </w:r>
      <w:r w:rsidR="00742B08">
        <w:rPr>
          <w:rStyle w:val="Heading5Char"/>
          <w:rFonts w:eastAsia="Calibri"/>
          <w:b w:val="0"/>
        </w:rPr>
        <w:t xml:space="preserve">If there is not enough time to perform these interviews on site, the research team will conduct the two interviews over the phone. </w:t>
      </w:r>
      <w:r>
        <w:rPr>
          <w:rStyle w:val="Heading5Char"/>
          <w:rFonts w:eastAsia="Calibri"/>
          <w:b w:val="0"/>
        </w:rPr>
        <w:t>As necessary, the study team will conduct follow-up telephone interviews for the purpose of obtaining key missing pieces of information, but we wi</w:t>
      </w:r>
      <w:r w:rsidR="0094671F">
        <w:rPr>
          <w:rStyle w:val="Heading5Char"/>
          <w:rFonts w:eastAsia="Calibri"/>
          <w:b w:val="0"/>
        </w:rPr>
        <w:t>ll seek to limit this practice.</w:t>
      </w:r>
    </w:p>
    <w:p w14:paraId="06FE6B17" w14:textId="77777777" w:rsidR="00885663" w:rsidRDefault="00885663" w:rsidP="00885663">
      <w:pPr>
        <w:pStyle w:val="BodyText"/>
      </w:pPr>
      <w:proofErr w:type="gramStart"/>
      <w:r>
        <w:rPr>
          <w:rStyle w:val="Heading5Char"/>
          <w:rFonts w:eastAsia="Calibri"/>
          <w:i/>
        </w:rPr>
        <w:t>Training for Site Visitors.</w:t>
      </w:r>
      <w:proofErr w:type="gramEnd"/>
      <w:r>
        <w:t xml:space="preserve"> Before site visits begin, all site visit staff will participate in a one-day in-person or webinar site visit training to ensure understanding of the purpose of the study, content of the protocols, and interview and site visit procedures. In addition, staff will discuss strategies for avoiding leading questions, ensuring consistency in data collection, and conducting interviews in a way that is conversational yet still directed toward collecting the intended information systematically. Important procedural issues to be addressed during training include guidelines for ensuring respondent privacy, guidelines for ensuring high-quality interview notes, and follow-up communications with district and school staff. Staff will be trained to probe thoroughly for detailed answers to questions and how to follow up on vague answers.</w:t>
      </w:r>
    </w:p>
    <w:p w14:paraId="695EF28C" w14:textId="780FAF09" w:rsidR="00885663" w:rsidRDefault="00885663" w:rsidP="00885663">
      <w:pPr>
        <w:pStyle w:val="BodyText"/>
      </w:pPr>
      <w:proofErr w:type="gramStart"/>
      <w:r>
        <w:rPr>
          <w:rStyle w:val="Heading5Char"/>
          <w:i/>
        </w:rPr>
        <w:t>Scheduling Site Visits and Interviews.</w:t>
      </w:r>
      <w:proofErr w:type="gramEnd"/>
      <w:r>
        <w:t xml:space="preserve"> To ensure the highest quality data collection, each site visit will be conducted by two site visitors. Each site visit pair will be responsible for scheduling the visits and interviews within those visits for their assigned sites. Because of differences in district sizes and structures, some job titles and roles of interviewees may vary across sites. Pairs will work with a point person in each district and school to identify the best respondents prior to the site visit and develop a site </w:t>
      </w:r>
      <w:r>
        <w:lastRenderedPageBreak/>
        <w:t>visit and interview schedule. We anticipate that each site visit will take only one day. Exhibit 5 presents a sample interview schedule during a site visit.</w:t>
      </w:r>
    </w:p>
    <w:p w14:paraId="7A8BD09A" w14:textId="77E3E8BC" w:rsidR="00885663" w:rsidRPr="00885663" w:rsidRDefault="00885663" w:rsidP="00885663">
      <w:pPr>
        <w:pStyle w:val="ExhibitTitle"/>
      </w:pPr>
      <w:proofErr w:type="gramStart"/>
      <w:r w:rsidRPr="00885663">
        <w:t>Exhibit 5.</w:t>
      </w:r>
      <w:proofErr w:type="gramEnd"/>
      <w:r w:rsidRPr="00885663">
        <w:t xml:space="preserve"> Sample Interview Schedule</w:t>
      </w:r>
    </w:p>
    <w:tbl>
      <w:tblPr>
        <w:tblStyle w:val="TableGrid"/>
        <w:tblW w:w="0" w:type="auto"/>
        <w:tblInd w:w="144" w:type="dxa"/>
        <w:tblLook w:val="04A0" w:firstRow="1" w:lastRow="0" w:firstColumn="1" w:lastColumn="0" w:noHBand="0" w:noVBand="1"/>
      </w:tblPr>
      <w:tblGrid>
        <w:gridCol w:w="5560"/>
        <w:gridCol w:w="2340"/>
      </w:tblGrid>
      <w:tr w:rsidR="00885663" w14:paraId="0DAE8D6E" w14:textId="77777777" w:rsidTr="00410478">
        <w:trPr>
          <w:tblHeader/>
        </w:trPr>
        <w:tc>
          <w:tcPr>
            <w:tcW w:w="5560" w:type="dxa"/>
            <w:shd w:val="clear" w:color="auto" w:fill="4F81BD" w:themeFill="accent1"/>
            <w:vAlign w:val="center"/>
          </w:tcPr>
          <w:p w14:paraId="60CEABCA" w14:textId="77777777" w:rsidR="00885663" w:rsidRDefault="00885663" w:rsidP="00410478">
            <w:pPr>
              <w:pStyle w:val="ExhibitHeading"/>
              <w:spacing w:before="40" w:after="40"/>
              <w:rPr>
                <w:rFonts w:asciiTheme="minorHAnsi" w:hAnsiTheme="minorHAnsi"/>
                <w:color w:val="FFFFFF" w:themeColor="background1"/>
              </w:rPr>
            </w:pPr>
            <w:r>
              <w:rPr>
                <w:rFonts w:asciiTheme="minorHAnsi" w:hAnsiTheme="minorHAnsi"/>
                <w:color w:val="FFFFFF" w:themeColor="background1"/>
              </w:rPr>
              <w:t>Task</w:t>
            </w:r>
          </w:p>
        </w:tc>
        <w:tc>
          <w:tcPr>
            <w:tcW w:w="2340" w:type="dxa"/>
            <w:shd w:val="clear" w:color="auto" w:fill="4F81BD" w:themeFill="accent1"/>
            <w:vAlign w:val="center"/>
          </w:tcPr>
          <w:p w14:paraId="73A14A5B" w14:textId="77777777" w:rsidR="00885663" w:rsidRDefault="00885663" w:rsidP="00410478">
            <w:pPr>
              <w:pStyle w:val="ExhibitHeading"/>
              <w:spacing w:before="40" w:after="40"/>
              <w:rPr>
                <w:rFonts w:asciiTheme="minorHAnsi" w:hAnsiTheme="minorHAnsi"/>
                <w:color w:val="FFFFFF" w:themeColor="background1"/>
              </w:rPr>
            </w:pPr>
            <w:r>
              <w:rPr>
                <w:rFonts w:asciiTheme="minorHAnsi" w:hAnsiTheme="minorHAnsi"/>
                <w:color w:val="FFFFFF" w:themeColor="background1"/>
              </w:rPr>
              <w:t>Time</w:t>
            </w:r>
          </w:p>
        </w:tc>
      </w:tr>
      <w:tr w:rsidR="00885663" w14:paraId="1C35BB90" w14:textId="77777777" w:rsidTr="00410478">
        <w:tc>
          <w:tcPr>
            <w:tcW w:w="7900" w:type="dxa"/>
            <w:gridSpan w:val="2"/>
            <w:shd w:val="clear" w:color="auto" w:fill="95B3D7" w:themeFill="accent1" w:themeFillTint="99"/>
            <w:vAlign w:val="center"/>
          </w:tcPr>
          <w:p w14:paraId="7C747EE9" w14:textId="77777777" w:rsidR="00885663" w:rsidRDefault="00885663" w:rsidP="00410478">
            <w:pPr>
              <w:pStyle w:val="ExhibitHeading"/>
              <w:spacing w:before="40" w:after="40"/>
              <w:rPr>
                <w:rFonts w:asciiTheme="minorHAnsi" w:hAnsiTheme="minorHAnsi"/>
              </w:rPr>
            </w:pPr>
            <w:r>
              <w:rPr>
                <w:rFonts w:asciiTheme="minorHAnsi" w:hAnsiTheme="minorHAnsi"/>
              </w:rPr>
              <w:t>On-Site During Visit</w:t>
            </w:r>
          </w:p>
        </w:tc>
      </w:tr>
      <w:tr w:rsidR="00885663" w14:paraId="786BD89D" w14:textId="77777777" w:rsidTr="00410478">
        <w:tc>
          <w:tcPr>
            <w:tcW w:w="5560" w:type="dxa"/>
            <w:vAlign w:val="center"/>
          </w:tcPr>
          <w:p w14:paraId="54695429" w14:textId="77777777" w:rsidR="00885663" w:rsidRDefault="00885663" w:rsidP="00410478">
            <w:pPr>
              <w:pStyle w:val="ExhibitText"/>
              <w:spacing w:before="40" w:after="40"/>
              <w:rPr>
                <w:rFonts w:asciiTheme="minorHAnsi" w:hAnsiTheme="minorHAnsi"/>
              </w:rPr>
            </w:pPr>
            <w:r>
              <w:rPr>
                <w:rFonts w:asciiTheme="minorHAnsi" w:hAnsiTheme="minorHAnsi"/>
              </w:rPr>
              <w:t>Interview with district program officer</w:t>
            </w:r>
          </w:p>
        </w:tc>
        <w:tc>
          <w:tcPr>
            <w:tcW w:w="2340" w:type="dxa"/>
            <w:vAlign w:val="center"/>
          </w:tcPr>
          <w:p w14:paraId="67CE825B" w14:textId="6DE73473" w:rsidR="00885663" w:rsidRDefault="002F2733" w:rsidP="00410478">
            <w:pPr>
              <w:pStyle w:val="ExhibitText"/>
              <w:spacing w:before="40" w:after="40"/>
              <w:rPr>
                <w:rFonts w:asciiTheme="minorHAnsi" w:hAnsiTheme="minorHAnsi"/>
              </w:rPr>
            </w:pPr>
            <w:r>
              <w:rPr>
                <w:rFonts w:asciiTheme="minorHAnsi" w:hAnsiTheme="minorHAnsi"/>
              </w:rPr>
              <w:t>7:30</w:t>
            </w:r>
            <w:r w:rsidR="00885663">
              <w:rPr>
                <w:rFonts w:asciiTheme="minorHAnsi" w:hAnsiTheme="minorHAnsi"/>
              </w:rPr>
              <w:t>–9:00 a.m.</w:t>
            </w:r>
          </w:p>
        </w:tc>
      </w:tr>
      <w:tr w:rsidR="00885663" w14:paraId="2AE27957" w14:textId="77777777" w:rsidTr="00410478">
        <w:tc>
          <w:tcPr>
            <w:tcW w:w="5560" w:type="dxa"/>
            <w:vAlign w:val="center"/>
          </w:tcPr>
          <w:p w14:paraId="5C61ED07" w14:textId="77777777" w:rsidR="00885663" w:rsidRDefault="00885663" w:rsidP="00410478">
            <w:pPr>
              <w:pStyle w:val="ExhibitText"/>
              <w:spacing w:before="40" w:after="40"/>
              <w:rPr>
                <w:rFonts w:asciiTheme="minorHAnsi" w:hAnsiTheme="minorHAnsi"/>
              </w:rPr>
            </w:pPr>
            <w:r>
              <w:rPr>
                <w:rFonts w:asciiTheme="minorHAnsi" w:hAnsiTheme="minorHAnsi"/>
              </w:rPr>
              <w:t>Interview with district finance officer</w:t>
            </w:r>
          </w:p>
        </w:tc>
        <w:tc>
          <w:tcPr>
            <w:tcW w:w="2340" w:type="dxa"/>
            <w:vAlign w:val="center"/>
          </w:tcPr>
          <w:p w14:paraId="33CF1842" w14:textId="59D40168" w:rsidR="00885663" w:rsidRDefault="00885663" w:rsidP="00410478">
            <w:pPr>
              <w:pStyle w:val="ExhibitText"/>
              <w:spacing w:before="40" w:after="40"/>
              <w:rPr>
                <w:rFonts w:asciiTheme="minorHAnsi" w:hAnsiTheme="minorHAnsi"/>
              </w:rPr>
            </w:pPr>
            <w:r>
              <w:rPr>
                <w:rFonts w:asciiTheme="minorHAnsi" w:hAnsiTheme="minorHAnsi"/>
              </w:rPr>
              <w:t>9:00–</w:t>
            </w:r>
            <w:r w:rsidR="002F2733">
              <w:rPr>
                <w:rFonts w:asciiTheme="minorHAnsi" w:hAnsiTheme="minorHAnsi"/>
              </w:rPr>
              <w:t>10:00</w:t>
            </w:r>
            <w:r>
              <w:rPr>
                <w:rFonts w:asciiTheme="minorHAnsi" w:hAnsiTheme="minorHAnsi"/>
              </w:rPr>
              <w:t xml:space="preserve"> a.m.</w:t>
            </w:r>
          </w:p>
        </w:tc>
      </w:tr>
      <w:tr w:rsidR="00885663" w14:paraId="1AEA8A37" w14:textId="77777777" w:rsidTr="00410478">
        <w:tc>
          <w:tcPr>
            <w:tcW w:w="5560" w:type="dxa"/>
            <w:vAlign w:val="center"/>
          </w:tcPr>
          <w:p w14:paraId="4D55BE85" w14:textId="77777777" w:rsidR="00885663" w:rsidRDefault="00885663" w:rsidP="00410478">
            <w:pPr>
              <w:pStyle w:val="ExhibitText"/>
              <w:spacing w:before="40" w:after="40"/>
              <w:rPr>
                <w:rFonts w:asciiTheme="minorHAnsi" w:hAnsiTheme="minorHAnsi"/>
              </w:rPr>
            </w:pPr>
            <w:r>
              <w:rPr>
                <w:rFonts w:asciiTheme="minorHAnsi" w:hAnsiTheme="minorHAnsi"/>
              </w:rPr>
              <w:t>Interview with union representative</w:t>
            </w:r>
          </w:p>
        </w:tc>
        <w:tc>
          <w:tcPr>
            <w:tcW w:w="2340" w:type="dxa"/>
            <w:vAlign w:val="center"/>
          </w:tcPr>
          <w:p w14:paraId="6D7ACBD5" w14:textId="7C0D146D" w:rsidR="00885663" w:rsidRDefault="002F2733" w:rsidP="00410478">
            <w:pPr>
              <w:pStyle w:val="ExhibitText"/>
              <w:spacing w:before="40" w:after="40"/>
              <w:rPr>
                <w:rFonts w:asciiTheme="minorHAnsi" w:hAnsiTheme="minorHAnsi"/>
              </w:rPr>
            </w:pPr>
            <w:r>
              <w:rPr>
                <w:rFonts w:asciiTheme="minorHAnsi" w:hAnsiTheme="minorHAnsi"/>
              </w:rPr>
              <w:t>10:00</w:t>
            </w:r>
            <w:r w:rsidR="00885663">
              <w:rPr>
                <w:rFonts w:asciiTheme="minorHAnsi" w:hAnsiTheme="minorHAnsi"/>
              </w:rPr>
              <w:t>-10:</w:t>
            </w:r>
            <w:r>
              <w:rPr>
                <w:rFonts w:asciiTheme="minorHAnsi" w:hAnsiTheme="minorHAnsi"/>
              </w:rPr>
              <w:t>45</w:t>
            </w:r>
            <w:r w:rsidR="00885663">
              <w:rPr>
                <w:rFonts w:asciiTheme="minorHAnsi" w:hAnsiTheme="minorHAnsi"/>
              </w:rPr>
              <w:t xml:space="preserve"> a.m.</w:t>
            </w:r>
          </w:p>
        </w:tc>
      </w:tr>
      <w:tr w:rsidR="00885663" w14:paraId="24550ACF" w14:textId="77777777" w:rsidTr="00410478">
        <w:tc>
          <w:tcPr>
            <w:tcW w:w="5560" w:type="dxa"/>
            <w:vAlign w:val="center"/>
          </w:tcPr>
          <w:p w14:paraId="32C51FBF" w14:textId="77777777" w:rsidR="00885663" w:rsidRDefault="00885663" w:rsidP="00410478">
            <w:pPr>
              <w:pStyle w:val="ExhibitText"/>
              <w:spacing w:before="40" w:after="40"/>
              <w:rPr>
                <w:rFonts w:asciiTheme="minorHAnsi" w:hAnsiTheme="minorHAnsi"/>
              </w:rPr>
            </w:pPr>
            <w:r>
              <w:rPr>
                <w:rFonts w:asciiTheme="minorHAnsi" w:hAnsiTheme="minorHAnsi"/>
              </w:rPr>
              <w:t>Interview with school board member</w:t>
            </w:r>
          </w:p>
        </w:tc>
        <w:tc>
          <w:tcPr>
            <w:tcW w:w="2340" w:type="dxa"/>
            <w:vAlign w:val="center"/>
          </w:tcPr>
          <w:p w14:paraId="4F5FABF7" w14:textId="47357958" w:rsidR="00885663" w:rsidRDefault="00885663" w:rsidP="00410478">
            <w:pPr>
              <w:pStyle w:val="ExhibitText"/>
              <w:spacing w:before="40" w:after="40"/>
              <w:rPr>
                <w:rFonts w:asciiTheme="minorHAnsi" w:hAnsiTheme="minorHAnsi"/>
              </w:rPr>
            </w:pPr>
            <w:r>
              <w:rPr>
                <w:rFonts w:asciiTheme="minorHAnsi" w:hAnsiTheme="minorHAnsi"/>
              </w:rPr>
              <w:t>10:</w:t>
            </w:r>
            <w:r w:rsidR="002F2733">
              <w:rPr>
                <w:rFonts w:asciiTheme="minorHAnsi" w:hAnsiTheme="minorHAnsi"/>
              </w:rPr>
              <w:t>45</w:t>
            </w:r>
            <w:r>
              <w:rPr>
                <w:rFonts w:asciiTheme="minorHAnsi" w:hAnsiTheme="minorHAnsi"/>
              </w:rPr>
              <w:t>–11:1</w:t>
            </w:r>
            <w:r w:rsidR="002F2733">
              <w:rPr>
                <w:rFonts w:asciiTheme="minorHAnsi" w:hAnsiTheme="minorHAnsi"/>
              </w:rPr>
              <w:t>30</w:t>
            </w:r>
            <w:r>
              <w:rPr>
                <w:rFonts w:asciiTheme="minorHAnsi" w:hAnsiTheme="minorHAnsi"/>
              </w:rPr>
              <w:t xml:space="preserve"> a.m.</w:t>
            </w:r>
          </w:p>
        </w:tc>
      </w:tr>
      <w:tr w:rsidR="00885663" w14:paraId="6821C10D" w14:textId="77777777" w:rsidTr="00410478">
        <w:tc>
          <w:tcPr>
            <w:tcW w:w="5560" w:type="dxa"/>
            <w:vAlign w:val="center"/>
          </w:tcPr>
          <w:p w14:paraId="6D8C6623" w14:textId="77777777" w:rsidR="00885663" w:rsidRDefault="00885663" w:rsidP="00410478">
            <w:pPr>
              <w:pStyle w:val="ExhibitText"/>
              <w:spacing w:before="40" w:after="40"/>
              <w:rPr>
                <w:rFonts w:asciiTheme="minorHAnsi" w:hAnsiTheme="minorHAnsi"/>
              </w:rPr>
            </w:pPr>
            <w:r>
              <w:rPr>
                <w:rFonts w:asciiTheme="minorHAnsi" w:hAnsiTheme="minorHAnsi"/>
              </w:rPr>
              <w:t>Interview with school principal 1</w:t>
            </w:r>
          </w:p>
        </w:tc>
        <w:tc>
          <w:tcPr>
            <w:tcW w:w="2340" w:type="dxa"/>
            <w:vAlign w:val="center"/>
          </w:tcPr>
          <w:p w14:paraId="3E373CBC" w14:textId="7A878588" w:rsidR="00885663" w:rsidRDefault="00885663" w:rsidP="00410478">
            <w:pPr>
              <w:pStyle w:val="ExhibitText"/>
              <w:spacing w:before="40" w:after="40"/>
              <w:rPr>
                <w:rFonts w:asciiTheme="minorHAnsi" w:hAnsiTheme="minorHAnsi"/>
              </w:rPr>
            </w:pPr>
            <w:r>
              <w:rPr>
                <w:rFonts w:asciiTheme="minorHAnsi" w:hAnsiTheme="minorHAnsi"/>
              </w:rPr>
              <w:t>11:</w:t>
            </w:r>
            <w:r w:rsidR="002F2733">
              <w:rPr>
                <w:rFonts w:asciiTheme="minorHAnsi" w:hAnsiTheme="minorHAnsi"/>
              </w:rPr>
              <w:t>45</w:t>
            </w:r>
            <w:r>
              <w:rPr>
                <w:rFonts w:asciiTheme="minorHAnsi" w:hAnsiTheme="minorHAnsi"/>
              </w:rPr>
              <w:t xml:space="preserve"> a.m.–12:</w:t>
            </w:r>
            <w:r w:rsidR="002F2733">
              <w:rPr>
                <w:rFonts w:asciiTheme="minorHAnsi" w:hAnsiTheme="minorHAnsi"/>
              </w:rPr>
              <w:t>45</w:t>
            </w:r>
            <w:r>
              <w:rPr>
                <w:rFonts w:asciiTheme="minorHAnsi" w:hAnsiTheme="minorHAnsi"/>
              </w:rPr>
              <w:t xml:space="preserve"> p.m.</w:t>
            </w:r>
          </w:p>
        </w:tc>
      </w:tr>
      <w:tr w:rsidR="00885663" w14:paraId="50ED1248" w14:textId="77777777" w:rsidTr="00410478">
        <w:tc>
          <w:tcPr>
            <w:tcW w:w="7900" w:type="dxa"/>
            <w:gridSpan w:val="2"/>
            <w:vAlign w:val="center"/>
          </w:tcPr>
          <w:p w14:paraId="71F7F7DF" w14:textId="3C1AB9BA" w:rsidR="00885663" w:rsidRDefault="00885663" w:rsidP="00410478">
            <w:pPr>
              <w:pStyle w:val="ExhibitText"/>
              <w:spacing w:before="40" w:after="40"/>
              <w:rPr>
                <w:rFonts w:asciiTheme="minorHAnsi" w:hAnsiTheme="minorHAnsi"/>
              </w:rPr>
            </w:pPr>
            <w:r>
              <w:rPr>
                <w:rFonts w:asciiTheme="minorHAnsi" w:hAnsiTheme="minorHAnsi"/>
                <w:i/>
              </w:rPr>
              <w:t>Lunch break</w:t>
            </w:r>
            <w:r w:rsidR="009E23C9">
              <w:rPr>
                <w:rFonts w:asciiTheme="minorHAnsi" w:hAnsiTheme="minorHAnsi"/>
                <w:i/>
              </w:rPr>
              <w:t>/ travel to school 2</w:t>
            </w:r>
          </w:p>
        </w:tc>
      </w:tr>
      <w:tr w:rsidR="00885663" w14:paraId="44FA06A1" w14:textId="77777777" w:rsidTr="00410478">
        <w:trPr>
          <w:trHeight w:val="224"/>
        </w:trPr>
        <w:tc>
          <w:tcPr>
            <w:tcW w:w="5560" w:type="dxa"/>
            <w:vAlign w:val="center"/>
          </w:tcPr>
          <w:p w14:paraId="31E34021" w14:textId="77777777" w:rsidR="00885663" w:rsidRDefault="00885663" w:rsidP="00410478">
            <w:pPr>
              <w:pStyle w:val="ExhibitText"/>
              <w:spacing w:before="40" w:after="40"/>
              <w:rPr>
                <w:rFonts w:asciiTheme="minorHAnsi" w:hAnsiTheme="minorHAnsi"/>
              </w:rPr>
            </w:pPr>
            <w:r>
              <w:rPr>
                <w:rFonts w:asciiTheme="minorHAnsi" w:hAnsiTheme="minorHAnsi"/>
              </w:rPr>
              <w:t>Interview with school principal 2</w:t>
            </w:r>
          </w:p>
        </w:tc>
        <w:tc>
          <w:tcPr>
            <w:tcW w:w="2340" w:type="dxa"/>
            <w:vAlign w:val="center"/>
          </w:tcPr>
          <w:p w14:paraId="76200202" w14:textId="773300B6" w:rsidR="00885663" w:rsidRDefault="00885663" w:rsidP="00410478">
            <w:pPr>
              <w:pStyle w:val="ExhibitText"/>
              <w:spacing w:before="40" w:after="40"/>
              <w:rPr>
                <w:rFonts w:asciiTheme="minorHAnsi" w:hAnsiTheme="minorHAnsi"/>
              </w:rPr>
            </w:pPr>
            <w:r>
              <w:rPr>
                <w:rFonts w:asciiTheme="minorHAnsi" w:hAnsiTheme="minorHAnsi"/>
              </w:rPr>
              <w:t>1:</w:t>
            </w:r>
            <w:r w:rsidR="002F2733">
              <w:rPr>
                <w:rFonts w:asciiTheme="minorHAnsi" w:hAnsiTheme="minorHAnsi"/>
              </w:rPr>
              <w:t>15</w:t>
            </w:r>
            <w:r>
              <w:rPr>
                <w:rFonts w:asciiTheme="minorHAnsi" w:hAnsiTheme="minorHAnsi"/>
              </w:rPr>
              <w:t>–2:</w:t>
            </w:r>
            <w:r w:rsidR="002F2733">
              <w:rPr>
                <w:rFonts w:asciiTheme="minorHAnsi" w:hAnsiTheme="minorHAnsi"/>
              </w:rPr>
              <w:t>15</w:t>
            </w:r>
            <w:r>
              <w:rPr>
                <w:rFonts w:asciiTheme="minorHAnsi" w:hAnsiTheme="minorHAnsi"/>
              </w:rPr>
              <w:t xml:space="preserve"> p.m.</w:t>
            </w:r>
          </w:p>
        </w:tc>
      </w:tr>
      <w:tr w:rsidR="009E23C9" w14:paraId="1480A22C" w14:textId="77777777" w:rsidTr="00410478">
        <w:trPr>
          <w:trHeight w:val="224"/>
        </w:trPr>
        <w:tc>
          <w:tcPr>
            <w:tcW w:w="5560" w:type="dxa"/>
            <w:vAlign w:val="center"/>
          </w:tcPr>
          <w:p w14:paraId="3B9474D6" w14:textId="28E08A93" w:rsidR="009E23C9" w:rsidRPr="009E23C9" w:rsidRDefault="009E23C9" w:rsidP="00410478">
            <w:pPr>
              <w:pStyle w:val="ExhibitText"/>
              <w:spacing w:before="40" w:after="40"/>
              <w:rPr>
                <w:rFonts w:asciiTheme="minorHAnsi" w:hAnsiTheme="minorHAnsi"/>
                <w:i/>
              </w:rPr>
            </w:pPr>
            <w:r>
              <w:rPr>
                <w:rFonts w:asciiTheme="minorHAnsi" w:hAnsiTheme="minorHAnsi"/>
                <w:i/>
              </w:rPr>
              <w:t>Travel to school 3</w:t>
            </w:r>
          </w:p>
        </w:tc>
        <w:tc>
          <w:tcPr>
            <w:tcW w:w="2340" w:type="dxa"/>
            <w:vAlign w:val="center"/>
          </w:tcPr>
          <w:p w14:paraId="49531CB2" w14:textId="77777777" w:rsidR="009E23C9" w:rsidRDefault="009E23C9" w:rsidP="00410478">
            <w:pPr>
              <w:pStyle w:val="ExhibitText"/>
              <w:spacing w:before="40" w:after="40"/>
              <w:rPr>
                <w:rFonts w:asciiTheme="minorHAnsi" w:hAnsiTheme="minorHAnsi"/>
              </w:rPr>
            </w:pPr>
          </w:p>
        </w:tc>
      </w:tr>
      <w:tr w:rsidR="0029746D" w14:paraId="4294CA14" w14:textId="77777777" w:rsidTr="00410478">
        <w:tc>
          <w:tcPr>
            <w:tcW w:w="5560" w:type="dxa"/>
            <w:vAlign w:val="center"/>
          </w:tcPr>
          <w:p w14:paraId="38F374AF" w14:textId="77777777" w:rsidR="0029746D" w:rsidRDefault="0029746D" w:rsidP="00410478">
            <w:pPr>
              <w:pStyle w:val="ExhibitText"/>
              <w:spacing w:before="40" w:after="40"/>
              <w:rPr>
                <w:rFonts w:asciiTheme="minorHAnsi" w:hAnsiTheme="minorHAnsi"/>
              </w:rPr>
            </w:pPr>
            <w:r>
              <w:rPr>
                <w:rFonts w:asciiTheme="minorHAnsi" w:hAnsiTheme="minorHAnsi"/>
              </w:rPr>
              <w:t>Interview with school principal 3</w:t>
            </w:r>
          </w:p>
        </w:tc>
        <w:tc>
          <w:tcPr>
            <w:tcW w:w="2340" w:type="dxa"/>
            <w:vAlign w:val="center"/>
          </w:tcPr>
          <w:p w14:paraId="6ED027D3" w14:textId="2DC57098" w:rsidR="0029746D" w:rsidRDefault="0029746D" w:rsidP="00410478">
            <w:pPr>
              <w:pStyle w:val="ExhibitText"/>
              <w:spacing w:before="40" w:after="40"/>
              <w:rPr>
                <w:rFonts w:asciiTheme="minorHAnsi" w:hAnsiTheme="minorHAnsi"/>
              </w:rPr>
            </w:pPr>
            <w:r>
              <w:rPr>
                <w:rFonts w:asciiTheme="minorHAnsi" w:hAnsiTheme="minorHAnsi"/>
              </w:rPr>
              <w:t>2:</w:t>
            </w:r>
            <w:r w:rsidR="002F2733">
              <w:rPr>
                <w:rFonts w:asciiTheme="minorHAnsi" w:hAnsiTheme="minorHAnsi"/>
              </w:rPr>
              <w:t>45</w:t>
            </w:r>
            <w:r>
              <w:rPr>
                <w:rFonts w:asciiTheme="minorHAnsi" w:hAnsiTheme="minorHAnsi"/>
              </w:rPr>
              <w:t>–3:</w:t>
            </w:r>
            <w:r w:rsidR="002F2733">
              <w:rPr>
                <w:rFonts w:asciiTheme="minorHAnsi" w:hAnsiTheme="minorHAnsi"/>
              </w:rPr>
              <w:t>45</w:t>
            </w:r>
            <w:r>
              <w:rPr>
                <w:rFonts w:asciiTheme="minorHAnsi" w:hAnsiTheme="minorHAnsi"/>
              </w:rPr>
              <w:t xml:space="preserve"> p.m.</w:t>
            </w:r>
          </w:p>
        </w:tc>
      </w:tr>
    </w:tbl>
    <w:p w14:paraId="5C4CB2BC" w14:textId="11CC5E4E" w:rsidR="002F2733" w:rsidRDefault="00885663" w:rsidP="00910D1F">
      <w:pPr>
        <w:pStyle w:val="BodyText"/>
        <w:spacing w:before="240"/>
      </w:pPr>
      <w:proofErr w:type="gramStart"/>
      <w:r>
        <w:rPr>
          <w:rStyle w:val="Heading5Char"/>
          <w:i/>
        </w:rPr>
        <w:t>Conducting Interviews.</w:t>
      </w:r>
      <w:proofErr w:type="gramEnd"/>
      <w:r>
        <w:t xml:space="preserve"> Before visiting sites, we will </w:t>
      </w:r>
      <w:r w:rsidR="002F2733">
        <w:t>ask the district official in each case study district most knowledgeable about the WSF system to complete</w:t>
      </w:r>
      <w:r>
        <w:t xml:space="preserve"> </w:t>
      </w:r>
      <w:r w:rsidR="0029746D">
        <w:t>a</w:t>
      </w:r>
      <w:r>
        <w:t xml:space="preserve"> </w:t>
      </w:r>
      <w:proofErr w:type="spellStart"/>
      <w:r>
        <w:t>preinterview</w:t>
      </w:r>
      <w:proofErr w:type="spellEnd"/>
      <w:r>
        <w:t xml:space="preserve"> questionnaire through a simple Web survey platform such as Survey Gizmo. Th</w:t>
      </w:r>
      <w:r w:rsidR="0029746D">
        <w:t>e</w:t>
      </w:r>
      <w:r>
        <w:t xml:space="preserve"> information </w:t>
      </w:r>
      <w:r w:rsidR="0029746D">
        <w:t xml:space="preserve">gathered </w:t>
      </w:r>
      <w:r>
        <w:t xml:space="preserve">will provide the research team with an initial introduction to each case study district’s WSF system, including the structure of the WSF formula, longevity of the system, and challenges the district has experienced implementing the system. Site visitors will review information from extant documents collected through the RFD and the </w:t>
      </w:r>
      <w:proofErr w:type="spellStart"/>
      <w:r>
        <w:t>preinterview</w:t>
      </w:r>
      <w:proofErr w:type="spellEnd"/>
      <w:r>
        <w:t xml:space="preserve"> questionnaires as to help inform</w:t>
      </w:r>
      <w:r w:rsidR="002F2733">
        <w:t xml:space="preserve"> and save time during</w:t>
      </w:r>
      <w:r>
        <w:t xml:space="preserve"> the interviews that will take place during the site visit.</w:t>
      </w:r>
      <w:r w:rsidR="002F2733">
        <w:t xml:space="preserve"> </w:t>
      </w:r>
    </w:p>
    <w:p w14:paraId="55D05EF6" w14:textId="48DDC557" w:rsidR="00885663" w:rsidRDefault="00885663" w:rsidP="00885663">
      <w:pPr>
        <w:pStyle w:val="BodyText"/>
      </w:pPr>
      <w:r>
        <w:t xml:space="preserve">Interview protocols will be designed to elicit clear, specific, and detailed information from respondents. However, interview responses can be difficult to interpret when acronyms are used or prior knowledge is assumed. The study team will seek detailed responses from interviewees; when responses are vague, interviewers will probe carefully and thoroughly as trained using probes contained in the protocols and strategies covered in the site visitor training. If it becomes clear during the analysis process that information provided by the respondent does not fully address the question, the team will contact the respondent again to ask clarifying questions via phone or </w:t>
      </w:r>
      <w:r w:rsidR="00E041D1">
        <w:t>email</w:t>
      </w:r>
      <w:r>
        <w:t>. During data collection, we will ask permission from all respondents to contact them later with</w:t>
      </w:r>
      <w:r w:rsidR="00031609">
        <w:t xml:space="preserve"> follow-up questions if needed.</w:t>
      </w:r>
    </w:p>
    <w:p w14:paraId="35D7D45E" w14:textId="69F6E725" w:rsidR="00885663" w:rsidRDefault="00885663" w:rsidP="00885663">
      <w:pPr>
        <w:pStyle w:val="BodyText"/>
        <w:rPr>
          <w:szCs w:val="22"/>
          <w:highlight w:val="yellow"/>
        </w:rPr>
      </w:pPr>
      <w:proofErr w:type="gramStart"/>
      <w:r>
        <w:rPr>
          <w:rStyle w:val="Heading5Char"/>
          <w:i/>
        </w:rPr>
        <w:t>Data Management.</w:t>
      </w:r>
      <w:proofErr w:type="gramEnd"/>
      <w:r>
        <w:rPr>
          <w:b/>
          <w:i/>
        </w:rPr>
        <w:t xml:space="preserve"> </w:t>
      </w:r>
      <w:r>
        <w:t>In preparation for the site visits and while on-site, the study team will use Microsoft OneNote to organize extant data, interview protocols, and audio files. OneNote enables audio data to be synchronized with interview notes, allowing the researchers to create an accurate transcript of each interview or focus group. The study team will</w:t>
      </w:r>
      <w:r w:rsidR="002F2733">
        <w:t xml:space="preserve"> record each interview (pending consent of the interviewee) and</w:t>
      </w:r>
      <w:r>
        <w:t xml:space="preserve"> send the audio files to a professional transcription service. </w:t>
      </w:r>
      <w:r w:rsidR="002F2733">
        <w:t>The contractor</w:t>
      </w:r>
      <w:r>
        <w:t xml:space="preserve"> will </w:t>
      </w:r>
      <w:r w:rsidR="002F2733">
        <w:t xml:space="preserve">then </w:t>
      </w:r>
      <w:r>
        <w:t>prepare de-identified transcripts for delivery to PPSS to enable them to monitor the completeness of</w:t>
      </w:r>
      <w:r w:rsidR="00031609">
        <w:t xml:space="preserve"> the response to each question.</w:t>
      </w:r>
    </w:p>
    <w:p w14:paraId="33FADB30" w14:textId="7EE864DB" w:rsidR="00885663" w:rsidRDefault="00885663" w:rsidP="00885663">
      <w:pPr>
        <w:pStyle w:val="BodyText"/>
      </w:pPr>
      <w:r>
        <w:t xml:space="preserve">Extant data will be received through multiple vehicles, sometimes by </w:t>
      </w:r>
      <w:r w:rsidR="00E041D1">
        <w:t>email</w:t>
      </w:r>
      <w:r>
        <w:t xml:space="preserve">, sometimes through FTP site, and, if needed, by mail on a disk. We anticipate receiving documents and files in multiple rounds and over the course of about a one-month period. A research assistant on the team, designated as the extant data manager, will carefully track these incoming data and save them in district-specific folders in the project’s </w:t>
      </w:r>
      <w:r>
        <w:lastRenderedPageBreak/>
        <w:t>folder on a secure network drive. Only study team members who have been trained in data security procedures will have access to these folders. Once final documents have been received from a given site, they will be copied into OneNote so that all relevant documents are in one place for each case.</w:t>
      </w:r>
    </w:p>
    <w:p w14:paraId="39B78D64" w14:textId="77777777" w:rsidR="00885663" w:rsidRDefault="00885663" w:rsidP="00885663">
      <w:pPr>
        <w:pStyle w:val="BodyText"/>
      </w:pPr>
      <w:proofErr w:type="gramStart"/>
      <w:r>
        <w:rPr>
          <w:rStyle w:val="Heading5Char"/>
          <w:i/>
        </w:rPr>
        <w:t>Quality Control.</w:t>
      </w:r>
      <w:proofErr w:type="gramEnd"/>
      <w:r>
        <w:t xml:space="preserve"> The case study site visit and interview data collection process will include the following quality control procedures: (1) weekly site visit debriefings among the team to identify and discuss logistical and data collection concerns; (2) a formal tracking system to ensure that we are collecting all parts of the required data from each site; and (3) adherence to the timely cleaning and posting of interview notes and written observations, as well as interview audio transcripts, to a secure project website for task leaders to check for completeness and consistency.</w:t>
      </w:r>
    </w:p>
    <w:p w14:paraId="697EF74B" w14:textId="4F2AD7E5" w:rsidR="0057547B" w:rsidRDefault="000C6EF4">
      <w:pPr>
        <w:pStyle w:val="Heading3"/>
      </w:pPr>
      <w:bookmarkStart w:id="25" w:name="_Toc274743226"/>
      <w:bookmarkStart w:id="26" w:name="_Toc482978872"/>
      <w:bookmarkEnd w:id="24"/>
      <w:r>
        <w:t>3</w:t>
      </w:r>
      <w:bookmarkEnd w:id="25"/>
      <w:r>
        <w:t xml:space="preserve">. </w:t>
      </w:r>
      <w:r w:rsidRPr="00A55580">
        <w:t>Methods to Maximize Response Rate</w:t>
      </w:r>
      <w:r w:rsidR="00AF038B">
        <w:t>s</w:t>
      </w:r>
      <w:r w:rsidR="002F2733">
        <w:t xml:space="preserve"> in the Survey</w:t>
      </w:r>
      <w:bookmarkEnd w:id="26"/>
    </w:p>
    <w:p w14:paraId="1166B67E" w14:textId="5B11BE69" w:rsidR="00263D5B" w:rsidRDefault="00263D5B" w:rsidP="0040345E">
      <w:pPr>
        <w:pStyle w:val="BodyText"/>
        <w:spacing w:after="120"/>
      </w:pPr>
      <w:proofErr w:type="gramStart"/>
      <w:r>
        <w:rPr>
          <w:b/>
          <w:i/>
        </w:rPr>
        <w:t>Response Rates and Nonresponse Bias.</w:t>
      </w:r>
      <w:proofErr w:type="gramEnd"/>
      <w:r>
        <w:rPr>
          <w:i/>
        </w:rPr>
        <w:t xml:space="preserve"> </w:t>
      </w:r>
      <w:r>
        <w:t>In contrast to many other PPSS studies in which grantees are required by law to participate, this study is voluntary. When sampled district staff and principals refuse to participate, we will make many attempts to convert their refusal to cooperation using evidence-based methods as described below. We expect to see increases in response rates as a result of these design features, but we expect that response rates will be lower than mandatory PPSS studies.</w:t>
      </w:r>
    </w:p>
    <w:p w14:paraId="2C73A9BC" w14:textId="6C1CEB20" w:rsidR="00263D5B" w:rsidRDefault="00263D5B" w:rsidP="0040345E">
      <w:pPr>
        <w:pStyle w:val="BodyText"/>
        <w:spacing w:after="120"/>
      </w:pPr>
      <w:r>
        <w:t xml:space="preserve">Still, although the response rate is an important data quality indicator, its relationship with nonresponse error is tenuous, as nonresponse error only occurs when the </w:t>
      </w:r>
      <w:proofErr w:type="spellStart"/>
      <w:r>
        <w:t>nonrespondents</w:t>
      </w:r>
      <w:proofErr w:type="spellEnd"/>
      <w:r>
        <w:t xml:space="preserve"> differ systematically from respondents on characteristics of interest</w:t>
      </w:r>
      <w:r w:rsidR="00E47C0B">
        <w:t xml:space="preserve"> (Groves, 2006; Groves and </w:t>
      </w:r>
      <w:proofErr w:type="spellStart"/>
      <w:r w:rsidR="00E47C0B">
        <w:t>Peytcheva</w:t>
      </w:r>
      <w:proofErr w:type="spellEnd"/>
      <w:r w:rsidR="00E47C0B">
        <w:t>, 2008)</w:t>
      </w:r>
      <w:r>
        <w:t xml:space="preserve">. The study team will make weighting adjustments to reduce nonresponse error as </w:t>
      </w:r>
      <w:r w:rsidR="00E47C0B">
        <w:t>described</w:t>
      </w:r>
      <w:r>
        <w:t xml:space="preserve"> in the Sampling Design section in Part A.</w:t>
      </w:r>
    </w:p>
    <w:p w14:paraId="37419B65" w14:textId="595218A5" w:rsidR="00263D5B" w:rsidRDefault="00E47C0B" w:rsidP="00263D5B">
      <w:pPr>
        <w:pStyle w:val="BodyText"/>
        <w:rPr>
          <w:rStyle w:val="Heading5Char"/>
          <w:b w:val="0"/>
        </w:rPr>
      </w:pPr>
      <w:r>
        <w:rPr>
          <w:rStyle w:val="Heading5Char"/>
          <w:b w:val="0"/>
        </w:rPr>
        <w:t>In addition to post-survey weighting adjustments, t</w:t>
      </w:r>
      <w:r w:rsidR="00263D5B">
        <w:rPr>
          <w:rStyle w:val="Heading5Char"/>
          <w:b w:val="0"/>
        </w:rPr>
        <w:t xml:space="preserve">his study will incorporate a variety of evidence-based methods to </w:t>
      </w:r>
      <w:r w:rsidR="00E041D1">
        <w:rPr>
          <w:rStyle w:val="Heading5Char"/>
          <w:b w:val="0"/>
        </w:rPr>
        <w:t>increase response rates</w:t>
      </w:r>
      <w:r w:rsidR="00263D5B">
        <w:rPr>
          <w:rStyle w:val="Heading5Char"/>
          <w:b w:val="0"/>
        </w:rPr>
        <w:t>. In this section we describe the procedures we will use to do so.</w:t>
      </w:r>
    </w:p>
    <w:p w14:paraId="0FEBB92A" w14:textId="6D9316A3" w:rsidR="00263D5B" w:rsidRDefault="00263D5B" w:rsidP="00263D5B">
      <w:pPr>
        <w:pStyle w:val="BodyText"/>
      </w:pPr>
      <w:proofErr w:type="gramStart"/>
      <w:r>
        <w:rPr>
          <w:b/>
          <w:i/>
        </w:rPr>
        <w:t>Keeping the survey instrument brief</w:t>
      </w:r>
      <w:r w:rsidR="007E1E62">
        <w:rPr>
          <w:b/>
          <w:i/>
        </w:rPr>
        <w:t xml:space="preserve"> and as easy as possible to complete</w:t>
      </w:r>
      <w:r w:rsidRPr="00E14705">
        <w:rPr>
          <w:b/>
          <w:i/>
        </w:rPr>
        <w:t>.</w:t>
      </w:r>
      <w:proofErr w:type="gramEnd"/>
      <w:r>
        <w:t xml:space="preserve"> The team will draw upon its past experience in developing data collection instruments that are designed to maximize response rates by</w:t>
      </w:r>
      <w:r w:rsidRPr="00D34FE9">
        <w:t xml:space="preserve"> </w:t>
      </w:r>
      <w:r>
        <w:t xml:space="preserve">placing as little burden on respondents as possible, as well as </w:t>
      </w:r>
      <w:r w:rsidR="007B49B5">
        <w:t xml:space="preserve">by </w:t>
      </w:r>
      <w:r>
        <w:t>tailoring each instrument to be appropriate for the particular type of respondent. The team will also use cognitive interviews with principals and district administrators to pilot survey data collection instruments to ensure that they are user</w:t>
      </w:r>
      <w:r>
        <w:noBreakHyphen/>
        <w:t>friendly and easily understandable, all of which increases participants’ willingness to participate in the data collection activities.</w:t>
      </w:r>
    </w:p>
    <w:p w14:paraId="45D9C4E2" w14:textId="39D445FF" w:rsidR="00A644BE" w:rsidRDefault="00263D5B" w:rsidP="00A644BE">
      <w:pPr>
        <w:pStyle w:val="BodyText"/>
      </w:pPr>
      <w:r>
        <w:rPr>
          <w:b/>
          <w:i/>
        </w:rPr>
        <w:t xml:space="preserve">Using multiple contact attempts to reach individuals. </w:t>
      </w:r>
      <w:r w:rsidR="00A644BE">
        <w:t>This study will incorporate a variety of contacts and reminders</w:t>
      </w:r>
      <w:r>
        <w:t xml:space="preserve"> </w:t>
      </w:r>
      <w:r w:rsidR="00A644BE">
        <w:t xml:space="preserve">(see Exhibit </w:t>
      </w:r>
      <w:r w:rsidR="00885663">
        <w:t>6</w:t>
      </w:r>
      <w:r w:rsidR="00A644BE">
        <w:t xml:space="preserve">). First, a survey invitation letter will be sent using both mail and </w:t>
      </w:r>
      <w:r w:rsidR="00E041D1">
        <w:t>email</w:t>
      </w:r>
      <w:r w:rsidR="00A644BE">
        <w:t xml:space="preserve"> to all principals and selected district respondents. These letters and </w:t>
      </w:r>
      <w:r w:rsidR="00E041D1">
        <w:t>email</w:t>
      </w:r>
      <w:r w:rsidR="00A644BE">
        <w:t xml:space="preserve">s will include a link to the Web survey and a request to participate. Then during a 16-week period we will send a maximum of eight </w:t>
      </w:r>
      <w:r w:rsidR="00E041D1">
        <w:t>email</w:t>
      </w:r>
      <w:r w:rsidR="00A644BE">
        <w:t xml:space="preserve"> reminders and conduct three rounds of telephone reminder calls to all </w:t>
      </w:r>
      <w:proofErr w:type="spellStart"/>
      <w:r w:rsidR="00A644BE">
        <w:t>nonresponde</w:t>
      </w:r>
      <w:r w:rsidR="002F2733">
        <w:t>nts</w:t>
      </w:r>
      <w:proofErr w:type="spellEnd"/>
      <w:r w:rsidR="00A644BE">
        <w:t xml:space="preserve"> to help encourage participation. ED </w:t>
      </w:r>
      <w:r w:rsidR="002F2733">
        <w:t>will</w:t>
      </w:r>
      <w:r w:rsidR="00A644BE">
        <w:t xml:space="preserve"> send two reminders (one mailing will contain a copy of the survey, and one </w:t>
      </w:r>
      <w:r w:rsidR="00E041D1">
        <w:t>email</w:t>
      </w:r>
      <w:r w:rsidR="00A644BE">
        <w:t xml:space="preserve"> reminder) to encourage districts and principals to respond if they have not yet participated. This strategy was successful on two other </w:t>
      </w:r>
      <w:r w:rsidR="00A644BE" w:rsidRPr="0064561F">
        <w:t>PPSS studies:</w:t>
      </w:r>
      <w:r w:rsidR="00A644BE">
        <w:rPr>
          <w:i/>
        </w:rPr>
        <w:t xml:space="preserve"> Study of Title I Schoolwide and Targeted Assistance Programs </w:t>
      </w:r>
      <w:r w:rsidR="00A644BE">
        <w:t xml:space="preserve">and </w:t>
      </w:r>
      <w:r w:rsidR="00A644BE">
        <w:rPr>
          <w:i/>
        </w:rPr>
        <w:t>Study of the Teacher Education Assistance for College and Higher Education Grant Program.</w:t>
      </w:r>
    </w:p>
    <w:p w14:paraId="4E62E2E0" w14:textId="1F8E0887" w:rsidR="00A644BE" w:rsidRDefault="00A644BE" w:rsidP="00A644BE">
      <w:pPr>
        <w:pStyle w:val="BodyText"/>
      </w:pPr>
      <w:r>
        <w:t xml:space="preserve">After week 16, we will conduct a small nonresponse bias experiment to determine if the district and principal staff who respond </w:t>
      </w:r>
      <w:r w:rsidR="002F2733">
        <w:t>are</w:t>
      </w:r>
      <w:r>
        <w:t xml:space="preserve"> different from the district and principal staff who did not respond on selected variables of interest. To determine this, three additional contact attempts will be made to 30 percent of district subjects and 20 percent of the principal subjects who fail to respond by week 17</w:t>
      </w:r>
      <w:r w:rsidR="002F2733">
        <w:t xml:space="preserve">, to ask </w:t>
      </w:r>
      <w:r w:rsidR="002F2733">
        <w:lastRenderedPageBreak/>
        <w:t>them to respond to a shortened set of key survey questions</w:t>
      </w:r>
      <w:r>
        <w:t xml:space="preserve">. This </w:t>
      </w:r>
      <w:r w:rsidR="002F2733">
        <w:t>strategy</w:t>
      </w:r>
      <w:r>
        <w:t xml:space="preserve"> has been used in other studies to estimate nonresponse bias in key survey estimates (e.g., Curtin et al., 2005). We will additionally send an e-mail in week 17, mail a hard-copy survey in week 18 and conduct telephone calls in Week 19.</w:t>
      </w:r>
    </w:p>
    <w:p w14:paraId="42A67DDF" w14:textId="3E7C03B9" w:rsidR="00A644BE" w:rsidRDefault="00A644BE" w:rsidP="00A644BE">
      <w:pPr>
        <w:pStyle w:val="ExhibitTitle"/>
        <w:spacing w:before="160"/>
      </w:pPr>
      <w:proofErr w:type="gramStart"/>
      <w:r>
        <w:t xml:space="preserve">Exhibit </w:t>
      </w:r>
      <w:r w:rsidR="00885663">
        <w:t>6</w:t>
      </w:r>
      <w:r>
        <w:t>.</w:t>
      </w:r>
      <w:proofErr w:type="gramEnd"/>
      <w:r>
        <w:t xml:space="preserve"> Survey Data Collection Timeline</w:t>
      </w:r>
    </w:p>
    <w:tbl>
      <w:tblPr>
        <w:tblStyle w:val="MediumGrid1-Accent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38"/>
        <w:gridCol w:w="3714"/>
      </w:tblGrid>
      <w:tr w:rsidR="00A644BE" w:rsidRPr="00432ACF" w14:paraId="26961018" w14:textId="77777777" w:rsidTr="004F683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71" w:type="pct"/>
            <w:shd w:val="clear" w:color="auto" w:fill="4F81BD" w:themeFill="accent1"/>
            <w:vAlign w:val="bottom"/>
          </w:tcPr>
          <w:p w14:paraId="0837AD54" w14:textId="77777777" w:rsidR="00A644BE" w:rsidRDefault="00A644BE" w:rsidP="005F3C11">
            <w:pPr>
              <w:pStyle w:val="ExhibitText"/>
              <w:spacing w:before="40" w:after="40"/>
              <w:rPr>
                <w:rFonts w:asciiTheme="minorHAnsi" w:hAnsiTheme="minorHAnsi"/>
                <w:color w:val="FFFFFF" w:themeColor="background1"/>
              </w:rPr>
            </w:pPr>
            <w:r>
              <w:rPr>
                <w:rFonts w:asciiTheme="minorHAnsi" w:hAnsiTheme="minorHAnsi"/>
                <w:color w:val="FFFFFF" w:themeColor="background1"/>
              </w:rPr>
              <w:t xml:space="preserve">Event </w:t>
            </w:r>
          </w:p>
        </w:tc>
        <w:tc>
          <w:tcPr>
            <w:tcW w:w="1829" w:type="pct"/>
            <w:shd w:val="clear" w:color="auto" w:fill="4F81BD" w:themeFill="accent1"/>
            <w:vAlign w:val="bottom"/>
          </w:tcPr>
          <w:p w14:paraId="5B0136C5" w14:textId="77777777" w:rsidR="00A644BE" w:rsidRDefault="00A644B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Event Date</w:t>
            </w:r>
          </w:p>
          <w:p w14:paraId="589F19CD" w14:textId="77777777" w:rsidR="00A644BE" w:rsidRDefault="00A644B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 xml:space="preserve">(If Applicable, Number of Weeks After </w:t>
            </w:r>
          </w:p>
          <w:p w14:paraId="6AADBF70" w14:textId="77777777" w:rsidR="00A644BE" w:rsidRDefault="00A644BE" w:rsidP="005F3C11">
            <w:pPr>
              <w:pStyle w:val="ExhibitText"/>
              <w:spacing w:before="40" w:after="40"/>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olor w:val="FFFFFF" w:themeColor="background1"/>
              </w:rPr>
            </w:pPr>
            <w:r>
              <w:rPr>
                <w:rFonts w:asciiTheme="minorHAnsi" w:hAnsiTheme="minorHAnsi"/>
                <w:color w:val="FFFFFF" w:themeColor="background1"/>
              </w:rPr>
              <w:t>Initial Invitation Letter Sent)</w:t>
            </w:r>
          </w:p>
        </w:tc>
      </w:tr>
      <w:tr w:rsidR="00A644BE" w14:paraId="0DB1B358" w14:textId="77777777" w:rsidTr="004F683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vAlign w:val="center"/>
          </w:tcPr>
          <w:p w14:paraId="77DABA25" w14:textId="37FFFDE5" w:rsidR="00A644BE" w:rsidRDefault="00A644BE" w:rsidP="00F85201">
            <w:pPr>
              <w:pStyle w:val="ExhibitText"/>
              <w:spacing w:before="40" w:after="40"/>
              <w:rPr>
                <w:rFonts w:asciiTheme="minorHAnsi" w:hAnsiTheme="minorHAnsi"/>
                <w:b w:val="0"/>
              </w:rPr>
            </w:pPr>
            <w:r>
              <w:rPr>
                <w:rFonts w:asciiTheme="minorHAnsi" w:hAnsiTheme="minorHAnsi"/>
                <w:b w:val="0"/>
              </w:rPr>
              <w:t xml:space="preserve">Mail </w:t>
            </w:r>
            <w:r w:rsidR="006B7F8A">
              <w:rPr>
                <w:rFonts w:asciiTheme="minorHAnsi" w:hAnsiTheme="minorHAnsi"/>
                <w:b w:val="0"/>
              </w:rPr>
              <w:t xml:space="preserve">survey </w:t>
            </w:r>
            <w:r w:rsidR="00DF5BBB">
              <w:rPr>
                <w:rFonts w:asciiTheme="minorHAnsi" w:hAnsiTheme="minorHAnsi"/>
                <w:b w:val="0"/>
              </w:rPr>
              <w:t>notification</w:t>
            </w:r>
            <w:r w:rsidR="006B7F8A">
              <w:rPr>
                <w:rFonts w:asciiTheme="minorHAnsi" w:hAnsiTheme="minorHAnsi"/>
                <w:b w:val="0"/>
              </w:rPr>
              <w:t>/advance</w:t>
            </w:r>
            <w:r w:rsidR="00DF5BBB">
              <w:rPr>
                <w:rFonts w:asciiTheme="minorHAnsi" w:hAnsiTheme="minorHAnsi"/>
                <w:b w:val="0"/>
              </w:rPr>
              <w:t xml:space="preserve"> </w:t>
            </w:r>
            <w:r>
              <w:rPr>
                <w:rFonts w:asciiTheme="minorHAnsi" w:hAnsiTheme="minorHAnsi"/>
                <w:b w:val="0"/>
              </w:rPr>
              <w:t>letter</w:t>
            </w:r>
            <w:r w:rsidR="00E14705">
              <w:rPr>
                <w:rFonts w:asciiTheme="minorHAnsi" w:hAnsiTheme="minorHAnsi"/>
                <w:b w:val="0"/>
              </w:rPr>
              <w:t>s</w:t>
            </w:r>
            <w:r>
              <w:rPr>
                <w:rFonts w:asciiTheme="minorHAnsi" w:hAnsiTheme="minorHAnsi"/>
                <w:b w:val="0"/>
              </w:rPr>
              <w:t xml:space="preserve"> </w:t>
            </w:r>
            <w:r w:rsidR="00E14705">
              <w:rPr>
                <w:rFonts w:asciiTheme="minorHAnsi" w:hAnsiTheme="minorHAnsi"/>
                <w:b w:val="0"/>
              </w:rPr>
              <w:t xml:space="preserve">from </w:t>
            </w:r>
            <w:r>
              <w:rPr>
                <w:rFonts w:asciiTheme="minorHAnsi" w:hAnsiTheme="minorHAnsi"/>
                <w:b w:val="0"/>
              </w:rPr>
              <w:t>ED to District Administrator</w:t>
            </w:r>
            <w:r w:rsidR="00E14705">
              <w:rPr>
                <w:rFonts w:asciiTheme="minorHAnsi" w:hAnsiTheme="minorHAnsi"/>
                <w:b w:val="0"/>
              </w:rPr>
              <w:t>s</w:t>
            </w:r>
            <w:r>
              <w:rPr>
                <w:rFonts w:asciiTheme="minorHAnsi" w:hAnsiTheme="minorHAnsi"/>
                <w:b w:val="0"/>
              </w:rPr>
              <w:t xml:space="preserve"> and Principals as part of the survey notification process</w:t>
            </w:r>
            <w:r w:rsidR="00DF5BBB">
              <w:rPr>
                <w:rFonts w:asciiTheme="minorHAnsi" w:hAnsiTheme="minorHAnsi"/>
                <w:b w:val="0"/>
              </w:rPr>
              <w:t xml:space="preserve"> (</w:t>
            </w:r>
            <w:r w:rsidR="00F85201">
              <w:rPr>
                <w:rFonts w:asciiTheme="minorHAnsi" w:hAnsiTheme="minorHAnsi"/>
                <w:b w:val="0"/>
              </w:rPr>
              <w:t>See Appendix F)</w:t>
            </w:r>
          </w:p>
        </w:tc>
        <w:tc>
          <w:tcPr>
            <w:tcW w:w="1829" w:type="pct"/>
            <w:shd w:val="clear" w:color="auto" w:fill="auto"/>
          </w:tcPr>
          <w:p w14:paraId="1D241E78" w14:textId="7E14F891" w:rsidR="00A644BE" w:rsidDel="006F04E9" w:rsidRDefault="00D83799" w:rsidP="005F3C11">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10/27/2017</w:t>
            </w:r>
          </w:p>
        </w:tc>
      </w:tr>
      <w:tr w:rsidR="00A644BE" w14:paraId="415FC6F2" w14:textId="77777777" w:rsidTr="004F6830">
        <w:trPr>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vAlign w:val="center"/>
          </w:tcPr>
          <w:p w14:paraId="7539F0F6" w14:textId="26E9E20F" w:rsidR="00A644BE" w:rsidRDefault="00A644BE" w:rsidP="005F3C11">
            <w:pPr>
              <w:pStyle w:val="ExhibitText"/>
              <w:spacing w:before="40" w:after="40"/>
              <w:rPr>
                <w:rFonts w:asciiTheme="minorHAnsi" w:hAnsiTheme="minorHAnsi"/>
                <w:b w:val="0"/>
              </w:rPr>
            </w:pPr>
            <w:r>
              <w:rPr>
                <w:rFonts w:asciiTheme="minorHAnsi" w:hAnsiTheme="minorHAnsi"/>
                <w:b w:val="0"/>
              </w:rPr>
              <w:t>Mail/</w:t>
            </w:r>
            <w:r w:rsidR="00E041D1">
              <w:rPr>
                <w:rFonts w:asciiTheme="minorHAnsi" w:hAnsiTheme="minorHAnsi"/>
                <w:b w:val="0"/>
              </w:rPr>
              <w:t>email</w:t>
            </w:r>
            <w:r>
              <w:rPr>
                <w:rFonts w:asciiTheme="minorHAnsi" w:hAnsiTheme="minorHAnsi"/>
                <w:b w:val="0"/>
              </w:rPr>
              <w:t xml:space="preserve"> Web invitation sent</w:t>
            </w:r>
          </w:p>
        </w:tc>
        <w:tc>
          <w:tcPr>
            <w:tcW w:w="1829" w:type="pct"/>
            <w:shd w:val="clear" w:color="auto" w:fill="auto"/>
          </w:tcPr>
          <w:p w14:paraId="4ADDFDD6" w14:textId="0590D953" w:rsidR="00A644BE" w:rsidRDefault="00D83799" w:rsidP="005F3C11">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11/01/2017</w:t>
            </w:r>
          </w:p>
        </w:tc>
      </w:tr>
      <w:tr w:rsidR="00A644BE" w14:paraId="2CDFB230" w14:textId="77777777" w:rsidTr="004F6830">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vAlign w:val="center"/>
          </w:tcPr>
          <w:p w14:paraId="12600157" w14:textId="75922A12" w:rsidR="00A644BE" w:rsidRDefault="00A644BE" w:rsidP="005F3C11">
            <w:pPr>
              <w:pStyle w:val="ExhibitText"/>
              <w:spacing w:before="40" w:after="40"/>
              <w:rPr>
                <w:rFonts w:asciiTheme="minorHAnsi" w:hAnsiTheme="minorHAnsi"/>
                <w:b w:val="0"/>
              </w:rPr>
            </w:pPr>
            <w:r>
              <w:rPr>
                <w:rFonts w:asciiTheme="minorHAnsi" w:hAnsiTheme="minorHAnsi"/>
                <w:b w:val="0"/>
              </w:rPr>
              <w:t xml:space="preserve">Reminder </w:t>
            </w:r>
            <w:r w:rsidR="00E041D1">
              <w:rPr>
                <w:rFonts w:asciiTheme="minorHAnsi" w:hAnsiTheme="minorHAnsi"/>
                <w:b w:val="0"/>
              </w:rPr>
              <w:t>email</w:t>
            </w:r>
            <w:r>
              <w:rPr>
                <w:rFonts w:asciiTheme="minorHAnsi" w:hAnsiTheme="minorHAnsi"/>
                <w:b w:val="0"/>
              </w:rPr>
              <w:t xml:space="preserve"> sent (maximum eight)</w:t>
            </w:r>
          </w:p>
        </w:tc>
        <w:tc>
          <w:tcPr>
            <w:tcW w:w="1829" w:type="pct"/>
            <w:shd w:val="clear" w:color="auto" w:fill="auto"/>
          </w:tcPr>
          <w:p w14:paraId="08202EC4" w14:textId="20EE085E" w:rsidR="00A644BE" w:rsidRDefault="00A644BE" w:rsidP="005F3C11">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Starting on </w:t>
            </w:r>
            <w:r w:rsidR="00D83799">
              <w:rPr>
                <w:rFonts w:asciiTheme="minorHAnsi" w:hAnsiTheme="minorHAnsi"/>
              </w:rPr>
              <w:t>11/08/2017</w:t>
            </w:r>
            <w:r>
              <w:rPr>
                <w:rFonts w:asciiTheme="minorHAnsi" w:hAnsiTheme="minorHAnsi"/>
              </w:rPr>
              <w:t>(1 Week)</w:t>
            </w:r>
          </w:p>
          <w:p w14:paraId="55AEC59B" w14:textId="66C3AF00" w:rsidR="00A644BE" w:rsidRDefault="00A644BE" w:rsidP="002625B4">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 xml:space="preserve">Ending on </w:t>
            </w:r>
            <w:r w:rsidR="002625B4">
              <w:rPr>
                <w:rFonts w:asciiTheme="minorHAnsi" w:hAnsiTheme="minorHAnsi"/>
              </w:rPr>
              <w:t>02/14/2107</w:t>
            </w:r>
            <w:r>
              <w:rPr>
                <w:rFonts w:asciiTheme="minorHAnsi" w:hAnsiTheme="minorHAnsi"/>
              </w:rPr>
              <w:t xml:space="preserve"> (15 weeks)</w:t>
            </w:r>
          </w:p>
        </w:tc>
      </w:tr>
      <w:tr w:rsidR="00A644BE" w14:paraId="41053AE8" w14:textId="77777777" w:rsidTr="004F6830">
        <w:trPr>
          <w:trHeight w:val="22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vAlign w:val="center"/>
          </w:tcPr>
          <w:p w14:paraId="1CC39DFA" w14:textId="77777777" w:rsidR="00A644BE" w:rsidRDefault="00A644BE" w:rsidP="005F3C11">
            <w:pPr>
              <w:pStyle w:val="ExhibitText"/>
              <w:spacing w:before="40" w:after="40"/>
              <w:rPr>
                <w:rFonts w:asciiTheme="minorHAnsi" w:hAnsiTheme="minorHAnsi"/>
              </w:rPr>
            </w:pPr>
            <w:r>
              <w:rPr>
                <w:rFonts w:asciiTheme="minorHAnsi" w:hAnsiTheme="minorHAnsi"/>
                <w:b w:val="0"/>
              </w:rPr>
              <w:t>Telephone nonresponse (maximum three rounds)</w:t>
            </w:r>
          </w:p>
        </w:tc>
        <w:tc>
          <w:tcPr>
            <w:tcW w:w="1829" w:type="pct"/>
            <w:shd w:val="clear" w:color="auto" w:fill="auto"/>
          </w:tcPr>
          <w:p w14:paraId="17903EB0" w14:textId="7C1D7D52" w:rsidR="00A644BE" w:rsidRDefault="002625B4" w:rsidP="005F3C11">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11/15/2017</w:t>
            </w:r>
            <w:r w:rsidR="00A644BE">
              <w:rPr>
                <w:rFonts w:asciiTheme="minorHAnsi" w:hAnsiTheme="minorHAnsi"/>
              </w:rPr>
              <w:t xml:space="preserve"> (2 Weeks)</w:t>
            </w:r>
          </w:p>
          <w:p w14:paraId="13C1A8A0" w14:textId="125DA954" w:rsidR="00A644BE" w:rsidRDefault="002625B4" w:rsidP="005F3C11">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 xml:space="preserve">11/29/2017 </w:t>
            </w:r>
            <w:r w:rsidR="00A644BE">
              <w:rPr>
                <w:rFonts w:asciiTheme="minorHAnsi" w:hAnsiTheme="minorHAnsi"/>
              </w:rPr>
              <w:t>(4 Weeks)</w:t>
            </w:r>
          </w:p>
          <w:p w14:paraId="076ECEEE" w14:textId="5E980026" w:rsidR="00A644BE" w:rsidRDefault="002625B4" w:rsidP="002625B4">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1/03/2018</w:t>
            </w:r>
            <w:r w:rsidR="00A644BE">
              <w:rPr>
                <w:rFonts w:asciiTheme="minorHAnsi" w:hAnsiTheme="minorHAnsi"/>
              </w:rPr>
              <w:t>(</w:t>
            </w:r>
            <w:r>
              <w:rPr>
                <w:rFonts w:asciiTheme="minorHAnsi" w:hAnsiTheme="minorHAnsi"/>
              </w:rPr>
              <w:t xml:space="preserve">9 </w:t>
            </w:r>
            <w:r w:rsidR="00A644BE">
              <w:rPr>
                <w:rFonts w:asciiTheme="minorHAnsi" w:hAnsiTheme="minorHAnsi"/>
              </w:rPr>
              <w:t>Weeks)</w:t>
            </w:r>
          </w:p>
        </w:tc>
      </w:tr>
      <w:tr w:rsidR="00A644BE" w14:paraId="2BE78E6B" w14:textId="77777777" w:rsidTr="004F6830">
        <w:trPr>
          <w:cnfStyle w:val="000000100000" w:firstRow="0" w:lastRow="0" w:firstColumn="0" w:lastColumn="0" w:oddVBand="0" w:evenVBand="0" w:oddHBand="1" w:evenHBand="0" w:firstRowFirstColumn="0" w:firstRowLastColumn="0" w:lastRowFirstColumn="0" w:lastRowLastColumn="0"/>
          <w:trHeight w:val="187"/>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vAlign w:val="center"/>
          </w:tcPr>
          <w:p w14:paraId="00B1A3D6" w14:textId="77777777" w:rsidR="00A644BE" w:rsidRDefault="00A644BE" w:rsidP="005F3C11">
            <w:pPr>
              <w:pStyle w:val="ExhibitText"/>
              <w:spacing w:before="40" w:after="40"/>
              <w:rPr>
                <w:rFonts w:asciiTheme="minorHAnsi" w:hAnsiTheme="minorHAnsi"/>
                <w:b w:val="0"/>
              </w:rPr>
            </w:pPr>
            <w:r>
              <w:rPr>
                <w:rFonts w:asciiTheme="minorHAnsi" w:hAnsiTheme="minorHAnsi"/>
                <w:b w:val="0"/>
              </w:rPr>
              <w:t>Paper questionnaires mailed (two times, second by ED)</w:t>
            </w:r>
          </w:p>
        </w:tc>
        <w:tc>
          <w:tcPr>
            <w:tcW w:w="1829" w:type="pct"/>
            <w:shd w:val="clear" w:color="auto" w:fill="auto"/>
          </w:tcPr>
          <w:p w14:paraId="39E6FC25" w14:textId="084A9430" w:rsidR="00A644BE" w:rsidRDefault="002625B4" w:rsidP="005F3C11">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12/13/2017</w:t>
            </w:r>
            <w:r w:rsidR="00A644BE">
              <w:rPr>
                <w:rFonts w:asciiTheme="minorHAnsi" w:hAnsiTheme="minorHAnsi"/>
              </w:rPr>
              <w:t xml:space="preserve"> (6 Weeks)</w:t>
            </w:r>
          </w:p>
          <w:p w14:paraId="6D63E225" w14:textId="3023BBDF" w:rsidR="00A644BE" w:rsidRDefault="002625B4" w:rsidP="005F3C11">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1/10/2017</w:t>
            </w:r>
            <w:r w:rsidR="00A644BE">
              <w:rPr>
                <w:rFonts w:asciiTheme="minorHAnsi" w:hAnsiTheme="minorHAnsi"/>
              </w:rPr>
              <w:t>(10 Weeks)</w:t>
            </w:r>
          </w:p>
        </w:tc>
      </w:tr>
      <w:tr w:rsidR="00A644BE" w14:paraId="5DF8AADB" w14:textId="77777777" w:rsidTr="004F6830">
        <w:trPr>
          <w:trHeight w:val="243"/>
        </w:trPr>
        <w:tc>
          <w:tcPr>
            <w:cnfStyle w:val="001000000000" w:firstRow="0" w:lastRow="0" w:firstColumn="1" w:lastColumn="0" w:oddVBand="0" w:evenVBand="0" w:oddHBand="0" w:evenHBand="0" w:firstRowFirstColumn="0" w:firstRowLastColumn="0" w:lastRowFirstColumn="0" w:lastRowLastColumn="0"/>
            <w:tcW w:w="3171" w:type="pct"/>
            <w:tcBorders>
              <w:bottom w:val="single" w:sz="4" w:space="0" w:color="auto"/>
            </w:tcBorders>
            <w:shd w:val="clear" w:color="auto" w:fill="auto"/>
            <w:vAlign w:val="center"/>
          </w:tcPr>
          <w:p w14:paraId="6D4F64C7" w14:textId="0364DF77" w:rsidR="00A644BE" w:rsidRDefault="00A644BE" w:rsidP="005F3C11">
            <w:pPr>
              <w:pStyle w:val="ExhibitText"/>
              <w:spacing w:before="40" w:after="40"/>
              <w:rPr>
                <w:rFonts w:asciiTheme="minorHAnsi" w:hAnsiTheme="minorHAnsi"/>
                <w:b w:val="0"/>
              </w:rPr>
            </w:pPr>
            <w:r>
              <w:rPr>
                <w:rFonts w:asciiTheme="minorHAnsi" w:hAnsiTheme="minorHAnsi"/>
                <w:b w:val="0"/>
              </w:rPr>
              <w:t xml:space="preserve">Final reminder </w:t>
            </w:r>
            <w:r w:rsidR="00E041D1">
              <w:rPr>
                <w:rFonts w:asciiTheme="minorHAnsi" w:hAnsiTheme="minorHAnsi"/>
                <w:b w:val="0"/>
              </w:rPr>
              <w:t>email</w:t>
            </w:r>
            <w:r>
              <w:rPr>
                <w:rFonts w:asciiTheme="minorHAnsi" w:hAnsiTheme="minorHAnsi"/>
                <w:b w:val="0"/>
              </w:rPr>
              <w:t xml:space="preserve"> by ED</w:t>
            </w:r>
          </w:p>
        </w:tc>
        <w:tc>
          <w:tcPr>
            <w:tcW w:w="1829" w:type="pct"/>
            <w:tcBorders>
              <w:bottom w:val="single" w:sz="4" w:space="0" w:color="auto"/>
            </w:tcBorders>
            <w:shd w:val="clear" w:color="auto" w:fill="auto"/>
          </w:tcPr>
          <w:p w14:paraId="19DA1231" w14:textId="65EB29F5" w:rsidR="00A644BE" w:rsidRDefault="002625B4" w:rsidP="005F3C11">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2/21/2018</w:t>
            </w:r>
            <w:r w:rsidR="00A644BE">
              <w:rPr>
                <w:rFonts w:asciiTheme="minorHAnsi" w:hAnsiTheme="minorHAnsi"/>
              </w:rPr>
              <w:t xml:space="preserve"> (16 Weeks)</w:t>
            </w:r>
            <w:r w:rsidR="00A644BE">
              <w:rPr>
                <w:rStyle w:val="FootnoteReference"/>
                <w:rFonts w:asciiTheme="minorHAnsi" w:hAnsiTheme="minorHAnsi"/>
              </w:rPr>
              <w:footnoteReference w:id="6"/>
            </w:r>
          </w:p>
        </w:tc>
      </w:tr>
      <w:tr w:rsidR="00A644BE" w14:paraId="7406D861" w14:textId="77777777" w:rsidTr="004F683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171" w:type="pct"/>
            <w:shd w:val="clear" w:color="auto" w:fill="548DD4" w:themeFill="text2" w:themeFillTint="99"/>
            <w:vAlign w:val="center"/>
          </w:tcPr>
          <w:p w14:paraId="27BF7139" w14:textId="77777777" w:rsidR="00A644BE" w:rsidRPr="00CB4A14" w:rsidRDefault="00A644BE" w:rsidP="005F3C11">
            <w:pPr>
              <w:pStyle w:val="ExhibitText"/>
              <w:spacing w:before="40" w:after="40"/>
              <w:rPr>
                <w:rFonts w:asciiTheme="minorHAnsi" w:hAnsiTheme="minorHAnsi"/>
              </w:rPr>
            </w:pPr>
            <w:r>
              <w:rPr>
                <w:rFonts w:asciiTheme="minorHAnsi" w:hAnsiTheme="minorHAnsi"/>
              </w:rPr>
              <w:t>NON RESPONSE BIAS FOLLOWUP</w:t>
            </w:r>
          </w:p>
        </w:tc>
        <w:tc>
          <w:tcPr>
            <w:tcW w:w="1829" w:type="pct"/>
            <w:shd w:val="clear" w:color="auto" w:fill="548DD4" w:themeFill="text2" w:themeFillTint="99"/>
          </w:tcPr>
          <w:p w14:paraId="76674D21" w14:textId="77777777" w:rsidR="00A644BE" w:rsidRDefault="00A644BE" w:rsidP="005F3C11">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p>
        </w:tc>
      </w:tr>
      <w:tr w:rsidR="00A644BE" w14:paraId="6BA15888" w14:textId="77777777" w:rsidTr="004F6830">
        <w:trPr>
          <w:trHeight w:val="243"/>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vAlign w:val="center"/>
          </w:tcPr>
          <w:p w14:paraId="45A808EF" w14:textId="4FDD9380" w:rsidR="00A644BE" w:rsidRDefault="00A644BE" w:rsidP="005F3C11">
            <w:pPr>
              <w:pStyle w:val="ExhibitText"/>
              <w:spacing w:before="40" w:after="40"/>
              <w:rPr>
                <w:rFonts w:asciiTheme="minorHAnsi" w:hAnsiTheme="minorHAnsi"/>
                <w:b w:val="0"/>
              </w:rPr>
            </w:pPr>
            <w:r>
              <w:rPr>
                <w:rFonts w:asciiTheme="minorHAnsi" w:hAnsiTheme="minorHAnsi"/>
                <w:b w:val="0"/>
              </w:rPr>
              <w:t xml:space="preserve">Nonresponse follow-up: </w:t>
            </w:r>
            <w:r w:rsidR="00E041D1">
              <w:rPr>
                <w:rFonts w:asciiTheme="minorHAnsi" w:hAnsiTheme="minorHAnsi"/>
                <w:b w:val="0"/>
              </w:rPr>
              <w:t>Email</w:t>
            </w:r>
            <w:r>
              <w:rPr>
                <w:rFonts w:asciiTheme="minorHAnsi" w:hAnsiTheme="minorHAnsi"/>
                <w:b w:val="0"/>
              </w:rPr>
              <w:t xml:space="preserve"> reminder</w:t>
            </w:r>
          </w:p>
        </w:tc>
        <w:tc>
          <w:tcPr>
            <w:tcW w:w="1829" w:type="pct"/>
            <w:shd w:val="clear" w:color="auto" w:fill="auto"/>
          </w:tcPr>
          <w:p w14:paraId="5A6B90DD" w14:textId="09B594F1" w:rsidR="00A644BE" w:rsidDel="00F601E7" w:rsidRDefault="002625B4" w:rsidP="005F3C11">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2/28/2018</w:t>
            </w:r>
            <w:r w:rsidR="00A644BE">
              <w:rPr>
                <w:rFonts w:asciiTheme="minorHAnsi" w:hAnsiTheme="minorHAnsi"/>
              </w:rPr>
              <w:t xml:space="preserve"> (17 weeks)</w:t>
            </w:r>
          </w:p>
        </w:tc>
      </w:tr>
      <w:tr w:rsidR="00A644BE" w14:paraId="35582081" w14:textId="77777777" w:rsidTr="004F6830">
        <w:trPr>
          <w:cnfStyle w:val="000000100000" w:firstRow="0" w:lastRow="0" w:firstColumn="0" w:lastColumn="0" w:oddVBand="0" w:evenVBand="0" w:oddHBand="1" w:evenHBand="0" w:firstRowFirstColumn="0" w:firstRowLastColumn="0" w:lastRowFirstColumn="0" w:lastRowLastColumn="0"/>
          <w:trHeight w:val="243"/>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vAlign w:val="center"/>
          </w:tcPr>
          <w:p w14:paraId="27CE48FA" w14:textId="77777777" w:rsidR="00A644BE" w:rsidRDefault="00A644BE" w:rsidP="005F3C11">
            <w:pPr>
              <w:pStyle w:val="ExhibitText"/>
              <w:spacing w:before="40" w:after="40"/>
              <w:rPr>
                <w:rFonts w:asciiTheme="minorHAnsi" w:hAnsiTheme="minorHAnsi"/>
                <w:b w:val="0"/>
              </w:rPr>
            </w:pPr>
            <w:r>
              <w:rPr>
                <w:rFonts w:asciiTheme="minorHAnsi" w:hAnsiTheme="minorHAnsi"/>
                <w:b w:val="0"/>
              </w:rPr>
              <w:t>Nonresponse follow-up: Paper questionnaires mailed</w:t>
            </w:r>
          </w:p>
        </w:tc>
        <w:tc>
          <w:tcPr>
            <w:tcW w:w="1829" w:type="pct"/>
            <w:shd w:val="clear" w:color="auto" w:fill="auto"/>
          </w:tcPr>
          <w:p w14:paraId="2FD26421" w14:textId="161F9B79" w:rsidR="00A644BE" w:rsidRDefault="002625B4" w:rsidP="005F3C11">
            <w:pPr>
              <w:pStyle w:val="ExhibitText"/>
              <w:spacing w:before="40" w:after="40"/>
              <w:jc w:val="center"/>
              <w:cnfStyle w:val="000000100000" w:firstRow="0" w:lastRow="0" w:firstColumn="0" w:lastColumn="0" w:oddVBand="0" w:evenVBand="0" w:oddHBand="1" w:evenHBand="0" w:firstRowFirstColumn="0" w:firstRowLastColumn="0" w:lastRowFirstColumn="0" w:lastRowLastColumn="0"/>
              <w:rPr>
                <w:rFonts w:asciiTheme="minorHAnsi" w:hAnsiTheme="minorHAnsi"/>
              </w:rPr>
            </w:pPr>
            <w:r>
              <w:rPr>
                <w:rFonts w:asciiTheme="minorHAnsi" w:hAnsiTheme="minorHAnsi"/>
              </w:rPr>
              <w:t>3/7/2018</w:t>
            </w:r>
            <w:r w:rsidR="00A644BE">
              <w:rPr>
                <w:rFonts w:asciiTheme="minorHAnsi" w:hAnsiTheme="minorHAnsi"/>
              </w:rPr>
              <w:t xml:space="preserve"> (18 weeks)</w:t>
            </w:r>
          </w:p>
        </w:tc>
      </w:tr>
      <w:tr w:rsidR="00A644BE" w14:paraId="032E4C92" w14:textId="77777777" w:rsidTr="004F6830">
        <w:trPr>
          <w:trHeight w:val="314"/>
        </w:trPr>
        <w:tc>
          <w:tcPr>
            <w:cnfStyle w:val="001000000000" w:firstRow="0" w:lastRow="0" w:firstColumn="1" w:lastColumn="0" w:oddVBand="0" w:evenVBand="0" w:oddHBand="0" w:evenHBand="0" w:firstRowFirstColumn="0" w:firstRowLastColumn="0" w:lastRowFirstColumn="0" w:lastRowLastColumn="0"/>
            <w:tcW w:w="3171" w:type="pct"/>
            <w:shd w:val="clear" w:color="auto" w:fill="auto"/>
            <w:vAlign w:val="center"/>
          </w:tcPr>
          <w:p w14:paraId="10E3B887" w14:textId="77777777" w:rsidR="00A644BE" w:rsidRDefault="00A644BE" w:rsidP="005F3C11">
            <w:pPr>
              <w:pStyle w:val="ExhibitText"/>
              <w:spacing w:before="40" w:after="40"/>
              <w:rPr>
                <w:rFonts w:asciiTheme="minorHAnsi" w:hAnsiTheme="minorHAnsi"/>
                <w:b w:val="0"/>
              </w:rPr>
            </w:pPr>
            <w:r>
              <w:rPr>
                <w:rFonts w:asciiTheme="minorHAnsi" w:hAnsiTheme="minorHAnsi"/>
                <w:b w:val="0"/>
              </w:rPr>
              <w:t>Nonresponse follow-up: Telephone completes</w:t>
            </w:r>
          </w:p>
        </w:tc>
        <w:tc>
          <w:tcPr>
            <w:tcW w:w="1829" w:type="pct"/>
            <w:shd w:val="clear" w:color="auto" w:fill="auto"/>
          </w:tcPr>
          <w:p w14:paraId="0B2AC759" w14:textId="64874CF7" w:rsidR="00A644BE" w:rsidRDefault="008107EF" w:rsidP="008107EF">
            <w:pPr>
              <w:pStyle w:val="ExhibitText"/>
              <w:spacing w:before="40" w:after="40"/>
              <w:jc w:val="center"/>
              <w:cnfStyle w:val="000000000000" w:firstRow="0" w:lastRow="0" w:firstColumn="0" w:lastColumn="0" w:oddVBand="0" w:evenVBand="0" w:oddHBand="0" w:evenHBand="0" w:firstRowFirstColumn="0" w:firstRowLastColumn="0" w:lastRowFirstColumn="0" w:lastRowLastColumn="0"/>
              <w:rPr>
                <w:rFonts w:asciiTheme="minorHAnsi" w:hAnsiTheme="minorHAnsi"/>
              </w:rPr>
            </w:pPr>
            <w:r>
              <w:rPr>
                <w:rFonts w:asciiTheme="minorHAnsi" w:hAnsiTheme="minorHAnsi"/>
              </w:rPr>
              <w:t>3</w:t>
            </w:r>
            <w:r w:rsidR="00A644BE">
              <w:rPr>
                <w:rFonts w:asciiTheme="minorHAnsi" w:hAnsiTheme="minorHAnsi"/>
              </w:rPr>
              <w:t>/</w:t>
            </w:r>
            <w:r>
              <w:rPr>
                <w:rFonts w:asciiTheme="minorHAnsi" w:hAnsiTheme="minorHAnsi"/>
              </w:rPr>
              <w:t>14</w:t>
            </w:r>
            <w:r w:rsidR="00A644BE">
              <w:rPr>
                <w:rFonts w:asciiTheme="minorHAnsi" w:hAnsiTheme="minorHAnsi"/>
              </w:rPr>
              <w:t>/2018 (19 weeks)</w:t>
            </w:r>
          </w:p>
        </w:tc>
      </w:tr>
    </w:tbl>
    <w:p w14:paraId="5A1421A0" w14:textId="5719D14B" w:rsidR="006638C1" w:rsidRDefault="00263D5B" w:rsidP="0040345E">
      <w:pPr>
        <w:pStyle w:val="BodyText"/>
        <w:spacing w:before="240"/>
      </w:pPr>
      <w:proofErr w:type="gramStart"/>
      <w:r>
        <w:rPr>
          <w:b/>
          <w:i/>
        </w:rPr>
        <w:t>Sending n</w:t>
      </w:r>
      <w:r w:rsidR="004F523A" w:rsidRPr="00A67669">
        <w:rPr>
          <w:b/>
          <w:i/>
        </w:rPr>
        <w:t xml:space="preserve">otification </w:t>
      </w:r>
      <w:r w:rsidR="00AA4B9D" w:rsidRPr="00A67669">
        <w:rPr>
          <w:b/>
          <w:i/>
        </w:rPr>
        <w:t>l</w:t>
      </w:r>
      <w:r w:rsidR="004F523A" w:rsidRPr="00A67669">
        <w:rPr>
          <w:b/>
          <w:i/>
        </w:rPr>
        <w:t>etters</w:t>
      </w:r>
      <w:r w:rsidR="004F523A" w:rsidRPr="00A67669">
        <w:rPr>
          <w:i/>
        </w:rPr>
        <w:t>.</w:t>
      </w:r>
      <w:proofErr w:type="gramEnd"/>
      <w:r w:rsidR="004F523A" w:rsidRPr="0078028C">
        <w:t xml:space="preserve"> </w:t>
      </w:r>
      <w:r w:rsidR="00A67669">
        <w:t>N</w:t>
      </w:r>
      <w:r w:rsidR="006638C1">
        <w:t>otification letters will be printed on Department of Education letterhead and will be sent to states, districts, and schools through a staggered process</w:t>
      </w:r>
      <w:r w:rsidR="00213E41">
        <w:t xml:space="preserve"> described above</w:t>
      </w:r>
      <w:r w:rsidR="006638C1">
        <w:t xml:space="preserve">. </w:t>
      </w:r>
      <w:r w:rsidR="003A48A1">
        <w:t xml:space="preserve">Prior research has </w:t>
      </w:r>
      <w:r w:rsidR="005F42C2">
        <w:t xml:space="preserve">found that notification letters, particularly </w:t>
      </w:r>
      <w:r w:rsidR="003A48A1">
        <w:t>from an authoritative source</w:t>
      </w:r>
      <w:r w:rsidR="005F42C2">
        <w:t>,</w:t>
      </w:r>
      <w:r w:rsidR="003A48A1">
        <w:t xml:space="preserve"> can increase response rates (e.g., </w:t>
      </w:r>
      <w:r w:rsidR="005F42C2">
        <w:t xml:space="preserve">Groves, 2006; </w:t>
      </w:r>
      <w:proofErr w:type="spellStart"/>
      <w:r w:rsidR="005F42C2">
        <w:t>Dillman</w:t>
      </w:r>
      <w:proofErr w:type="spellEnd"/>
      <w:r w:rsidR="005F42C2">
        <w:t xml:space="preserve"> et al., 2014).</w:t>
      </w:r>
    </w:p>
    <w:p w14:paraId="653BEE80" w14:textId="62C5DFFA" w:rsidR="0057547B" w:rsidRDefault="00AA4B9D" w:rsidP="00E47C0B">
      <w:pPr>
        <w:pStyle w:val="BodyText"/>
        <w:tabs>
          <w:tab w:val="left" w:pos="4860"/>
        </w:tabs>
      </w:pPr>
      <w:proofErr w:type="gramStart"/>
      <w:r w:rsidRPr="00A67669">
        <w:rPr>
          <w:b/>
          <w:i/>
        </w:rPr>
        <w:t>Offer</w:t>
      </w:r>
      <w:r w:rsidR="00263D5B">
        <w:rPr>
          <w:b/>
          <w:i/>
        </w:rPr>
        <w:t>ing</w:t>
      </w:r>
      <w:r w:rsidRPr="00A67669">
        <w:rPr>
          <w:b/>
          <w:i/>
        </w:rPr>
        <w:t xml:space="preserve"> </w:t>
      </w:r>
      <w:r w:rsidR="008E233B" w:rsidRPr="00A67669">
        <w:rPr>
          <w:b/>
          <w:i/>
        </w:rPr>
        <w:t xml:space="preserve">different </w:t>
      </w:r>
      <w:r w:rsidR="0078028C" w:rsidRPr="00A67669">
        <w:rPr>
          <w:b/>
          <w:i/>
        </w:rPr>
        <w:t>m</w:t>
      </w:r>
      <w:r w:rsidRPr="00A67669">
        <w:rPr>
          <w:b/>
          <w:i/>
        </w:rPr>
        <w:t>odes</w:t>
      </w:r>
      <w:r w:rsidR="008E233B" w:rsidRPr="00A67669">
        <w:rPr>
          <w:b/>
          <w:i/>
        </w:rPr>
        <w:t xml:space="preserve"> for completion</w:t>
      </w:r>
      <w:r w:rsidRPr="00A67669">
        <w:rPr>
          <w:b/>
          <w:i/>
        </w:rPr>
        <w:t>.</w:t>
      </w:r>
      <w:proofErr w:type="gramEnd"/>
      <w:r>
        <w:t xml:space="preserve"> </w:t>
      </w:r>
      <w:r w:rsidR="00BF6A4B">
        <w:t xml:space="preserve">Research shows that the using a sequential mixed-mode approach—a design in which a second or subsequent mode of administration is used to recruit </w:t>
      </w:r>
      <w:proofErr w:type="spellStart"/>
      <w:r w:rsidR="00BF6A4B">
        <w:t>nonrespondents</w:t>
      </w:r>
      <w:proofErr w:type="spellEnd"/>
      <w:r w:rsidR="00BF6A4B">
        <w:t>—is a cost-efficient method to significantly increase survey response rates relative to using a single mode (</w:t>
      </w:r>
      <w:proofErr w:type="spellStart"/>
      <w:r w:rsidR="00BF6A4B">
        <w:t>Dillman</w:t>
      </w:r>
      <w:proofErr w:type="spellEnd"/>
      <w:r w:rsidR="00BF6A4B">
        <w:t xml:space="preserve"> et al. 2014). The subsequent mode</w:t>
      </w:r>
      <w:r w:rsidR="00E47C0B">
        <w:t xml:space="preserve"> used</w:t>
      </w:r>
      <w:r w:rsidR="00BF6A4B">
        <w:t xml:space="preserve"> tends to have higher costs associated with it but also tends to result in higher response rates than the first mode. In this design, we begin with a relatively inexpensive Web survey, followed by a mail survey for </w:t>
      </w:r>
      <w:proofErr w:type="spellStart"/>
      <w:r w:rsidR="00BF6A4B">
        <w:t>nonrespondents</w:t>
      </w:r>
      <w:proofErr w:type="spellEnd"/>
      <w:r w:rsidR="00BF6A4B">
        <w:t xml:space="preserve"> to the Web survey.</w:t>
      </w:r>
      <w:r w:rsidR="00E47C0B">
        <w:t xml:space="preserve"> </w:t>
      </w:r>
      <w:r w:rsidR="005F42C2">
        <w:t xml:space="preserve">A wealth of research has indicated that these designs can also increase response rates </w:t>
      </w:r>
      <w:r w:rsidR="00E47C0B">
        <w:t xml:space="preserve">in a cost-effective manner </w:t>
      </w:r>
      <w:r w:rsidR="005F42C2">
        <w:t xml:space="preserve">(e.g., Beebe et al., 2007; de </w:t>
      </w:r>
      <w:proofErr w:type="spellStart"/>
      <w:r w:rsidR="005F42C2">
        <w:t>Leeuw</w:t>
      </w:r>
      <w:proofErr w:type="spellEnd"/>
      <w:r w:rsidR="005F42C2">
        <w:t>, 2005).</w:t>
      </w:r>
    </w:p>
    <w:p w14:paraId="659A872D" w14:textId="5C2E62B8" w:rsidR="00E47C0B" w:rsidRDefault="00263D5B" w:rsidP="00B1219B">
      <w:pPr>
        <w:pStyle w:val="BodyText"/>
        <w:spacing w:after="120"/>
      </w:pPr>
      <w:proofErr w:type="gramStart"/>
      <w:r>
        <w:rPr>
          <w:b/>
          <w:i/>
        </w:rPr>
        <w:t>Offering i</w:t>
      </w:r>
      <w:r w:rsidR="00E00FAF">
        <w:rPr>
          <w:b/>
          <w:i/>
        </w:rPr>
        <w:t>ncentives.</w:t>
      </w:r>
      <w:proofErr w:type="gramEnd"/>
      <w:r w:rsidR="00E00FAF">
        <w:rPr>
          <w:b/>
          <w:i/>
        </w:rPr>
        <w:t xml:space="preserve"> </w:t>
      </w:r>
      <w:r w:rsidR="00E00FAF">
        <w:t xml:space="preserve">As noted in Part </w:t>
      </w:r>
      <w:proofErr w:type="gramStart"/>
      <w:r w:rsidR="00E00FAF">
        <w:t>A</w:t>
      </w:r>
      <w:proofErr w:type="gramEnd"/>
      <w:r w:rsidR="00E00FAF">
        <w:t xml:space="preserve">, </w:t>
      </w:r>
      <w:r w:rsidR="00E00FAF" w:rsidRPr="00E00FAF">
        <w:t>district and principal respondents that satisfactorily complete and submit a survey will receive $25.00 gift cards as a token of appreciation for their time and effort.</w:t>
      </w:r>
      <w:r w:rsidR="00E00FAF">
        <w:t xml:space="preserve"> Research has shown that providing incentives can increase response rates</w:t>
      </w:r>
      <w:r w:rsidR="00D022A2">
        <w:t xml:space="preserve"> (</w:t>
      </w:r>
      <w:proofErr w:type="spellStart"/>
      <w:r w:rsidR="00217FC4">
        <w:t>Dillman</w:t>
      </w:r>
      <w:proofErr w:type="spellEnd"/>
      <w:r w:rsidR="00217FC4">
        <w:t xml:space="preserve"> et al., </w:t>
      </w:r>
      <w:r w:rsidR="00EF7DF2">
        <w:t>2014</w:t>
      </w:r>
      <w:r w:rsidR="00AA1877">
        <w:t xml:space="preserve">; </w:t>
      </w:r>
      <w:r w:rsidR="00217FC4">
        <w:t xml:space="preserve">Groves et al., 2000; Singer, 2002; </w:t>
      </w:r>
      <w:r w:rsidR="00B1219B">
        <w:t>Singer and Ye, 2012).</w:t>
      </w:r>
    </w:p>
    <w:p w14:paraId="556FA890" w14:textId="0DD808B4" w:rsidR="00E00FAF" w:rsidRDefault="00116F57">
      <w:pPr>
        <w:pStyle w:val="BodyText"/>
      </w:pPr>
      <w:r>
        <w:lastRenderedPageBreak/>
        <w:t>There will be n</w:t>
      </w:r>
      <w:r w:rsidR="004D0EDC">
        <w:t xml:space="preserve">o increase in the study budget; </w:t>
      </w:r>
      <w:r w:rsidR="004D0EDC" w:rsidRPr="004D0EDC">
        <w:t>other slight adjustments to the allocation of contract funding</w:t>
      </w:r>
      <w:r w:rsidR="004D0EDC">
        <w:t xml:space="preserve"> will be made</w:t>
      </w:r>
      <w:r w:rsidR="004D0EDC" w:rsidRPr="004D0EDC">
        <w:t xml:space="preserve"> in order to free up the funds for the incentive payments</w:t>
      </w:r>
      <w:r w:rsidR="004D0EDC">
        <w:t xml:space="preserve">. In addition, the cost may be offset because fewer telephone follow-ups </w:t>
      </w:r>
      <w:r w:rsidR="00E47C0B">
        <w:t>are expected to</w:t>
      </w:r>
      <w:r w:rsidR="004D0EDC">
        <w:t xml:space="preserve"> be necessary</w:t>
      </w:r>
      <w:r w:rsidR="00E47C0B">
        <w:t>.</w:t>
      </w:r>
    </w:p>
    <w:p w14:paraId="473991D2" w14:textId="77777777" w:rsidR="0057547B" w:rsidRDefault="000C6EF4">
      <w:pPr>
        <w:pStyle w:val="Heading3"/>
      </w:pPr>
      <w:bookmarkStart w:id="27" w:name="_Toc274743227"/>
      <w:bookmarkStart w:id="28" w:name="_Toc482978873"/>
      <w:r>
        <w:t>4. Expert Review and Piloting Procedures</w:t>
      </w:r>
      <w:bookmarkEnd w:id="27"/>
      <w:bookmarkEnd w:id="28"/>
    </w:p>
    <w:p w14:paraId="29AB85C2" w14:textId="29D0E780" w:rsidR="0057547B" w:rsidRDefault="000C6EF4">
      <w:pPr>
        <w:pStyle w:val="BodyText"/>
      </w:pPr>
      <w:r>
        <w:t xml:space="preserve">To ensure the quality of the data collection instruments, the study team </w:t>
      </w:r>
      <w:r w:rsidR="001306EF">
        <w:t xml:space="preserve">will </w:t>
      </w:r>
      <w:r w:rsidR="008E233B">
        <w:t>solicit</w:t>
      </w:r>
      <w:r w:rsidR="001306EF">
        <w:t xml:space="preserve"> </w:t>
      </w:r>
      <w:r w:rsidR="008E233B">
        <w:t xml:space="preserve">feedback on survey items from technical working group (TWG) </w:t>
      </w:r>
      <w:r w:rsidR="001306EF">
        <w:t xml:space="preserve">members and well as </w:t>
      </w:r>
      <w:r w:rsidR="001306EF">
        <w:rPr>
          <w:noProof/>
        </w:rPr>
        <w:t xml:space="preserve">current and former district and school </w:t>
      </w:r>
      <w:proofErr w:type="gramStart"/>
      <w:r w:rsidR="001306EF">
        <w:rPr>
          <w:noProof/>
        </w:rPr>
        <w:t>staff</w:t>
      </w:r>
      <w:r w:rsidR="001306EF">
        <w:t xml:space="preserve"> </w:t>
      </w:r>
      <w:r w:rsidR="001306EF">
        <w:rPr>
          <w:noProof/>
        </w:rPr>
        <w:t>ensure</w:t>
      </w:r>
      <w:proofErr w:type="gramEnd"/>
      <w:r w:rsidR="001306EF">
        <w:rPr>
          <w:noProof/>
        </w:rPr>
        <w:t xml:space="preserve"> the drafted items that will result in high-quality </w:t>
      </w:r>
      <w:r w:rsidR="001306EF">
        <w:t>data</w:t>
      </w:r>
      <w:r w:rsidR="001306EF">
        <w:rPr>
          <w:noProof/>
        </w:rPr>
        <w:t xml:space="preserve"> to address the study’s research questions</w:t>
      </w:r>
      <w:r w:rsidR="00DF5BBB">
        <w:rPr>
          <w:noProof/>
        </w:rPr>
        <w:t xml:space="preserve">. </w:t>
      </w:r>
      <w:r w:rsidR="006F04E9">
        <w:t xml:space="preserve">The </w:t>
      </w:r>
      <w:r w:rsidR="008E233B">
        <w:t xml:space="preserve">TWG members </w:t>
      </w:r>
      <w:r w:rsidR="004B3BF5">
        <w:t xml:space="preserve">include </w:t>
      </w:r>
      <w:r w:rsidR="008E233B">
        <w:t xml:space="preserve">two </w:t>
      </w:r>
      <w:r w:rsidR="004B3BF5">
        <w:t xml:space="preserve">university professors, each with research expertise in educational resource allocation, WSF and </w:t>
      </w:r>
      <w:r w:rsidR="00587D92">
        <w:t>SBB systems, and related policy;</w:t>
      </w:r>
      <w:r w:rsidR="008E233B">
        <w:t xml:space="preserve"> and three practitioners</w:t>
      </w:r>
      <w:r w:rsidR="00BE70BB">
        <w:t xml:space="preserve"> </w:t>
      </w:r>
      <w:r w:rsidR="004B3BF5">
        <w:t xml:space="preserve">(two at the district level and one at the state level) who have been directly involved in the implementation of WSF </w:t>
      </w:r>
      <w:r w:rsidR="00587D92">
        <w:t xml:space="preserve">and SBB </w:t>
      </w:r>
      <w:r w:rsidR="004B3BF5">
        <w:t>systems</w:t>
      </w:r>
      <w:r w:rsidR="00BE70BB">
        <w:t>.</w:t>
      </w:r>
      <w:r w:rsidR="008E233B">
        <w:t xml:space="preserve"> </w:t>
      </w:r>
      <w:r w:rsidR="001306EF">
        <w:t xml:space="preserve">We solicited feedback on survey items from the TWG members during an in-person meeting in March 2017. </w:t>
      </w:r>
      <w:r w:rsidR="009F4894">
        <w:t xml:space="preserve">We have revised the survey items based on their initial feedback and will </w:t>
      </w:r>
      <w:r w:rsidR="00213E41">
        <w:t>continue to consult with the group as needed</w:t>
      </w:r>
      <w:r w:rsidR="009F4894">
        <w:t>.</w:t>
      </w:r>
      <w:r w:rsidR="00DF5BBB">
        <w:rPr>
          <w:noProof/>
        </w:rPr>
        <w:t xml:space="preserve"> </w:t>
      </w:r>
      <w:r>
        <w:t xml:space="preserve">The study team will </w:t>
      </w:r>
      <w:r w:rsidR="00213E41">
        <w:t xml:space="preserve">also </w:t>
      </w:r>
      <w:r>
        <w:t xml:space="preserve">conduct cognitive interviews with a limited set of </w:t>
      </w:r>
      <w:proofErr w:type="spellStart"/>
      <w:r>
        <w:t>principals</w:t>
      </w:r>
      <w:proofErr w:type="spellEnd"/>
      <w:r>
        <w:t xml:space="preserve"> and district officials to pilot the survey items, again respecting limits regarding the number of respondents prior to OMB clearance.</w:t>
      </w:r>
    </w:p>
    <w:p w14:paraId="34372005" w14:textId="77777777" w:rsidR="0057547B" w:rsidRDefault="000C6EF4">
      <w:pPr>
        <w:pStyle w:val="Heading3"/>
      </w:pPr>
      <w:bookmarkStart w:id="29" w:name="_Toc274743228"/>
      <w:bookmarkStart w:id="30" w:name="_Toc482978874"/>
      <w:r>
        <w:t>5. Individuals and Organizations Involved in the Project</w:t>
      </w:r>
      <w:bookmarkEnd w:id="29"/>
      <w:bookmarkEnd w:id="30"/>
    </w:p>
    <w:p w14:paraId="41D430AA" w14:textId="215B385D" w:rsidR="0057547B" w:rsidRDefault="000C6EF4">
      <w:pPr>
        <w:pStyle w:val="BodyText"/>
      </w:pPr>
      <w:r>
        <w:t xml:space="preserve">AIR is the contractor for the </w:t>
      </w:r>
      <w:r w:rsidR="0024548E">
        <w:t>study</w:t>
      </w:r>
      <w:r>
        <w:t xml:space="preserve">. The project director is Dr. Jesse Levin, who is supported by an experienced team of researchers leading the major tasks of the project. Contact information for the individuals and organizations involved in the project is presented in Exhibit </w:t>
      </w:r>
      <w:r w:rsidR="00885663">
        <w:t>7</w:t>
      </w:r>
    </w:p>
    <w:p w14:paraId="4F5D36E6" w14:textId="21B5E9AE" w:rsidR="0057547B" w:rsidRDefault="000C6EF4">
      <w:pPr>
        <w:pStyle w:val="ExhibitTitle"/>
      </w:pPr>
      <w:bookmarkStart w:id="31" w:name="_Toc223416674"/>
      <w:bookmarkStart w:id="32" w:name="_Toc274743355"/>
      <w:proofErr w:type="gramStart"/>
      <w:r>
        <w:t xml:space="preserve">Exhibit </w:t>
      </w:r>
      <w:r w:rsidR="00885663">
        <w:t>7</w:t>
      </w:r>
      <w:r>
        <w:t>.</w:t>
      </w:r>
      <w:proofErr w:type="gramEnd"/>
      <w:r>
        <w:t xml:space="preserve"> Organizations and Individuals Involved in the Project</w:t>
      </w:r>
      <w:bookmarkEnd w:id="31"/>
      <w:bookmarkEnd w:id="32"/>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115" w:type="dxa"/>
          <w:right w:w="115" w:type="dxa"/>
        </w:tblCellMar>
        <w:tblLook w:val="04A0" w:firstRow="1" w:lastRow="0" w:firstColumn="1" w:lastColumn="0" w:noHBand="0" w:noVBand="1"/>
      </w:tblPr>
      <w:tblGrid>
        <w:gridCol w:w="2561"/>
        <w:gridCol w:w="2531"/>
        <w:gridCol w:w="3014"/>
        <w:gridCol w:w="2060"/>
      </w:tblGrid>
      <w:tr w:rsidR="0057547B" w14:paraId="4AD07128" w14:textId="77777777">
        <w:trPr>
          <w:jc w:val="center"/>
        </w:trPr>
        <w:tc>
          <w:tcPr>
            <w:tcW w:w="2501" w:type="dxa"/>
            <w:shd w:val="clear" w:color="auto" w:fill="4F81BD" w:themeFill="accent1"/>
            <w:vAlign w:val="center"/>
          </w:tcPr>
          <w:p w14:paraId="4610038D" w14:textId="77777777" w:rsidR="0057547B" w:rsidRPr="00443FA0" w:rsidRDefault="000C6EF4">
            <w:pPr>
              <w:pStyle w:val="ExhibitHeading"/>
              <w:spacing w:before="40" w:after="40"/>
              <w:rPr>
                <w:rFonts w:asciiTheme="minorHAnsi" w:hAnsiTheme="minorHAnsi" w:cs="Arial"/>
                <w:color w:val="FFFFFF" w:themeColor="background1"/>
              </w:rPr>
            </w:pPr>
            <w:r w:rsidRPr="00443FA0">
              <w:rPr>
                <w:rFonts w:asciiTheme="minorHAnsi" w:hAnsiTheme="minorHAnsi" w:cs="Arial"/>
                <w:color w:val="FFFFFF" w:themeColor="background1"/>
              </w:rPr>
              <w:t>Responsibility</w:t>
            </w:r>
          </w:p>
        </w:tc>
        <w:tc>
          <w:tcPr>
            <w:tcW w:w="2471" w:type="dxa"/>
            <w:shd w:val="clear" w:color="auto" w:fill="4F81BD" w:themeFill="accent1"/>
            <w:vAlign w:val="center"/>
          </w:tcPr>
          <w:p w14:paraId="6F650492" w14:textId="77777777" w:rsidR="0057547B" w:rsidRPr="00443FA0" w:rsidRDefault="000C6EF4">
            <w:pPr>
              <w:pStyle w:val="ExhibitHeading"/>
              <w:spacing w:before="40" w:after="40"/>
              <w:rPr>
                <w:rFonts w:asciiTheme="minorHAnsi" w:hAnsiTheme="minorHAnsi" w:cs="Arial"/>
                <w:color w:val="FFFFFF" w:themeColor="background1"/>
              </w:rPr>
            </w:pPr>
            <w:r w:rsidRPr="00443FA0">
              <w:rPr>
                <w:rFonts w:asciiTheme="minorHAnsi" w:hAnsiTheme="minorHAnsi" w:cs="Arial"/>
                <w:color w:val="FFFFFF" w:themeColor="background1"/>
              </w:rPr>
              <w:t>Contact Name</w:t>
            </w:r>
          </w:p>
        </w:tc>
        <w:tc>
          <w:tcPr>
            <w:tcW w:w="2943" w:type="dxa"/>
            <w:shd w:val="clear" w:color="auto" w:fill="4F81BD" w:themeFill="accent1"/>
            <w:vAlign w:val="center"/>
          </w:tcPr>
          <w:p w14:paraId="116D58C4" w14:textId="77777777" w:rsidR="0057547B" w:rsidRPr="00443FA0" w:rsidRDefault="000C6EF4">
            <w:pPr>
              <w:pStyle w:val="ExhibitHeading"/>
              <w:spacing w:before="40" w:after="40"/>
              <w:rPr>
                <w:rFonts w:asciiTheme="minorHAnsi" w:hAnsiTheme="minorHAnsi" w:cs="Arial"/>
                <w:color w:val="FFFFFF" w:themeColor="background1"/>
              </w:rPr>
            </w:pPr>
            <w:r w:rsidRPr="00443FA0">
              <w:rPr>
                <w:rFonts w:asciiTheme="minorHAnsi" w:hAnsiTheme="minorHAnsi" w:cs="Arial"/>
                <w:color w:val="FFFFFF" w:themeColor="background1"/>
              </w:rPr>
              <w:t>Organization</w:t>
            </w:r>
          </w:p>
        </w:tc>
        <w:tc>
          <w:tcPr>
            <w:tcW w:w="2011" w:type="dxa"/>
            <w:shd w:val="clear" w:color="auto" w:fill="4F81BD" w:themeFill="accent1"/>
            <w:vAlign w:val="center"/>
          </w:tcPr>
          <w:p w14:paraId="2AF31745" w14:textId="77777777" w:rsidR="0057547B" w:rsidRPr="00443FA0" w:rsidRDefault="000C6EF4">
            <w:pPr>
              <w:pStyle w:val="ExhibitHeading"/>
              <w:spacing w:before="40" w:after="40"/>
              <w:rPr>
                <w:rFonts w:asciiTheme="minorHAnsi" w:hAnsiTheme="minorHAnsi" w:cs="Arial"/>
                <w:color w:val="FFFFFF" w:themeColor="background1"/>
              </w:rPr>
            </w:pPr>
            <w:r w:rsidRPr="00443FA0">
              <w:rPr>
                <w:rFonts w:asciiTheme="minorHAnsi" w:hAnsiTheme="minorHAnsi" w:cs="Arial"/>
                <w:color w:val="FFFFFF" w:themeColor="background1"/>
              </w:rPr>
              <w:t>Telephone Number</w:t>
            </w:r>
          </w:p>
        </w:tc>
      </w:tr>
      <w:tr w:rsidR="0057547B" w14:paraId="50408D30" w14:textId="77777777">
        <w:trPr>
          <w:jc w:val="center"/>
        </w:trPr>
        <w:tc>
          <w:tcPr>
            <w:tcW w:w="2501" w:type="dxa"/>
          </w:tcPr>
          <w:p w14:paraId="3991E320"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Project Director</w:t>
            </w:r>
          </w:p>
        </w:tc>
        <w:tc>
          <w:tcPr>
            <w:tcW w:w="2471" w:type="dxa"/>
          </w:tcPr>
          <w:p w14:paraId="2CC30311" w14:textId="34C5FA84" w:rsidR="0057547B" w:rsidRPr="00443FA0" w:rsidRDefault="0040345E">
            <w:pPr>
              <w:pStyle w:val="ExhibitText"/>
              <w:keepNext/>
              <w:spacing w:before="40" w:after="40"/>
              <w:rPr>
                <w:rFonts w:asciiTheme="minorHAnsi" w:hAnsiTheme="minorHAnsi" w:cs="Arial"/>
              </w:rPr>
            </w:pPr>
            <w:r>
              <w:rPr>
                <w:rFonts w:asciiTheme="minorHAnsi" w:hAnsiTheme="minorHAnsi" w:cs="Arial"/>
              </w:rPr>
              <w:t xml:space="preserve">Dr. </w:t>
            </w:r>
            <w:r w:rsidR="000C6EF4" w:rsidRPr="00443FA0">
              <w:rPr>
                <w:rFonts w:asciiTheme="minorHAnsi" w:hAnsiTheme="minorHAnsi" w:cs="Arial"/>
              </w:rPr>
              <w:t>Jesse Levin</w:t>
            </w:r>
          </w:p>
        </w:tc>
        <w:tc>
          <w:tcPr>
            <w:tcW w:w="2943" w:type="dxa"/>
          </w:tcPr>
          <w:p w14:paraId="50595EBE"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0F948860" w14:textId="0E5CE5D1" w:rsidR="0057547B" w:rsidRPr="00443FA0" w:rsidRDefault="000C6EF4" w:rsidP="009F62A3">
            <w:pPr>
              <w:pStyle w:val="ExhibitText"/>
              <w:keepNext/>
              <w:spacing w:before="40" w:after="40"/>
              <w:rPr>
                <w:rFonts w:asciiTheme="minorHAnsi" w:hAnsiTheme="minorHAnsi" w:cs="Arial"/>
              </w:rPr>
            </w:pPr>
            <w:r w:rsidRPr="00443FA0">
              <w:rPr>
                <w:rFonts w:asciiTheme="minorHAnsi" w:hAnsiTheme="minorHAnsi" w:cs="Arial"/>
              </w:rPr>
              <w:t xml:space="preserve">(650) </w:t>
            </w:r>
            <w:r w:rsidR="009F62A3">
              <w:rPr>
                <w:rFonts w:asciiTheme="minorHAnsi" w:hAnsiTheme="minorHAnsi" w:cs="Arial"/>
              </w:rPr>
              <w:t>376-62</w:t>
            </w:r>
            <w:r w:rsidRPr="00443FA0">
              <w:rPr>
                <w:rFonts w:asciiTheme="minorHAnsi" w:hAnsiTheme="minorHAnsi" w:cs="Arial"/>
              </w:rPr>
              <w:t>70</w:t>
            </w:r>
          </w:p>
        </w:tc>
      </w:tr>
      <w:tr w:rsidR="0057547B" w14:paraId="401EC5CD" w14:textId="77777777">
        <w:trPr>
          <w:jc w:val="center"/>
        </w:trPr>
        <w:tc>
          <w:tcPr>
            <w:tcW w:w="2501" w:type="dxa"/>
          </w:tcPr>
          <w:p w14:paraId="57753AC2"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Deputy Project Director</w:t>
            </w:r>
          </w:p>
        </w:tc>
        <w:tc>
          <w:tcPr>
            <w:tcW w:w="2471" w:type="dxa"/>
          </w:tcPr>
          <w:p w14:paraId="475C19E4"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Karen Manship</w:t>
            </w:r>
          </w:p>
        </w:tc>
        <w:tc>
          <w:tcPr>
            <w:tcW w:w="2943" w:type="dxa"/>
          </w:tcPr>
          <w:p w14:paraId="335A0B82"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20783F3D" w14:textId="1CE93E59" w:rsidR="0057547B" w:rsidRPr="00443FA0" w:rsidRDefault="000C6EF4" w:rsidP="009F62A3">
            <w:pPr>
              <w:pStyle w:val="ExhibitText"/>
              <w:keepNext/>
              <w:spacing w:before="40" w:after="40"/>
              <w:rPr>
                <w:rFonts w:asciiTheme="minorHAnsi" w:hAnsiTheme="minorHAnsi" w:cs="Arial"/>
              </w:rPr>
            </w:pPr>
            <w:r w:rsidRPr="00443FA0">
              <w:rPr>
                <w:rFonts w:asciiTheme="minorHAnsi" w:hAnsiTheme="minorHAnsi" w:cs="Arial"/>
              </w:rPr>
              <w:t xml:space="preserve">(650) </w:t>
            </w:r>
            <w:r w:rsidR="009F62A3">
              <w:rPr>
                <w:rFonts w:asciiTheme="minorHAnsi" w:hAnsiTheme="minorHAnsi" w:cs="Arial"/>
              </w:rPr>
              <w:t>376-63</w:t>
            </w:r>
            <w:r w:rsidRPr="00443FA0">
              <w:rPr>
                <w:rFonts w:asciiTheme="minorHAnsi" w:hAnsiTheme="minorHAnsi" w:cs="Arial"/>
              </w:rPr>
              <w:t>98</w:t>
            </w:r>
          </w:p>
        </w:tc>
      </w:tr>
      <w:tr w:rsidR="0057547B" w14:paraId="08BD16B3" w14:textId="77777777">
        <w:trPr>
          <w:jc w:val="center"/>
        </w:trPr>
        <w:tc>
          <w:tcPr>
            <w:tcW w:w="2501" w:type="dxa"/>
          </w:tcPr>
          <w:p w14:paraId="77971D9D"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Senior Advisor</w:t>
            </w:r>
          </w:p>
        </w:tc>
        <w:tc>
          <w:tcPr>
            <w:tcW w:w="2471" w:type="dxa"/>
          </w:tcPr>
          <w:p w14:paraId="7B580F8F"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Dr. Kerstin Carlson LeFloch</w:t>
            </w:r>
          </w:p>
        </w:tc>
        <w:tc>
          <w:tcPr>
            <w:tcW w:w="2943" w:type="dxa"/>
          </w:tcPr>
          <w:p w14:paraId="7C59E724"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20055C92"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(202) 403-5649</w:t>
            </w:r>
          </w:p>
        </w:tc>
      </w:tr>
      <w:tr w:rsidR="0057547B" w14:paraId="54ABBB83" w14:textId="77777777">
        <w:trPr>
          <w:jc w:val="center"/>
        </w:trPr>
        <w:tc>
          <w:tcPr>
            <w:tcW w:w="2501" w:type="dxa"/>
          </w:tcPr>
          <w:p w14:paraId="591C7358"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Senior Advisor</w:t>
            </w:r>
          </w:p>
        </w:tc>
        <w:tc>
          <w:tcPr>
            <w:tcW w:w="2471" w:type="dxa"/>
          </w:tcPr>
          <w:p w14:paraId="3381D827"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Dr. Jay Chambers</w:t>
            </w:r>
          </w:p>
        </w:tc>
        <w:tc>
          <w:tcPr>
            <w:tcW w:w="2943" w:type="dxa"/>
          </w:tcPr>
          <w:p w14:paraId="174E1A33"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2A4FDBB0" w14:textId="791B272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 xml:space="preserve">(650) </w:t>
            </w:r>
            <w:r w:rsidR="009F62A3">
              <w:rPr>
                <w:rFonts w:asciiTheme="minorHAnsi" w:hAnsiTheme="minorHAnsi" w:cs="Arial"/>
              </w:rPr>
              <w:t>376</w:t>
            </w:r>
            <w:r w:rsidRPr="00443FA0">
              <w:rPr>
                <w:rFonts w:asciiTheme="minorHAnsi" w:hAnsiTheme="minorHAnsi" w:cs="Arial"/>
              </w:rPr>
              <w:t>-</w:t>
            </w:r>
            <w:r w:rsidR="009F62A3">
              <w:rPr>
                <w:rFonts w:asciiTheme="minorHAnsi" w:hAnsiTheme="minorHAnsi" w:cs="Arial"/>
              </w:rPr>
              <w:t>63</w:t>
            </w:r>
            <w:r w:rsidRPr="00443FA0">
              <w:rPr>
                <w:rFonts w:asciiTheme="minorHAnsi" w:hAnsiTheme="minorHAnsi" w:cs="Arial"/>
              </w:rPr>
              <w:t>11</w:t>
            </w:r>
          </w:p>
        </w:tc>
      </w:tr>
      <w:tr w:rsidR="0057547B" w14:paraId="5764B6CB" w14:textId="77777777">
        <w:trPr>
          <w:jc w:val="center"/>
        </w:trPr>
        <w:tc>
          <w:tcPr>
            <w:tcW w:w="2501" w:type="dxa"/>
          </w:tcPr>
          <w:p w14:paraId="5B4582DB"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Senior Advisor</w:t>
            </w:r>
          </w:p>
        </w:tc>
        <w:tc>
          <w:tcPr>
            <w:tcW w:w="2471" w:type="dxa"/>
          </w:tcPr>
          <w:p w14:paraId="14B9E57A"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 xml:space="preserve">Dr. Sandy </w:t>
            </w:r>
            <w:proofErr w:type="spellStart"/>
            <w:r w:rsidRPr="00443FA0">
              <w:rPr>
                <w:rFonts w:asciiTheme="minorHAnsi" w:hAnsiTheme="minorHAnsi" w:cs="Arial"/>
              </w:rPr>
              <w:t>Eyster</w:t>
            </w:r>
            <w:proofErr w:type="spellEnd"/>
          </w:p>
        </w:tc>
        <w:tc>
          <w:tcPr>
            <w:tcW w:w="2943" w:type="dxa"/>
          </w:tcPr>
          <w:p w14:paraId="3AA52B99"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AIR</w:t>
            </w:r>
          </w:p>
        </w:tc>
        <w:tc>
          <w:tcPr>
            <w:tcW w:w="2011" w:type="dxa"/>
          </w:tcPr>
          <w:p w14:paraId="6D8661D9" w14:textId="77777777" w:rsidR="0057547B" w:rsidRPr="00443FA0" w:rsidRDefault="000C6EF4">
            <w:pPr>
              <w:pStyle w:val="ExhibitText"/>
              <w:keepNext/>
              <w:spacing w:before="40" w:after="40"/>
              <w:rPr>
                <w:rFonts w:asciiTheme="minorHAnsi" w:hAnsiTheme="minorHAnsi" w:cs="Arial"/>
              </w:rPr>
            </w:pPr>
            <w:r w:rsidRPr="00443FA0">
              <w:rPr>
                <w:rFonts w:asciiTheme="minorHAnsi" w:hAnsiTheme="minorHAnsi" w:cs="Arial"/>
              </w:rPr>
              <w:t>(202) 403-6149</w:t>
            </w:r>
          </w:p>
        </w:tc>
      </w:tr>
      <w:tr w:rsidR="0057547B" w14:paraId="09F5D6BE" w14:textId="77777777">
        <w:trPr>
          <w:jc w:val="center"/>
        </w:trPr>
        <w:tc>
          <w:tcPr>
            <w:tcW w:w="2501" w:type="dxa"/>
          </w:tcPr>
          <w:p w14:paraId="4DC5786A"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Case Study Task Lead</w:t>
            </w:r>
          </w:p>
        </w:tc>
        <w:tc>
          <w:tcPr>
            <w:tcW w:w="2471" w:type="dxa"/>
          </w:tcPr>
          <w:p w14:paraId="2BA95F37"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Steve Hurlburt</w:t>
            </w:r>
          </w:p>
        </w:tc>
        <w:tc>
          <w:tcPr>
            <w:tcW w:w="2943" w:type="dxa"/>
          </w:tcPr>
          <w:p w14:paraId="1BB67941"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AIR</w:t>
            </w:r>
          </w:p>
        </w:tc>
        <w:tc>
          <w:tcPr>
            <w:tcW w:w="2011" w:type="dxa"/>
          </w:tcPr>
          <w:p w14:paraId="425675E6"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(202) 403-6851</w:t>
            </w:r>
          </w:p>
        </w:tc>
      </w:tr>
      <w:tr w:rsidR="0057547B" w14:paraId="29431129" w14:textId="77777777">
        <w:trPr>
          <w:jc w:val="center"/>
        </w:trPr>
        <w:tc>
          <w:tcPr>
            <w:tcW w:w="2501" w:type="dxa"/>
          </w:tcPr>
          <w:p w14:paraId="373BF6DD"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Survey Task Lead</w:t>
            </w:r>
          </w:p>
        </w:tc>
        <w:tc>
          <w:tcPr>
            <w:tcW w:w="2471" w:type="dxa"/>
          </w:tcPr>
          <w:p w14:paraId="127A4CD6"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Kathy Sonnenfeld</w:t>
            </w:r>
          </w:p>
        </w:tc>
        <w:tc>
          <w:tcPr>
            <w:tcW w:w="2943" w:type="dxa"/>
          </w:tcPr>
          <w:p w14:paraId="78E26B55"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AIR</w:t>
            </w:r>
          </w:p>
        </w:tc>
        <w:tc>
          <w:tcPr>
            <w:tcW w:w="2011" w:type="dxa"/>
          </w:tcPr>
          <w:p w14:paraId="213C818F"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(609) 403-6444</w:t>
            </w:r>
          </w:p>
        </w:tc>
      </w:tr>
      <w:tr w:rsidR="0057547B" w14:paraId="122CE287" w14:textId="77777777">
        <w:trPr>
          <w:jc w:val="center"/>
        </w:trPr>
        <w:tc>
          <w:tcPr>
            <w:tcW w:w="2501" w:type="dxa"/>
          </w:tcPr>
          <w:p w14:paraId="0CF60CF1"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Consultant</w:t>
            </w:r>
          </w:p>
        </w:tc>
        <w:tc>
          <w:tcPr>
            <w:tcW w:w="2471" w:type="dxa"/>
          </w:tcPr>
          <w:p w14:paraId="565B321F"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Dr. Bruce Baker</w:t>
            </w:r>
          </w:p>
        </w:tc>
        <w:tc>
          <w:tcPr>
            <w:tcW w:w="2943" w:type="dxa"/>
          </w:tcPr>
          <w:p w14:paraId="039EAE6D"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Graduate School of Education at Rutgers University</w:t>
            </w:r>
          </w:p>
        </w:tc>
        <w:tc>
          <w:tcPr>
            <w:tcW w:w="2011" w:type="dxa"/>
          </w:tcPr>
          <w:p w14:paraId="799632EF"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(848) 932-0698</w:t>
            </w:r>
          </w:p>
        </w:tc>
      </w:tr>
      <w:tr w:rsidR="0057547B" w14:paraId="247C0815" w14:textId="77777777">
        <w:trPr>
          <w:jc w:val="center"/>
        </w:trPr>
        <w:tc>
          <w:tcPr>
            <w:tcW w:w="2501" w:type="dxa"/>
          </w:tcPr>
          <w:p w14:paraId="5EFB1781"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Consultant</w:t>
            </w:r>
          </w:p>
        </w:tc>
        <w:tc>
          <w:tcPr>
            <w:tcW w:w="2471" w:type="dxa"/>
          </w:tcPr>
          <w:p w14:paraId="61C18E1F"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Matt Hill</w:t>
            </w:r>
          </w:p>
        </w:tc>
        <w:tc>
          <w:tcPr>
            <w:tcW w:w="2943" w:type="dxa"/>
          </w:tcPr>
          <w:p w14:paraId="5976286E"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Burbank Unified School District</w:t>
            </w:r>
          </w:p>
        </w:tc>
        <w:tc>
          <w:tcPr>
            <w:tcW w:w="2011" w:type="dxa"/>
          </w:tcPr>
          <w:p w14:paraId="24F9F6C1" w14:textId="77777777" w:rsidR="0057547B" w:rsidRPr="00443FA0" w:rsidRDefault="000C6EF4">
            <w:pPr>
              <w:pStyle w:val="ExhibitText"/>
              <w:spacing w:before="40" w:after="40"/>
              <w:rPr>
                <w:rFonts w:asciiTheme="minorHAnsi" w:hAnsiTheme="minorHAnsi" w:cs="Arial"/>
              </w:rPr>
            </w:pPr>
            <w:r w:rsidRPr="00443FA0">
              <w:rPr>
                <w:rFonts w:asciiTheme="minorHAnsi" w:hAnsiTheme="minorHAnsi" w:cs="Arial"/>
              </w:rPr>
              <w:t>(818) 729-4422</w:t>
            </w:r>
          </w:p>
        </w:tc>
      </w:tr>
    </w:tbl>
    <w:p w14:paraId="454EC96C" w14:textId="77777777" w:rsidR="0057547B" w:rsidRDefault="000C6EF4">
      <w:pPr>
        <w:pStyle w:val="Heading1"/>
      </w:pPr>
      <w:r>
        <w:rPr>
          <w:sz w:val="24"/>
          <w:szCs w:val="24"/>
        </w:rPr>
        <w:br w:type="page"/>
      </w:r>
      <w:bookmarkStart w:id="33" w:name="_Toc277707151"/>
      <w:bookmarkStart w:id="34" w:name="_Toc482978875"/>
      <w:r>
        <w:lastRenderedPageBreak/>
        <w:t>References</w:t>
      </w:r>
      <w:bookmarkEnd w:id="33"/>
      <w:bookmarkEnd w:id="34"/>
    </w:p>
    <w:p w14:paraId="3C02EBF5" w14:textId="5C2727DC" w:rsidR="005F42C2" w:rsidRDefault="005F42C2" w:rsidP="005F42C2">
      <w:pPr>
        <w:pStyle w:val="References"/>
      </w:pPr>
      <w:proofErr w:type="gramStart"/>
      <w:r>
        <w:t xml:space="preserve">Beebe, T. J., Locke, G. R., Barnes, S., </w:t>
      </w:r>
      <w:proofErr w:type="spellStart"/>
      <w:r>
        <w:t>Davern</w:t>
      </w:r>
      <w:proofErr w:type="spellEnd"/>
      <w:r>
        <w:t>, M., &amp; Anderson, K. J. (2007).</w:t>
      </w:r>
      <w:proofErr w:type="gramEnd"/>
      <w:r>
        <w:t xml:space="preserve"> </w:t>
      </w:r>
      <w:proofErr w:type="gramStart"/>
      <w:r>
        <w:t>“Mixing Web and Mail Methods in a Survey of Physicians”.</w:t>
      </w:r>
      <w:proofErr w:type="gramEnd"/>
      <w:r>
        <w:t xml:space="preserve"> </w:t>
      </w:r>
      <w:r w:rsidRPr="005F42C2">
        <w:rPr>
          <w:i/>
        </w:rPr>
        <w:t>Health Services Research, 42</w:t>
      </w:r>
      <w:r>
        <w:t>(3), 1219-34.</w:t>
      </w:r>
    </w:p>
    <w:p w14:paraId="5722FB75" w14:textId="6679BD14" w:rsidR="005F42C2" w:rsidRDefault="005F42C2" w:rsidP="005F42C2">
      <w:pPr>
        <w:pStyle w:val="References"/>
      </w:pPr>
      <w:proofErr w:type="gramStart"/>
      <w:r>
        <w:t>de</w:t>
      </w:r>
      <w:proofErr w:type="gramEnd"/>
      <w:r>
        <w:t xml:space="preserve"> </w:t>
      </w:r>
      <w:proofErr w:type="spellStart"/>
      <w:r>
        <w:t>Leeuw</w:t>
      </w:r>
      <w:proofErr w:type="spellEnd"/>
      <w:r>
        <w:t xml:space="preserve">, E. D. (2005). </w:t>
      </w:r>
      <w:proofErr w:type="gramStart"/>
      <w:r>
        <w:t>“To Mix or Not to Mix Data Collection Modes in Surveys”.</w:t>
      </w:r>
      <w:proofErr w:type="gramEnd"/>
      <w:r>
        <w:t xml:space="preserve"> </w:t>
      </w:r>
      <w:r w:rsidRPr="005F42C2">
        <w:rPr>
          <w:i/>
        </w:rPr>
        <w:t>Journal of Official Statistics, 21</w:t>
      </w:r>
      <w:r>
        <w:t>(2), 233-255.</w:t>
      </w:r>
    </w:p>
    <w:p w14:paraId="7A920C1F" w14:textId="77777777" w:rsidR="0057547B" w:rsidRDefault="000C6EF4">
      <w:pPr>
        <w:pStyle w:val="References"/>
      </w:pPr>
      <w:r>
        <w:t xml:space="preserve">Couper, Mick P. 2000. “Web Surveys: A Review of Issues and Approaches.” </w:t>
      </w:r>
      <w:r>
        <w:rPr>
          <w:i/>
        </w:rPr>
        <w:t>Public Opinion Quarterly</w:t>
      </w:r>
      <w:r>
        <w:t xml:space="preserve"> </w:t>
      </w:r>
      <w:r w:rsidRPr="005F42C2">
        <w:rPr>
          <w:i/>
        </w:rPr>
        <w:t>64</w:t>
      </w:r>
      <w:r>
        <w:t xml:space="preserve"> (4): 464–94.</w:t>
      </w:r>
    </w:p>
    <w:p w14:paraId="4276EE3F" w14:textId="454DCCBF" w:rsidR="00801577" w:rsidRPr="00801577" w:rsidRDefault="00801577">
      <w:pPr>
        <w:pStyle w:val="References"/>
      </w:pPr>
      <w:proofErr w:type="gramStart"/>
      <w:r>
        <w:t>Curtin, R. Presser, S., and Singer, E. (2005).</w:t>
      </w:r>
      <w:proofErr w:type="gramEnd"/>
      <w:r>
        <w:t xml:space="preserve"> </w:t>
      </w:r>
      <w:proofErr w:type="gramStart"/>
      <w:r>
        <w:t>“Changes in Telephone Survey Nonresponse over the Past Quarter Century.”</w:t>
      </w:r>
      <w:proofErr w:type="gramEnd"/>
      <w:r>
        <w:t xml:space="preserve"> </w:t>
      </w:r>
      <w:r>
        <w:rPr>
          <w:i/>
        </w:rPr>
        <w:t>Public Opinion Quarterly, 69</w:t>
      </w:r>
      <w:r>
        <w:t>: 87-98.</w:t>
      </w:r>
    </w:p>
    <w:p w14:paraId="4FE803F0" w14:textId="77777777" w:rsidR="0057547B" w:rsidRDefault="000C6EF4" w:rsidP="00EF7DF2">
      <w:pPr>
        <w:pStyle w:val="REF"/>
      </w:pPr>
      <w:proofErr w:type="spellStart"/>
      <w:proofErr w:type="gramStart"/>
      <w:r>
        <w:t>Dillman</w:t>
      </w:r>
      <w:proofErr w:type="spellEnd"/>
      <w:r>
        <w:t xml:space="preserve">, Don A., Jolene D. Smyth, and Leah </w:t>
      </w:r>
      <w:proofErr w:type="spellStart"/>
      <w:r>
        <w:t>Melani</w:t>
      </w:r>
      <w:proofErr w:type="spellEnd"/>
      <w:r>
        <w:t xml:space="preserve"> Christian.</w:t>
      </w:r>
      <w:proofErr w:type="gramEnd"/>
      <w:r>
        <w:t xml:space="preserve"> 2014. </w:t>
      </w:r>
      <w:r>
        <w:rPr>
          <w:i/>
        </w:rPr>
        <w:t>Internet, Phone, Mail, and Mixed-Mode Surveys: The Tailored Design Method</w:t>
      </w:r>
      <w:r>
        <w:t>. Hoboken, NJ: John Wiley.</w:t>
      </w:r>
    </w:p>
    <w:p w14:paraId="37443AA0" w14:textId="5E593022" w:rsidR="00EF7DF2" w:rsidRPr="00EF7DF2" w:rsidRDefault="00EF7DF2" w:rsidP="00EF7DF2">
      <w:pPr>
        <w:pStyle w:val="References"/>
        <w:rPr>
          <w:rFonts w:asciiTheme="minorHAnsi" w:hAnsiTheme="minorHAnsi"/>
        </w:rPr>
      </w:pPr>
      <w:r w:rsidRPr="00EF7DF2">
        <w:rPr>
          <w:rFonts w:asciiTheme="minorHAnsi" w:hAnsiTheme="minorHAnsi"/>
        </w:rPr>
        <w:t xml:space="preserve">Groves, R. M. 2006. </w:t>
      </w:r>
      <w:proofErr w:type="gramStart"/>
      <w:r w:rsidRPr="00EF7DF2">
        <w:rPr>
          <w:rFonts w:asciiTheme="minorHAnsi" w:hAnsiTheme="minorHAnsi"/>
        </w:rPr>
        <w:t>Nonresponse Rates and Nonresponse Bias in Household Surveys.</w:t>
      </w:r>
      <w:proofErr w:type="gramEnd"/>
      <w:r w:rsidRPr="00EF7DF2">
        <w:rPr>
          <w:rFonts w:asciiTheme="minorHAnsi" w:hAnsiTheme="minorHAnsi"/>
        </w:rPr>
        <w:t xml:space="preserve"> </w:t>
      </w:r>
      <w:r w:rsidRPr="00EF7DF2">
        <w:rPr>
          <w:rFonts w:asciiTheme="minorHAnsi" w:hAnsiTheme="minorHAnsi"/>
          <w:i/>
        </w:rPr>
        <w:t>Public Opinion Quarterly, 70</w:t>
      </w:r>
      <w:r w:rsidRPr="00EF7DF2">
        <w:rPr>
          <w:rFonts w:asciiTheme="minorHAnsi" w:hAnsiTheme="minorHAnsi"/>
        </w:rPr>
        <w:t>(5), 646-675.</w:t>
      </w:r>
    </w:p>
    <w:p w14:paraId="4F89EA76" w14:textId="3C37F431" w:rsidR="00EF7DF2" w:rsidRPr="00EF7DF2" w:rsidRDefault="00EF7DF2" w:rsidP="00EF7DF2">
      <w:pPr>
        <w:pStyle w:val="References"/>
        <w:rPr>
          <w:rFonts w:asciiTheme="minorHAnsi" w:hAnsiTheme="minorHAnsi"/>
        </w:rPr>
      </w:pPr>
      <w:proofErr w:type="gramStart"/>
      <w:r w:rsidRPr="00EF7DF2">
        <w:rPr>
          <w:rFonts w:asciiTheme="minorHAnsi" w:hAnsiTheme="minorHAnsi"/>
        </w:rPr>
        <w:t xml:space="preserve">Groves, R. M. and </w:t>
      </w:r>
      <w:proofErr w:type="spellStart"/>
      <w:r w:rsidRPr="00EF7DF2">
        <w:rPr>
          <w:rFonts w:asciiTheme="minorHAnsi" w:hAnsiTheme="minorHAnsi"/>
        </w:rPr>
        <w:t>Peytcheva</w:t>
      </w:r>
      <w:proofErr w:type="spellEnd"/>
      <w:r w:rsidRPr="00EF7DF2">
        <w:rPr>
          <w:rFonts w:asciiTheme="minorHAnsi" w:hAnsiTheme="minorHAnsi"/>
        </w:rPr>
        <w:t>, E. 2008.</w:t>
      </w:r>
      <w:proofErr w:type="gramEnd"/>
      <w:r w:rsidRPr="00EF7DF2">
        <w:rPr>
          <w:rFonts w:asciiTheme="minorHAnsi" w:hAnsiTheme="minorHAnsi"/>
        </w:rPr>
        <w:t xml:space="preserve"> The Impact of Nonresponse Rates on Nonresponse Bias: A Meta-analysis. </w:t>
      </w:r>
      <w:r w:rsidRPr="00EF7DF2">
        <w:rPr>
          <w:rFonts w:asciiTheme="minorHAnsi" w:hAnsiTheme="minorHAnsi"/>
          <w:i/>
        </w:rPr>
        <w:t>Public Opinion Quarterly, 72</w:t>
      </w:r>
      <w:r w:rsidRPr="00EF7DF2">
        <w:rPr>
          <w:rFonts w:asciiTheme="minorHAnsi" w:hAnsiTheme="minorHAnsi"/>
        </w:rPr>
        <w:t>(2), 167-189.</w:t>
      </w:r>
    </w:p>
    <w:p w14:paraId="5A9CE384" w14:textId="208F186A" w:rsidR="00EF7DF2" w:rsidRPr="00EF7DF2" w:rsidRDefault="00EF7DF2" w:rsidP="00EF7DF2">
      <w:pPr>
        <w:pStyle w:val="References"/>
        <w:rPr>
          <w:rFonts w:asciiTheme="minorHAnsi" w:hAnsiTheme="minorHAnsi"/>
          <w:shd w:val="clear" w:color="auto" w:fill="FFFFFF"/>
        </w:rPr>
      </w:pPr>
      <w:r w:rsidRPr="00EF7DF2">
        <w:rPr>
          <w:rStyle w:val="nlmstring-name"/>
          <w:rFonts w:asciiTheme="minorHAnsi" w:hAnsiTheme="minorHAnsi" w:cs="Arial"/>
          <w:color w:val="333333"/>
          <w:shd w:val="clear" w:color="auto" w:fill="FFFFFF"/>
        </w:rPr>
        <w:t>Groves, R. M.</w:t>
      </w:r>
      <w:r w:rsidRPr="00EF7DF2">
        <w:rPr>
          <w:rFonts w:asciiTheme="minorHAnsi" w:hAnsiTheme="minorHAnsi"/>
          <w:shd w:val="clear" w:color="auto" w:fill="FFFFFF"/>
        </w:rPr>
        <w:t>,</w:t>
      </w:r>
      <w:r w:rsidRPr="00EF7DF2">
        <w:rPr>
          <w:rStyle w:val="apple-converted-space"/>
          <w:rFonts w:asciiTheme="minorHAnsi" w:hAnsiTheme="minorHAnsi" w:cs="Arial"/>
          <w:color w:val="333333"/>
          <w:shd w:val="clear" w:color="auto" w:fill="FFFFFF"/>
        </w:rPr>
        <w:t> </w:t>
      </w:r>
      <w:r w:rsidRPr="00EF7DF2">
        <w:rPr>
          <w:rStyle w:val="nlmstring-name"/>
          <w:rFonts w:asciiTheme="minorHAnsi" w:hAnsiTheme="minorHAnsi" w:cs="Arial"/>
          <w:color w:val="333333"/>
          <w:shd w:val="clear" w:color="auto" w:fill="FFFFFF"/>
        </w:rPr>
        <w:t>Singer, E.</w:t>
      </w:r>
      <w:r w:rsidRPr="00EF7DF2">
        <w:rPr>
          <w:rFonts w:asciiTheme="minorHAnsi" w:hAnsiTheme="minorHAnsi"/>
          <w:shd w:val="clear" w:color="auto" w:fill="FFFFFF"/>
        </w:rPr>
        <w:t>,</w:t>
      </w:r>
      <w:r w:rsidRPr="00EF7DF2">
        <w:rPr>
          <w:rStyle w:val="apple-converted-space"/>
          <w:rFonts w:asciiTheme="minorHAnsi" w:hAnsiTheme="minorHAnsi" w:cs="Arial"/>
          <w:color w:val="333333"/>
          <w:shd w:val="clear" w:color="auto" w:fill="FFFFFF"/>
        </w:rPr>
        <w:t> </w:t>
      </w:r>
      <w:r w:rsidRPr="00EF7DF2">
        <w:rPr>
          <w:rStyle w:val="nlmstring-name"/>
          <w:rFonts w:asciiTheme="minorHAnsi" w:hAnsiTheme="minorHAnsi" w:cs="Arial"/>
          <w:color w:val="333333"/>
          <w:shd w:val="clear" w:color="auto" w:fill="FFFFFF"/>
        </w:rPr>
        <w:t>Corning, A. D.</w:t>
      </w:r>
      <w:r w:rsidRPr="00EF7DF2">
        <w:rPr>
          <w:rStyle w:val="apple-converted-space"/>
          <w:rFonts w:asciiTheme="minorHAnsi" w:hAnsiTheme="minorHAnsi" w:cs="Arial"/>
          <w:color w:val="333333"/>
          <w:shd w:val="clear" w:color="auto" w:fill="FFFFFF"/>
        </w:rPr>
        <w:t> (</w:t>
      </w:r>
      <w:r w:rsidRPr="00EF7DF2">
        <w:rPr>
          <w:rStyle w:val="nlmyear"/>
          <w:rFonts w:asciiTheme="minorHAnsi" w:hAnsiTheme="minorHAnsi" w:cs="Arial"/>
          <w:color w:val="333333"/>
          <w:shd w:val="clear" w:color="auto" w:fill="FFFFFF"/>
        </w:rPr>
        <w:t>2000)</w:t>
      </w:r>
      <w:r w:rsidRPr="00EF7DF2">
        <w:rPr>
          <w:rFonts w:asciiTheme="minorHAnsi" w:hAnsiTheme="minorHAnsi"/>
          <w:shd w:val="clear" w:color="auto" w:fill="FFFFFF"/>
        </w:rPr>
        <w:t>.</w:t>
      </w:r>
      <w:r w:rsidRPr="00EF7DF2">
        <w:rPr>
          <w:rStyle w:val="apple-converted-space"/>
          <w:rFonts w:asciiTheme="minorHAnsi" w:hAnsiTheme="minorHAnsi" w:cs="Arial"/>
          <w:color w:val="333333"/>
          <w:shd w:val="clear" w:color="auto" w:fill="FFFFFF"/>
        </w:rPr>
        <w:t> “</w:t>
      </w:r>
      <w:r w:rsidRPr="00EF7DF2">
        <w:rPr>
          <w:rStyle w:val="nlmarticle-title"/>
          <w:rFonts w:asciiTheme="minorHAnsi" w:hAnsiTheme="minorHAnsi" w:cs="Arial"/>
          <w:color w:val="333333"/>
          <w:shd w:val="clear" w:color="auto" w:fill="FFFFFF"/>
        </w:rPr>
        <w:t>Leverage-Salience Theory of Survey Participation: Description and an Illustration”</w:t>
      </w:r>
      <w:r w:rsidRPr="00EF7DF2">
        <w:rPr>
          <w:rFonts w:asciiTheme="minorHAnsi" w:hAnsiTheme="minorHAnsi"/>
          <w:shd w:val="clear" w:color="auto" w:fill="FFFFFF"/>
        </w:rPr>
        <w:t xml:space="preserve">. </w:t>
      </w:r>
      <w:r w:rsidRPr="00EF7DF2">
        <w:rPr>
          <w:rFonts w:asciiTheme="minorHAnsi" w:hAnsiTheme="minorHAnsi"/>
          <w:i/>
          <w:shd w:val="clear" w:color="auto" w:fill="FFFFFF"/>
        </w:rPr>
        <w:t>Public Opinion Quarterly, 64</w:t>
      </w:r>
      <w:r w:rsidRPr="00EF7DF2">
        <w:rPr>
          <w:rFonts w:asciiTheme="minorHAnsi" w:hAnsiTheme="minorHAnsi"/>
          <w:shd w:val="clear" w:color="auto" w:fill="FFFFFF"/>
        </w:rPr>
        <w:t xml:space="preserve"> (3):</w:t>
      </w:r>
      <w:r w:rsidRPr="00EF7DF2">
        <w:rPr>
          <w:rStyle w:val="apple-converted-space"/>
          <w:rFonts w:asciiTheme="minorHAnsi" w:hAnsiTheme="minorHAnsi" w:cs="Arial"/>
          <w:color w:val="333333"/>
          <w:shd w:val="clear" w:color="auto" w:fill="FFFFFF"/>
        </w:rPr>
        <w:t> </w:t>
      </w:r>
      <w:r w:rsidRPr="00EF7DF2">
        <w:rPr>
          <w:rStyle w:val="nlmfpage"/>
          <w:rFonts w:asciiTheme="minorHAnsi" w:hAnsiTheme="minorHAnsi" w:cs="Arial"/>
          <w:color w:val="333333"/>
          <w:shd w:val="clear" w:color="auto" w:fill="FFFFFF"/>
        </w:rPr>
        <w:t>299</w:t>
      </w:r>
      <w:r w:rsidRPr="00EF7DF2">
        <w:rPr>
          <w:rFonts w:asciiTheme="minorHAnsi" w:hAnsiTheme="minorHAnsi"/>
          <w:shd w:val="clear" w:color="auto" w:fill="FFFFFF"/>
        </w:rPr>
        <w:t>–</w:t>
      </w:r>
      <w:r w:rsidRPr="00EF7DF2">
        <w:rPr>
          <w:rStyle w:val="nlmlpage"/>
          <w:rFonts w:asciiTheme="minorHAnsi" w:hAnsiTheme="minorHAnsi" w:cs="Arial"/>
          <w:color w:val="333333"/>
          <w:shd w:val="clear" w:color="auto" w:fill="FFFFFF"/>
        </w:rPr>
        <w:t>308</w:t>
      </w:r>
      <w:r w:rsidRPr="00EF7DF2">
        <w:rPr>
          <w:rFonts w:asciiTheme="minorHAnsi" w:hAnsiTheme="minorHAnsi"/>
          <w:shd w:val="clear" w:color="auto" w:fill="FFFFFF"/>
        </w:rPr>
        <w:t>.</w:t>
      </w:r>
    </w:p>
    <w:p w14:paraId="269D1E00" w14:textId="40E3F2C0" w:rsidR="00EF7DF2" w:rsidRPr="00EF7DF2" w:rsidRDefault="00EF7DF2" w:rsidP="00EF7DF2">
      <w:pPr>
        <w:pStyle w:val="References"/>
        <w:rPr>
          <w:rFonts w:asciiTheme="minorHAnsi" w:hAnsiTheme="minorHAnsi"/>
        </w:rPr>
      </w:pPr>
      <w:r w:rsidRPr="00EF7DF2">
        <w:rPr>
          <w:rFonts w:asciiTheme="minorHAnsi" w:hAnsiTheme="minorHAnsi"/>
        </w:rPr>
        <w:t>Singer, E. (2002). </w:t>
      </w:r>
      <w:proofErr w:type="gramStart"/>
      <w:r w:rsidRPr="00EF7DF2">
        <w:rPr>
          <w:rFonts w:asciiTheme="minorHAnsi" w:hAnsiTheme="minorHAnsi"/>
        </w:rPr>
        <w:t>“The Use of Incentives to Reduce Nonresponse in Household Surveys.”</w:t>
      </w:r>
      <w:proofErr w:type="gramEnd"/>
      <w:r w:rsidRPr="00EF7DF2">
        <w:rPr>
          <w:rFonts w:asciiTheme="minorHAnsi" w:hAnsiTheme="minorHAnsi"/>
        </w:rPr>
        <w:t xml:space="preserve"> In </w:t>
      </w:r>
      <w:r w:rsidRPr="00EF7DF2">
        <w:rPr>
          <w:rFonts w:asciiTheme="minorHAnsi" w:hAnsiTheme="minorHAnsi"/>
          <w:i/>
        </w:rPr>
        <w:t>Survey nonresponse</w:t>
      </w:r>
      <w:r w:rsidRPr="00EF7DF2">
        <w:rPr>
          <w:rFonts w:asciiTheme="minorHAnsi" w:hAnsiTheme="minorHAnsi"/>
        </w:rPr>
        <w:t>, eds. </w:t>
      </w:r>
      <w:r w:rsidRPr="00EF7DF2">
        <w:rPr>
          <w:rStyle w:val="nlmstring-name"/>
          <w:rFonts w:asciiTheme="minorHAnsi" w:hAnsiTheme="minorHAnsi" w:cs="Arial"/>
          <w:color w:val="333333"/>
          <w:shd w:val="clear" w:color="auto" w:fill="FFFFFF"/>
        </w:rPr>
        <w:t>Groves, R. M.</w:t>
      </w:r>
      <w:r w:rsidRPr="00EF7DF2">
        <w:rPr>
          <w:rFonts w:asciiTheme="minorHAnsi" w:hAnsiTheme="minorHAnsi"/>
        </w:rPr>
        <w:t>, </w:t>
      </w:r>
      <w:proofErr w:type="spellStart"/>
      <w:r w:rsidRPr="00EF7DF2">
        <w:rPr>
          <w:rFonts w:asciiTheme="minorHAnsi" w:hAnsiTheme="minorHAnsi"/>
        </w:rPr>
        <w:t>Dillman</w:t>
      </w:r>
      <w:proofErr w:type="spellEnd"/>
      <w:r w:rsidRPr="00EF7DF2">
        <w:rPr>
          <w:rFonts w:asciiTheme="minorHAnsi" w:hAnsiTheme="minorHAnsi"/>
        </w:rPr>
        <w:t>, D. A., </w:t>
      </w:r>
      <w:proofErr w:type="spellStart"/>
      <w:r w:rsidRPr="00EF7DF2">
        <w:rPr>
          <w:rFonts w:asciiTheme="minorHAnsi" w:hAnsiTheme="minorHAnsi"/>
        </w:rPr>
        <w:t>Eltinge</w:t>
      </w:r>
      <w:proofErr w:type="spellEnd"/>
      <w:r w:rsidRPr="00EF7DF2">
        <w:rPr>
          <w:rFonts w:asciiTheme="minorHAnsi" w:hAnsiTheme="minorHAnsi"/>
        </w:rPr>
        <w:t>, J.L., Little, R. J. A., pp.163–78. New York, NY: Wiley.</w:t>
      </w:r>
    </w:p>
    <w:p w14:paraId="0A277416" w14:textId="11F71235" w:rsidR="00EF7DF2" w:rsidRPr="00116F57" w:rsidRDefault="00EF7DF2" w:rsidP="00EF7DF2">
      <w:pPr>
        <w:pStyle w:val="References"/>
        <w:rPr>
          <w:rFonts w:asciiTheme="minorHAnsi" w:hAnsiTheme="minorHAnsi"/>
          <w:shd w:val="clear" w:color="auto" w:fill="FFFFFF"/>
        </w:rPr>
      </w:pPr>
      <w:proofErr w:type="gramStart"/>
      <w:r w:rsidRPr="00116F57">
        <w:rPr>
          <w:rFonts w:asciiTheme="minorHAnsi" w:eastAsia="Times New Roman" w:hAnsiTheme="minorHAnsi" w:cs="Arial"/>
        </w:rPr>
        <w:t>Singer, E., Ye, C. (2012).</w:t>
      </w:r>
      <w:proofErr w:type="gramEnd"/>
      <w:r w:rsidRPr="00116F57">
        <w:rPr>
          <w:rFonts w:asciiTheme="minorHAnsi" w:eastAsia="Times New Roman" w:hAnsiTheme="minorHAnsi" w:cs="Arial"/>
        </w:rPr>
        <w:t xml:space="preserve"> </w:t>
      </w:r>
      <w:proofErr w:type="gramStart"/>
      <w:r w:rsidRPr="00116F57">
        <w:rPr>
          <w:rFonts w:asciiTheme="minorHAnsi" w:eastAsia="Times New Roman" w:hAnsiTheme="minorHAnsi" w:cs="Arial"/>
        </w:rPr>
        <w:t>The Use and Effects of Incentives in Surveys.</w:t>
      </w:r>
      <w:proofErr w:type="gramEnd"/>
      <w:r w:rsidRPr="00116F57">
        <w:rPr>
          <w:rFonts w:asciiTheme="minorHAnsi" w:eastAsia="Times New Roman" w:hAnsiTheme="minorHAnsi" w:cs="Arial"/>
        </w:rPr>
        <w:t xml:space="preserve"> </w:t>
      </w:r>
      <w:r w:rsidRPr="00116F57">
        <w:rPr>
          <w:rFonts w:asciiTheme="minorHAnsi" w:eastAsia="Times New Roman" w:hAnsiTheme="minorHAnsi" w:cs="Arial"/>
          <w:i/>
        </w:rPr>
        <w:t>The Annals of the American Academy of Political and Social Science, 645</w:t>
      </w:r>
      <w:r w:rsidRPr="00116F57">
        <w:rPr>
          <w:rFonts w:asciiTheme="minorHAnsi" w:eastAsia="Times New Roman" w:hAnsiTheme="minorHAnsi" w:cs="Arial"/>
        </w:rPr>
        <w:t>(1), 112-141.</w:t>
      </w:r>
    </w:p>
    <w:p w14:paraId="4EDA8271" w14:textId="7E1A7C94" w:rsidR="003548FC" w:rsidRPr="000478F6" w:rsidRDefault="003548FC" w:rsidP="003548FC">
      <w:pPr>
        <w:pStyle w:val="References"/>
        <w:spacing w:after="220"/>
      </w:pPr>
      <w:proofErr w:type="spellStart"/>
      <w:proofErr w:type="gramStart"/>
      <w:r>
        <w:t>Honig</w:t>
      </w:r>
      <w:proofErr w:type="spellEnd"/>
      <w:r>
        <w:t>, Meredith I.</w:t>
      </w:r>
      <w:r w:rsidR="00443FA0">
        <w:t>,</w:t>
      </w:r>
      <w:r>
        <w:t xml:space="preserve"> and Lydia R. Rainey.</w:t>
      </w:r>
      <w:proofErr w:type="gramEnd"/>
      <w:r>
        <w:t xml:space="preserve"> 2013. “Autonomy and School Improvement: What Do We Know and Where Do We Go From Here?” </w:t>
      </w:r>
      <w:r>
        <w:rPr>
          <w:i/>
        </w:rPr>
        <w:t xml:space="preserve">Educational Policy </w:t>
      </w:r>
      <w:r>
        <w:t>26(3): 465-495.</w:t>
      </w:r>
    </w:p>
    <w:p w14:paraId="12EBDFA3" w14:textId="77777777" w:rsidR="0057547B" w:rsidRDefault="000C6EF4">
      <w:pPr>
        <w:pStyle w:val="References"/>
      </w:pPr>
      <w:proofErr w:type="spellStart"/>
      <w:r>
        <w:t>Lavrakas</w:t>
      </w:r>
      <w:proofErr w:type="spellEnd"/>
      <w:r>
        <w:t xml:space="preserve">, Paul J. 2008. </w:t>
      </w:r>
      <w:proofErr w:type="gramStart"/>
      <w:r>
        <w:rPr>
          <w:i/>
        </w:rPr>
        <w:t>Encyclopedia of Survey Research Methods.</w:t>
      </w:r>
      <w:proofErr w:type="gramEnd"/>
      <w:r>
        <w:t xml:space="preserve"> </w:t>
      </w:r>
      <w:r>
        <w:rPr>
          <w:rFonts w:asciiTheme="minorHAnsi" w:hAnsiTheme="minorHAnsi" w:cstheme="minorHAnsi"/>
          <w:szCs w:val="20"/>
        </w:rPr>
        <w:t>Thousand Oaks, CA: Sage.</w:t>
      </w:r>
    </w:p>
    <w:p w14:paraId="7DEF34B2" w14:textId="77777777" w:rsidR="0057547B" w:rsidRDefault="000C6EF4">
      <w:pPr>
        <w:pStyle w:val="References"/>
      </w:pPr>
      <w:proofErr w:type="spellStart"/>
      <w:proofErr w:type="gramStart"/>
      <w:r>
        <w:t>Koteskey</w:t>
      </w:r>
      <w:proofErr w:type="spellEnd"/>
      <w:r>
        <w:t>, Tyler, and Lisa Snell.</w:t>
      </w:r>
      <w:proofErr w:type="gramEnd"/>
      <w:r>
        <w:t xml:space="preserve"> 2016. </w:t>
      </w:r>
      <w:r>
        <w:rPr>
          <w:i/>
        </w:rPr>
        <w:t>Trends in the National Student-Based Budgeting Landscape: Exploring Best Practices and Results</w:t>
      </w:r>
      <w:r>
        <w:t xml:space="preserve"> (Presentation. </w:t>
      </w:r>
      <w:hyperlink r:id="rId14" w:history="1">
        <w:r>
          <w:rPr>
            <w:rStyle w:val="Hyperlink"/>
            <w:color w:val="auto"/>
            <w:u w:val="none"/>
          </w:rPr>
          <w:t>http://allovue.com/files/fefs2016/session-d/trends-sbb/trends-sbb-fefsummit.pdf</w:t>
        </w:r>
      </w:hyperlink>
    </w:p>
    <w:p w14:paraId="5CC5919D" w14:textId="77777777" w:rsidR="0057547B" w:rsidRDefault="000C6EF4">
      <w:pPr>
        <w:pStyle w:val="References"/>
      </w:pPr>
      <w:proofErr w:type="gramStart"/>
      <w:r>
        <w:t xml:space="preserve">Millar, Morgan M., and Don A. </w:t>
      </w:r>
      <w:proofErr w:type="spellStart"/>
      <w:r>
        <w:t>Dillman</w:t>
      </w:r>
      <w:proofErr w:type="spellEnd"/>
      <w:r>
        <w:t>.</w:t>
      </w:r>
      <w:proofErr w:type="gramEnd"/>
      <w:r>
        <w:t xml:space="preserve"> 2011. “Improving Response to Web and Mixed-Mode Surveys.” </w:t>
      </w:r>
      <w:r>
        <w:rPr>
          <w:i/>
        </w:rPr>
        <w:t>Public Opinion Quarterly</w:t>
      </w:r>
      <w:r>
        <w:t xml:space="preserve"> 75 (2): 249–69.</w:t>
      </w:r>
    </w:p>
    <w:p w14:paraId="425A96A5" w14:textId="77777777" w:rsidR="003548FC" w:rsidRDefault="003548FC" w:rsidP="003548FC">
      <w:pPr>
        <w:pStyle w:val="References"/>
        <w:spacing w:after="220"/>
        <w:rPr>
          <w:rFonts w:asciiTheme="minorHAnsi" w:hAnsiTheme="minorHAnsi" w:cstheme="minorHAnsi"/>
          <w:szCs w:val="20"/>
        </w:rPr>
      </w:pPr>
      <w:proofErr w:type="spellStart"/>
      <w:r>
        <w:rPr>
          <w:rFonts w:asciiTheme="minorHAnsi" w:hAnsiTheme="minorHAnsi" w:cstheme="minorHAnsi"/>
          <w:szCs w:val="20"/>
        </w:rPr>
        <w:t>Mizrav</w:t>
      </w:r>
      <w:proofErr w:type="spellEnd"/>
      <w:r>
        <w:rPr>
          <w:rFonts w:asciiTheme="minorHAnsi" w:hAnsiTheme="minorHAnsi" w:cstheme="minorHAnsi"/>
          <w:szCs w:val="20"/>
        </w:rPr>
        <w:t xml:space="preserve">, </w:t>
      </w:r>
      <w:proofErr w:type="spellStart"/>
      <w:r>
        <w:rPr>
          <w:rFonts w:asciiTheme="minorHAnsi" w:hAnsiTheme="minorHAnsi" w:cstheme="minorHAnsi"/>
          <w:szCs w:val="20"/>
        </w:rPr>
        <w:t>Etai</w:t>
      </w:r>
      <w:proofErr w:type="spellEnd"/>
      <w:r>
        <w:rPr>
          <w:rFonts w:asciiTheme="minorHAnsi" w:hAnsiTheme="minorHAnsi" w:cstheme="minorHAnsi"/>
          <w:szCs w:val="20"/>
        </w:rPr>
        <w:t xml:space="preserve">. 2014. </w:t>
      </w:r>
      <w:r w:rsidRPr="00E210A8">
        <w:rPr>
          <w:rFonts w:asciiTheme="minorHAnsi" w:hAnsiTheme="minorHAnsi" w:cstheme="minorHAnsi"/>
          <w:i/>
          <w:szCs w:val="20"/>
        </w:rPr>
        <w:t xml:space="preserve">Could Principal Autonomy Produce Better Schools? Evidence </w:t>
      </w:r>
      <w:proofErr w:type="gramStart"/>
      <w:r w:rsidRPr="00E210A8">
        <w:rPr>
          <w:rFonts w:asciiTheme="minorHAnsi" w:hAnsiTheme="minorHAnsi" w:cstheme="minorHAnsi"/>
          <w:i/>
          <w:szCs w:val="20"/>
        </w:rPr>
        <w:t>From</w:t>
      </w:r>
      <w:proofErr w:type="gramEnd"/>
      <w:r w:rsidRPr="00E210A8">
        <w:rPr>
          <w:rFonts w:asciiTheme="minorHAnsi" w:hAnsiTheme="minorHAnsi" w:cstheme="minorHAnsi"/>
          <w:i/>
          <w:szCs w:val="20"/>
        </w:rPr>
        <w:t xml:space="preserve"> the Schools and Staffing Survey</w:t>
      </w:r>
      <w:r>
        <w:rPr>
          <w:rFonts w:asciiTheme="minorHAnsi" w:hAnsiTheme="minorHAnsi" w:cstheme="minorHAnsi"/>
          <w:szCs w:val="20"/>
        </w:rPr>
        <w:t xml:space="preserve">. </w:t>
      </w:r>
      <w:hyperlink r:id="rId15" w:history="1">
        <w:r w:rsidRPr="00EA04D3">
          <w:rPr>
            <w:rStyle w:val="Hyperlink"/>
            <w:rFonts w:asciiTheme="minorHAnsi" w:hAnsiTheme="minorHAnsi" w:cstheme="minorHAnsi"/>
          </w:rPr>
          <w:t>https://repository.library.georgetown.edu/handle/10822/709855</w:t>
        </w:r>
      </w:hyperlink>
    </w:p>
    <w:p w14:paraId="285205DE" w14:textId="77777777" w:rsidR="003548FC" w:rsidRDefault="003548FC" w:rsidP="003548FC">
      <w:pPr>
        <w:pStyle w:val="References"/>
        <w:spacing w:after="220"/>
        <w:rPr>
          <w:rFonts w:asciiTheme="minorHAnsi" w:hAnsiTheme="minorHAnsi" w:cstheme="minorHAnsi"/>
          <w:szCs w:val="20"/>
        </w:rPr>
      </w:pPr>
      <w:proofErr w:type="spellStart"/>
      <w:proofErr w:type="gramStart"/>
      <w:r>
        <w:rPr>
          <w:rFonts w:asciiTheme="minorHAnsi" w:hAnsiTheme="minorHAnsi" w:cstheme="minorHAnsi"/>
          <w:szCs w:val="20"/>
        </w:rPr>
        <w:t>Roza</w:t>
      </w:r>
      <w:proofErr w:type="spellEnd"/>
      <w:r>
        <w:rPr>
          <w:rFonts w:asciiTheme="minorHAnsi" w:hAnsiTheme="minorHAnsi" w:cstheme="minorHAnsi"/>
          <w:szCs w:val="20"/>
        </w:rPr>
        <w:t>, Marguerite, Tricia Davis, and Kacey Guin. 2007.</w:t>
      </w:r>
      <w:proofErr w:type="gramEnd"/>
      <w:r>
        <w:rPr>
          <w:rFonts w:asciiTheme="minorHAnsi" w:hAnsiTheme="minorHAnsi" w:cstheme="minorHAnsi"/>
          <w:szCs w:val="20"/>
        </w:rPr>
        <w:t xml:space="preserve"> </w:t>
      </w:r>
      <w:r w:rsidRPr="00E210A8">
        <w:rPr>
          <w:rFonts w:asciiTheme="minorHAnsi" w:hAnsiTheme="minorHAnsi" w:cstheme="minorHAnsi"/>
          <w:i/>
          <w:szCs w:val="20"/>
        </w:rPr>
        <w:t xml:space="preserve">Spending Choices and School Autonomy: Lessons </w:t>
      </w:r>
      <w:proofErr w:type="gramStart"/>
      <w:r w:rsidRPr="00E210A8">
        <w:rPr>
          <w:rFonts w:asciiTheme="minorHAnsi" w:hAnsiTheme="minorHAnsi" w:cstheme="minorHAnsi"/>
          <w:i/>
          <w:szCs w:val="20"/>
        </w:rPr>
        <w:t>From</w:t>
      </w:r>
      <w:proofErr w:type="gramEnd"/>
      <w:r w:rsidRPr="00E210A8">
        <w:rPr>
          <w:rFonts w:asciiTheme="minorHAnsi" w:hAnsiTheme="minorHAnsi" w:cstheme="minorHAnsi"/>
          <w:i/>
          <w:szCs w:val="20"/>
        </w:rPr>
        <w:t xml:space="preserve"> Ohio Elementary Schools</w:t>
      </w:r>
      <w:r>
        <w:rPr>
          <w:rFonts w:asciiTheme="minorHAnsi" w:hAnsiTheme="minorHAnsi" w:cstheme="minorHAnsi"/>
          <w:szCs w:val="20"/>
        </w:rPr>
        <w:t xml:space="preserve"> (Working Paper 21). Seattle, WA: University of Washington Center on Reinventing Public Education, School Finance Redesign Project. </w:t>
      </w:r>
      <w:hyperlink r:id="rId16" w:history="1">
        <w:r w:rsidRPr="00EA04D3">
          <w:rPr>
            <w:rStyle w:val="Hyperlink"/>
            <w:rFonts w:asciiTheme="minorHAnsi" w:hAnsiTheme="minorHAnsi" w:cstheme="minorHAnsi"/>
          </w:rPr>
          <w:t>http://www.crpe.org/sites/default/files/wp_sfrp21_rozaohio_jul07_0.pdf</w:t>
        </w:r>
      </w:hyperlink>
    </w:p>
    <w:p w14:paraId="2270251B" w14:textId="77777777" w:rsidR="0057547B" w:rsidRDefault="000C6EF4">
      <w:pPr>
        <w:pStyle w:val="References"/>
        <w:rPr>
          <w:rFonts w:asciiTheme="minorHAnsi" w:hAnsiTheme="minorHAnsi" w:cstheme="minorHAnsi"/>
          <w:szCs w:val="20"/>
        </w:rPr>
      </w:pPr>
      <w:proofErr w:type="spellStart"/>
      <w:proofErr w:type="gramStart"/>
      <w:r>
        <w:rPr>
          <w:rFonts w:asciiTheme="minorHAnsi" w:hAnsiTheme="minorHAnsi" w:cstheme="minorHAnsi"/>
          <w:szCs w:val="20"/>
        </w:rPr>
        <w:lastRenderedPageBreak/>
        <w:t>Roza</w:t>
      </w:r>
      <w:proofErr w:type="spellEnd"/>
      <w:r>
        <w:rPr>
          <w:rFonts w:asciiTheme="minorHAnsi" w:hAnsiTheme="minorHAnsi" w:cstheme="minorHAnsi"/>
          <w:szCs w:val="20"/>
        </w:rPr>
        <w:t>, Marguerite, and Paul T. Hill.</w:t>
      </w:r>
      <w:proofErr w:type="gramEnd"/>
      <w:r>
        <w:rPr>
          <w:rFonts w:asciiTheme="minorHAnsi" w:hAnsiTheme="minorHAnsi" w:cstheme="minorHAnsi"/>
          <w:szCs w:val="20"/>
        </w:rPr>
        <w:t xml:space="preserve"> 2003. </w:t>
      </w:r>
      <w:r>
        <w:rPr>
          <w:rFonts w:asciiTheme="minorHAnsi" w:hAnsiTheme="minorHAnsi" w:cstheme="minorHAnsi"/>
          <w:i/>
          <w:szCs w:val="20"/>
        </w:rPr>
        <w:t>How Within-District Spending Inequities Help Some Schools to Fail</w:t>
      </w:r>
      <w:r>
        <w:rPr>
          <w:rFonts w:asciiTheme="minorHAnsi" w:hAnsiTheme="minorHAnsi" w:cstheme="minorHAnsi"/>
          <w:szCs w:val="20"/>
        </w:rPr>
        <w:t xml:space="preserve"> (Brookings Conference Working Paper). Seattle, WA: University of Washington Center on Reinventing Public Education.</w:t>
      </w:r>
    </w:p>
    <w:p w14:paraId="434C33F5" w14:textId="592A2B95" w:rsidR="0057547B" w:rsidRDefault="000C6EF4">
      <w:pPr>
        <w:pStyle w:val="References"/>
      </w:pPr>
      <w:proofErr w:type="gramStart"/>
      <w:r>
        <w:t>Snell, Lisa</w:t>
      </w:r>
      <w:r w:rsidR="00443FA0">
        <w:t>,</w:t>
      </w:r>
      <w:r>
        <w:t xml:space="preserve"> and Katie </w:t>
      </w:r>
      <w:proofErr w:type="spellStart"/>
      <w:r>
        <w:t>Furtick</w:t>
      </w:r>
      <w:proofErr w:type="spellEnd"/>
      <w:r>
        <w:t>.</w:t>
      </w:r>
      <w:proofErr w:type="gramEnd"/>
      <w:r>
        <w:t xml:space="preserve"> 2013. </w:t>
      </w:r>
      <w:r>
        <w:rPr>
          <w:i/>
        </w:rPr>
        <w:t>Weighted Student Formula Yearbook 2013</w:t>
      </w:r>
      <w:r>
        <w:t>. Washington, DC: Reason Foundation.</w:t>
      </w:r>
    </w:p>
    <w:p w14:paraId="5D720BDA" w14:textId="04C861EF" w:rsidR="0057547B" w:rsidRDefault="003548FC" w:rsidP="008A2E42">
      <w:pPr>
        <w:pStyle w:val="References"/>
        <w:spacing w:before="240"/>
      </w:pPr>
      <w:r>
        <w:rPr>
          <w:rFonts w:asciiTheme="minorHAnsi" w:hAnsiTheme="minorHAnsi" w:cstheme="minorHAnsi"/>
          <w:szCs w:val="20"/>
        </w:rPr>
        <w:t xml:space="preserve">Steinberg, Matthew P. 2014. “Does Greater Autonomy Improve School Performance? Evidence </w:t>
      </w:r>
      <w:proofErr w:type="gramStart"/>
      <w:r>
        <w:rPr>
          <w:rFonts w:asciiTheme="minorHAnsi" w:hAnsiTheme="minorHAnsi" w:cstheme="minorHAnsi"/>
          <w:szCs w:val="20"/>
        </w:rPr>
        <w:t>From</w:t>
      </w:r>
      <w:proofErr w:type="gramEnd"/>
      <w:r>
        <w:rPr>
          <w:rFonts w:asciiTheme="minorHAnsi" w:hAnsiTheme="minorHAnsi" w:cstheme="minorHAnsi"/>
          <w:szCs w:val="20"/>
        </w:rPr>
        <w:t xml:space="preserve"> a Regression Discontinuity Analysis in Chicago.” </w:t>
      </w:r>
      <w:r w:rsidRPr="00E210A8">
        <w:rPr>
          <w:rFonts w:asciiTheme="minorHAnsi" w:hAnsiTheme="minorHAnsi" w:cstheme="minorHAnsi"/>
          <w:i/>
          <w:szCs w:val="20"/>
        </w:rPr>
        <w:t xml:space="preserve">Education Finance and Policy </w:t>
      </w:r>
      <w:r w:rsidRPr="001772ED">
        <w:rPr>
          <w:rFonts w:asciiTheme="minorHAnsi" w:hAnsiTheme="minorHAnsi" w:cstheme="minorHAnsi"/>
          <w:szCs w:val="20"/>
        </w:rPr>
        <w:t>9</w:t>
      </w:r>
      <w:r>
        <w:rPr>
          <w:rFonts w:asciiTheme="minorHAnsi" w:hAnsiTheme="minorHAnsi" w:cstheme="minorHAnsi"/>
          <w:szCs w:val="20"/>
        </w:rPr>
        <w:t xml:space="preserve"> (1): 1–35. </w:t>
      </w:r>
      <w:hyperlink r:id="rId17" w:history="1">
        <w:r w:rsidRPr="00EA04D3">
          <w:rPr>
            <w:rStyle w:val="Hyperlink"/>
            <w:rFonts w:asciiTheme="minorHAnsi" w:hAnsiTheme="minorHAnsi" w:cstheme="minorHAnsi"/>
          </w:rPr>
          <w:t>http://www.mitpressjournals.org/doi/pdf/10.1162/EDFP_a_00118</w:t>
        </w:r>
      </w:hyperlink>
    </w:p>
    <w:sectPr w:rsidR="0057547B">
      <w:footerReference w:type="default" r:id="rId18"/>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1FBB31" w14:textId="77777777" w:rsidR="007E790F" w:rsidRDefault="007E790F">
      <w:pPr>
        <w:spacing w:after="0" w:line="240" w:lineRule="auto"/>
      </w:pPr>
      <w:r>
        <w:separator/>
      </w:r>
    </w:p>
  </w:endnote>
  <w:endnote w:type="continuationSeparator" w:id="0">
    <w:p w14:paraId="4CD6C3F5" w14:textId="77777777" w:rsidR="007E790F" w:rsidRDefault="007E79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ITC Garamond Std Book Cond">
    <w:altName w:val="Cambria"/>
    <w:panose1 w:val="00000000000000000000"/>
    <w:charset w:val="00"/>
    <w:family w:val="roman"/>
    <w:notTrueType/>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Impact">
    <w:panose1 w:val="020B0806030902050204"/>
    <w:charset w:val="00"/>
    <w:family w:val="swiss"/>
    <w:pitch w:val="variable"/>
    <w:sig w:usb0="00000287" w:usb1="00000000" w:usb2="00000000" w:usb3="00000000" w:csb0="0000009F" w:csb1="00000000"/>
  </w:font>
  <w:font w:name="CG Omega">
    <w:altName w:val="Arial"/>
    <w:charset w:val="00"/>
    <w:family w:val="swiss"/>
    <w:pitch w:val="variable"/>
    <w:sig w:usb0="00000001" w:usb1="00000000" w:usb2="00000000" w:usb3="00000000" w:csb0="00000093" w:csb1="00000000"/>
  </w:font>
  <w:font w:name="Myriad Pro">
    <w:altName w:val="Corbel"/>
    <w:charset w:val="00"/>
    <w:family w:val="auto"/>
    <w:pitch w:val="variable"/>
    <w:sig w:usb0="20000287" w:usb1="00000001" w:usb2="0000000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imes">
    <w:panose1 w:val="02020603050405020304"/>
    <w:charset w:val="00"/>
    <w:family w:val="auto"/>
    <w:pitch w:val="variable"/>
    <w:sig w:usb0="00000003" w:usb1="00000000" w:usb2="00000000" w:usb3="00000000" w:csb0="0000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6142B7" w14:textId="77777777" w:rsidR="007E790F" w:rsidRDefault="007E79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21750144"/>
      <w:docPartObj>
        <w:docPartGallery w:val="Page Numbers (Bottom of Page)"/>
        <w:docPartUnique/>
      </w:docPartObj>
    </w:sdtPr>
    <w:sdtEndPr>
      <w:rPr>
        <w:noProof/>
        <w:szCs w:val="20"/>
      </w:rPr>
    </w:sdtEndPr>
    <w:sdtContent>
      <w:p w14:paraId="2E0ECCA6" w14:textId="77777777" w:rsidR="007E790F" w:rsidRDefault="007E790F">
        <w:pPr>
          <w:pStyle w:val="Footer"/>
          <w:rPr>
            <w:szCs w:val="20"/>
          </w:rPr>
        </w:pPr>
        <w:r>
          <w:rPr>
            <w:szCs w:val="20"/>
          </w:rPr>
          <w:fldChar w:fldCharType="begin"/>
        </w:r>
        <w:r>
          <w:rPr>
            <w:szCs w:val="20"/>
          </w:rPr>
          <w:instrText xml:space="preserve"> PAGE   \* MERGEFORMAT </w:instrText>
        </w:r>
        <w:r>
          <w:rPr>
            <w:szCs w:val="20"/>
          </w:rPr>
          <w:fldChar w:fldCharType="separate"/>
        </w:r>
        <w:r w:rsidR="009F7DF7">
          <w:rPr>
            <w:noProof/>
            <w:szCs w:val="20"/>
          </w:rPr>
          <w:t>1</w:t>
        </w:r>
        <w:r>
          <w:rPr>
            <w:noProof/>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5A0658B" w14:textId="77777777" w:rsidR="007E790F" w:rsidRDefault="007E790F">
      <w:pPr>
        <w:spacing w:after="0" w:line="240" w:lineRule="auto"/>
      </w:pPr>
      <w:r>
        <w:separator/>
      </w:r>
    </w:p>
  </w:footnote>
  <w:footnote w:type="continuationSeparator" w:id="0">
    <w:p w14:paraId="309FBD7E" w14:textId="77777777" w:rsidR="007E790F" w:rsidRDefault="007E790F">
      <w:pPr>
        <w:spacing w:after="0" w:line="240" w:lineRule="auto"/>
      </w:pPr>
      <w:r>
        <w:continuationSeparator/>
      </w:r>
    </w:p>
  </w:footnote>
  <w:footnote w:id="1">
    <w:p w14:paraId="13082295" w14:textId="77777777" w:rsidR="007E790F" w:rsidRDefault="007E790F" w:rsidP="00CB71F6">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See Koteskey and Snell’s (2016) </w:t>
      </w:r>
      <w:r>
        <w:rPr>
          <w:rFonts w:ascii="Times New Roman" w:hAnsi="Times New Roman"/>
          <w:i/>
        </w:rPr>
        <w:t>Trends in the National Student-Based Budgeting Landscape: Exploring Best Practices and Results</w:t>
      </w:r>
      <w:r>
        <w:rPr>
          <w:rFonts w:ascii="Times New Roman" w:hAnsi="Times New Roman"/>
        </w:rPr>
        <w:t xml:space="preserve"> presentation.</w:t>
      </w:r>
    </w:p>
  </w:footnote>
  <w:footnote w:id="2">
    <w:p w14:paraId="33BBA903" w14:textId="77777777" w:rsidR="007E790F" w:rsidRDefault="007E790F" w:rsidP="00D03E5A">
      <w:pPr>
        <w:pStyle w:val="FootnoteText"/>
      </w:pPr>
      <w:r>
        <w:rPr>
          <w:rStyle w:val="FootnoteReference"/>
        </w:rPr>
        <w:footnoteRef/>
      </w:r>
      <w:r>
        <w:t xml:space="preserve"> Poverty levels—low, middle, high—were determined using enrollment-weighted quartiles of the Census Small Area Income Population Estimates (SAIPE) district-level poverty estimates. Low represents the bottom quartile, middle consists of both the second and third quartiles, and high is made up of the top quartile. Quartiles were calculated according to PPSS guidelines and prior to excluding districts with fewer than six schools.</w:t>
      </w:r>
    </w:p>
  </w:footnote>
  <w:footnote w:id="3">
    <w:p w14:paraId="2839830B" w14:textId="06AAEFCC" w:rsidR="007E790F" w:rsidRDefault="007E790F" w:rsidP="00D03E5A">
      <w:pPr>
        <w:pStyle w:val="FootnoteText"/>
      </w:pPr>
      <w:r>
        <w:rPr>
          <w:rStyle w:val="FootnoteReference"/>
        </w:rPr>
        <w:footnoteRef/>
      </w:r>
      <w:r>
        <w:t xml:space="preserve"> We will combine town and rural district into a single locale category for the purposes of stratification due to the exclusion of large numbers of town and rural districts that have fewer than six schools.</w:t>
      </w:r>
    </w:p>
  </w:footnote>
  <w:footnote w:id="4">
    <w:p w14:paraId="206599BF" w14:textId="325EB23F" w:rsidR="007E790F" w:rsidRDefault="007E790F">
      <w:pPr>
        <w:pStyle w:val="FootnoteText"/>
      </w:pPr>
      <w:r>
        <w:rPr>
          <w:rStyle w:val="FootnoteReference"/>
        </w:rPr>
        <w:footnoteRef/>
      </w:r>
      <w:r>
        <w:t xml:space="preserve"> PPSS guidelines define small districts as those with less than 2,500 students, medium districts as those with enrollments of at least 2,500 and less than 10,000 students, and large districts as having at least 10,000 students. The exclusion criterion of having at least six schools substantially reduces the number of small districts; therefore, we will combine small and medium-sized districts into a single size category for the purposes of stratification.</w:t>
      </w:r>
    </w:p>
  </w:footnote>
  <w:footnote w:id="5">
    <w:p w14:paraId="1595A55B" w14:textId="6B7B2425" w:rsidR="007E790F" w:rsidRDefault="007E790F">
      <w:pPr>
        <w:pStyle w:val="FootnoteText"/>
      </w:pPr>
      <w:r>
        <w:rPr>
          <w:rStyle w:val="FootnoteReference"/>
        </w:rPr>
        <w:footnoteRef/>
      </w:r>
      <w:r>
        <w:t xml:space="preserve"> The expected numbers of non-repsondent districts and schools with which we will conduct intensive follow up is 26 and 35, respectively.</w:t>
      </w:r>
    </w:p>
  </w:footnote>
  <w:footnote w:id="6">
    <w:p w14:paraId="70FCC279" w14:textId="77777777" w:rsidR="007E790F" w:rsidRDefault="007E790F" w:rsidP="00A644BE">
      <w:pPr>
        <w:pStyle w:val="FootnoteText"/>
      </w:pPr>
      <w:r>
        <w:rPr>
          <w:rStyle w:val="FootnoteReference"/>
        </w:rPr>
        <w:footnoteRef/>
      </w:r>
      <w:r>
        <w:t xml:space="preserve"> Reminder messages resume after the holiday break.</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A59CE9B2"/>
    <w:lvl w:ilvl="0">
      <w:start w:val="1"/>
      <w:numFmt w:val="decimal"/>
      <w:lvlText w:val="%1."/>
      <w:lvlJc w:val="left"/>
      <w:pPr>
        <w:tabs>
          <w:tab w:val="num" w:pos="360"/>
        </w:tabs>
        <w:ind w:left="360" w:hanging="360"/>
      </w:pPr>
    </w:lvl>
  </w:abstractNum>
  <w:abstractNum w:abstractNumId="1">
    <w:nsid w:val="FFFFFF89"/>
    <w:multiLevelType w:val="singleLevel"/>
    <w:tmpl w:val="B908FB98"/>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911F18"/>
    <w:multiLevelType w:val="hybridMultilevel"/>
    <w:tmpl w:val="8D601AC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3FD4057"/>
    <w:multiLevelType w:val="hybridMultilevel"/>
    <w:tmpl w:val="867E380A"/>
    <w:lvl w:ilvl="0" w:tplc="34FAD5E0">
      <w:start w:val="1"/>
      <w:numFmt w:val="decimal"/>
      <w:lvlText w:val="%1."/>
      <w:lvlJc w:val="left"/>
      <w:pPr>
        <w:ind w:left="18" w:hanging="360"/>
      </w:pPr>
      <w:rPr>
        <w:rFonts w:hint="default"/>
        <w:b/>
      </w:rPr>
    </w:lvl>
    <w:lvl w:ilvl="1" w:tplc="04090019">
      <w:start w:val="1"/>
      <w:numFmt w:val="lowerLetter"/>
      <w:lvlText w:val="%2."/>
      <w:lvlJc w:val="left"/>
      <w:pPr>
        <w:ind w:left="738" w:hanging="360"/>
      </w:pPr>
    </w:lvl>
    <w:lvl w:ilvl="2" w:tplc="0409001B" w:tentative="1">
      <w:start w:val="1"/>
      <w:numFmt w:val="lowerRoman"/>
      <w:lvlText w:val="%3."/>
      <w:lvlJc w:val="right"/>
      <w:pPr>
        <w:ind w:left="1458" w:hanging="180"/>
      </w:pPr>
    </w:lvl>
    <w:lvl w:ilvl="3" w:tplc="0409000F" w:tentative="1">
      <w:start w:val="1"/>
      <w:numFmt w:val="decimal"/>
      <w:lvlText w:val="%4."/>
      <w:lvlJc w:val="left"/>
      <w:pPr>
        <w:ind w:left="2178" w:hanging="360"/>
      </w:pPr>
    </w:lvl>
    <w:lvl w:ilvl="4" w:tplc="04090019" w:tentative="1">
      <w:start w:val="1"/>
      <w:numFmt w:val="lowerLetter"/>
      <w:lvlText w:val="%5."/>
      <w:lvlJc w:val="left"/>
      <w:pPr>
        <w:ind w:left="2898" w:hanging="360"/>
      </w:pPr>
    </w:lvl>
    <w:lvl w:ilvl="5" w:tplc="0409001B" w:tentative="1">
      <w:start w:val="1"/>
      <w:numFmt w:val="lowerRoman"/>
      <w:lvlText w:val="%6."/>
      <w:lvlJc w:val="right"/>
      <w:pPr>
        <w:ind w:left="3618" w:hanging="180"/>
      </w:pPr>
    </w:lvl>
    <w:lvl w:ilvl="6" w:tplc="0409000F" w:tentative="1">
      <w:start w:val="1"/>
      <w:numFmt w:val="decimal"/>
      <w:lvlText w:val="%7."/>
      <w:lvlJc w:val="left"/>
      <w:pPr>
        <w:ind w:left="4338" w:hanging="360"/>
      </w:pPr>
    </w:lvl>
    <w:lvl w:ilvl="7" w:tplc="04090019" w:tentative="1">
      <w:start w:val="1"/>
      <w:numFmt w:val="lowerLetter"/>
      <w:lvlText w:val="%8."/>
      <w:lvlJc w:val="left"/>
      <w:pPr>
        <w:ind w:left="5058" w:hanging="360"/>
      </w:pPr>
    </w:lvl>
    <w:lvl w:ilvl="8" w:tplc="0409001B" w:tentative="1">
      <w:start w:val="1"/>
      <w:numFmt w:val="lowerRoman"/>
      <w:lvlText w:val="%9."/>
      <w:lvlJc w:val="right"/>
      <w:pPr>
        <w:ind w:left="5778" w:hanging="180"/>
      </w:pPr>
    </w:lvl>
  </w:abstractNum>
  <w:abstractNum w:abstractNumId="4">
    <w:nsid w:val="087346B8"/>
    <w:multiLevelType w:val="multilevel"/>
    <w:tmpl w:val="A042A3F0"/>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5">
    <w:nsid w:val="0B794C5A"/>
    <w:multiLevelType w:val="hybridMultilevel"/>
    <w:tmpl w:val="0A664DD8"/>
    <w:lvl w:ilvl="0" w:tplc="35A45CD2">
      <w:start w:val="1"/>
      <w:numFmt w:val="bullet"/>
      <w:pStyle w:val="2ndbullet"/>
      <w:lvlText w:val=""/>
      <w:lvlJc w:val="left"/>
      <w:pPr>
        <w:tabs>
          <w:tab w:val="num" w:pos="720"/>
        </w:tabs>
        <w:ind w:left="720" w:hanging="360"/>
      </w:pPr>
      <w:rPr>
        <w:rFonts w:ascii="Wingdings" w:hAnsi="Wingdings" w:hint="default"/>
      </w:rPr>
    </w:lvl>
    <w:lvl w:ilvl="1" w:tplc="38847838">
      <w:start w:val="1"/>
      <w:numFmt w:val="bullet"/>
      <w:pStyle w:val="3rdbullet"/>
      <w:lvlText w:val=""/>
      <w:lvlJc w:val="left"/>
      <w:pPr>
        <w:tabs>
          <w:tab w:val="num" w:pos="1440"/>
        </w:tabs>
        <w:ind w:left="1440" w:hanging="360"/>
      </w:pPr>
      <w:rPr>
        <w:rFonts w:ascii="Wingdings" w:hAnsi="Wingdings" w:hint="default"/>
      </w:rPr>
    </w:lvl>
    <w:lvl w:ilvl="2" w:tplc="8B26C41A" w:tentative="1">
      <w:start w:val="1"/>
      <w:numFmt w:val="bullet"/>
      <w:lvlText w:val=""/>
      <w:lvlJc w:val="left"/>
      <w:pPr>
        <w:tabs>
          <w:tab w:val="num" w:pos="2160"/>
        </w:tabs>
        <w:ind w:left="2160" w:hanging="360"/>
      </w:pPr>
      <w:rPr>
        <w:rFonts w:ascii="Wingdings" w:hAnsi="Wingdings" w:hint="default"/>
      </w:rPr>
    </w:lvl>
    <w:lvl w:ilvl="3" w:tplc="A148F066" w:tentative="1">
      <w:start w:val="1"/>
      <w:numFmt w:val="bullet"/>
      <w:lvlText w:val=""/>
      <w:lvlJc w:val="left"/>
      <w:pPr>
        <w:tabs>
          <w:tab w:val="num" w:pos="2880"/>
        </w:tabs>
        <w:ind w:left="2880" w:hanging="360"/>
      </w:pPr>
      <w:rPr>
        <w:rFonts w:ascii="Symbol" w:hAnsi="Symbol" w:hint="default"/>
      </w:rPr>
    </w:lvl>
    <w:lvl w:ilvl="4" w:tplc="41A82470" w:tentative="1">
      <w:start w:val="1"/>
      <w:numFmt w:val="bullet"/>
      <w:lvlText w:val="o"/>
      <w:lvlJc w:val="left"/>
      <w:pPr>
        <w:tabs>
          <w:tab w:val="num" w:pos="3600"/>
        </w:tabs>
        <w:ind w:left="3600" w:hanging="360"/>
      </w:pPr>
      <w:rPr>
        <w:rFonts w:ascii="Courier New" w:hAnsi="Courier New" w:hint="default"/>
      </w:rPr>
    </w:lvl>
    <w:lvl w:ilvl="5" w:tplc="5A4ED618" w:tentative="1">
      <w:start w:val="1"/>
      <w:numFmt w:val="bullet"/>
      <w:lvlText w:val=""/>
      <w:lvlJc w:val="left"/>
      <w:pPr>
        <w:tabs>
          <w:tab w:val="num" w:pos="4320"/>
        </w:tabs>
        <w:ind w:left="4320" w:hanging="360"/>
      </w:pPr>
      <w:rPr>
        <w:rFonts w:ascii="Wingdings" w:hAnsi="Wingdings" w:hint="default"/>
      </w:rPr>
    </w:lvl>
    <w:lvl w:ilvl="6" w:tplc="06C63B54" w:tentative="1">
      <w:start w:val="1"/>
      <w:numFmt w:val="bullet"/>
      <w:lvlText w:val=""/>
      <w:lvlJc w:val="left"/>
      <w:pPr>
        <w:tabs>
          <w:tab w:val="num" w:pos="5040"/>
        </w:tabs>
        <w:ind w:left="5040" w:hanging="360"/>
      </w:pPr>
      <w:rPr>
        <w:rFonts w:ascii="Symbol" w:hAnsi="Symbol" w:hint="default"/>
      </w:rPr>
    </w:lvl>
    <w:lvl w:ilvl="7" w:tplc="7362F126" w:tentative="1">
      <w:start w:val="1"/>
      <w:numFmt w:val="bullet"/>
      <w:lvlText w:val="o"/>
      <w:lvlJc w:val="left"/>
      <w:pPr>
        <w:tabs>
          <w:tab w:val="num" w:pos="5760"/>
        </w:tabs>
        <w:ind w:left="5760" w:hanging="360"/>
      </w:pPr>
      <w:rPr>
        <w:rFonts w:ascii="Courier New" w:hAnsi="Courier New" w:hint="default"/>
      </w:rPr>
    </w:lvl>
    <w:lvl w:ilvl="8" w:tplc="EB50F260" w:tentative="1">
      <w:start w:val="1"/>
      <w:numFmt w:val="bullet"/>
      <w:lvlText w:val=""/>
      <w:lvlJc w:val="left"/>
      <w:pPr>
        <w:tabs>
          <w:tab w:val="num" w:pos="6480"/>
        </w:tabs>
        <w:ind w:left="6480" w:hanging="360"/>
      </w:pPr>
      <w:rPr>
        <w:rFonts w:ascii="Wingdings" w:hAnsi="Wingdings" w:hint="default"/>
      </w:rPr>
    </w:lvl>
  </w:abstractNum>
  <w:abstractNum w:abstractNumId="6">
    <w:nsid w:val="0C3910AE"/>
    <w:multiLevelType w:val="hybridMultilevel"/>
    <w:tmpl w:val="080C14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DE4178"/>
    <w:multiLevelType w:val="hybridMultilevel"/>
    <w:tmpl w:val="D0F8671E"/>
    <w:lvl w:ilvl="0" w:tplc="B75E1E98">
      <w:start w:val="4"/>
      <w:numFmt w:val="decimal"/>
      <w:lvlText w:val="%1."/>
      <w:lvlJc w:val="left"/>
      <w:pPr>
        <w:ind w:left="18"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6E645C"/>
    <w:multiLevelType w:val="hybridMultilevel"/>
    <w:tmpl w:val="88FEEE96"/>
    <w:lvl w:ilvl="0" w:tplc="D22429F0">
      <w:start w:val="1"/>
      <w:numFmt w:val="bullet"/>
      <w:pStyle w:val="AreaBullets"/>
      <w:lvlText w:val=""/>
      <w:lvlJc w:val="left"/>
      <w:pPr>
        <w:ind w:left="40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4503F59"/>
    <w:multiLevelType w:val="hybridMultilevel"/>
    <w:tmpl w:val="89C6E6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6CD4C25"/>
    <w:multiLevelType w:val="hybridMultilevel"/>
    <w:tmpl w:val="017897D2"/>
    <w:lvl w:ilvl="0" w:tplc="04090001">
      <w:start w:val="1"/>
      <w:numFmt w:val="bullet"/>
      <w:pStyle w:val="1bulle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521F9F"/>
    <w:multiLevelType w:val="multilevel"/>
    <w:tmpl w:val="60B6C286"/>
    <w:lvl w:ilvl="0">
      <w:start w:val="1"/>
      <w:numFmt w:val="bullet"/>
      <w:pStyle w:val="Bullet1"/>
      <w:lvlText w:val="•"/>
      <w:lvlJc w:val="left"/>
      <w:pPr>
        <w:ind w:left="720" w:hanging="360"/>
      </w:pPr>
      <w:rPr>
        <w:rFonts w:asciiTheme="minorHAnsi" w:hAnsiTheme="minorHAnsi" w:cs="Times New Roman" w:hint="default"/>
        <w:b w:val="0"/>
        <w:i w:val="0"/>
        <w:color w:val="000000" w:themeColor="text1"/>
        <w:sz w:val="23"/>
        <w:szCs w:val="23"/>
      </w:rPr>
    </w:lvl>
    <w:lvl w:ilvl="1">
      <w:start w:val="1"/>
      <w:numFmt w:val="bullet"/>
      <w:lvlText w:val="–"/>
      <w:lvlJc w:val="left"/>
      <w:pPr>
        <w:ind w:left="1080" w:hanging="360"/>
      </w:pPr>
      <w:rPr>
        <w:rFonts w:ascii="Times New Roman" w:hAnsi="Times New Roman" w:cs="Times New Roman" w:hint="default"/>
      </w:rPr>
    </w:lvl>
    <w:lvl w:ilvl="2">
      <w:start w:val="1"/>
      <w:numFmt w:val="bullet"/>
      <w:lvlText w:val="»"/>
      <w:lvlJc w:val="left"/>
      <w:pPr>
        <w:ind w:left="1440" w:hanging="360"/>
      </w:pPr>
      <w:rPr>
        <w:rFonts w:ascii="Times New Roman" w:hAnsi="Times New Roman"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3">
    <w:nsid w:val="37A91DB4"/>
    <w:multiLevelType w:val="multilevel"/>
    <w:tmpl w:val="7AD479BC"/>
    <w:styleLink w:val="EDBullet"/>
    <w:lvl w:ilvl="0">
      <w:start w:val="1"/>
      <w:numFmt w:val="bullet"/>
      <w:lvlText w:val="•"/>
      <w:lvlJc w:val="left"/>
      <w:pPr>
        <w:ind w:left="720" w:hanging="360"/>
      </w:pPr>
      <w:rPr>
        <w:rFonts w:asciiTheme="minorHAnsi" w:hAnsiTheme="minorHAnsi" w:hint="default"/>
        <w:b w:val="0"/>
        <w:i w:val="0"/>
        <w:color w:val="auto"/>
        <w:sz w:val="24"/>
      </w:rPr>
    </w:lvl>
    <w:lvl w:ilvl="1">
      <w:start w:val="1"/>
      <w:numFmt w:val="bullet"/>
      <w:lvlText w:val="–"/>
      <w:lvlJc w:val="left"/>
      <w:pPr>
        <w:ind w:left="1080" w:hanging="360"/>
      </w:pPr>
      <w:rPr>
        <w:rFonts w:asciiTheme="minorHAnsi" w:hAnsiTheme="minorHAnsi" w:hint="default"/>
      </w:rPr>
    </w:lvl>
    <w:lvl w:ilvl="2">
      <w:start w:val="1"/>
      <w:numFmt w:val="bullet"/>
      <w:lvlText w:val="»"/>
      <w:lvlJc w:val="left"/>
      <w:pPr>
        <w:ind w:left="1440" w:hanging="360"/>
      </w:pPr>
      <w:rPr>
        <w:rFonts w:asciiTheme="minorHAnsi" w:hAnsiTheme="minorHAnsi" w:cs="Times New Roman" w:hint="default"/>
        <w:b w:val="0"/>
        <w:i w:val="0"/>
        <w:sz w:val="24"/>
      </w:rPr>
    </w:lvl>
    <w:lvl w:ilvl="3">
      <w:start w:val="1"/>
      <w:numFmt w:val="bullet"/>
      <w:lvlText w:val="•"/>
      <w:lvlJc w:val="left"/>
      <w:pPr>
        <w:ind w:left="1800" w:hanging="360"/>
      </w:pPr>
      <w:rPr>
        <w:rFonts w:ascii="Times New Roman" w:hAnsi="Times New Roman" w:cs="Times New Roman" w:hint="default"/>
      </w:rPr>
    </w:lvl>
    <w:lvl w:ilvl="4">
      <w:start w:val="1"/>
      <w:numFmt w:val="bullet"/>
      <w:lvlText w:val="o"/>
      <w:lvlJc w:val="left"/>
      <w:pPr>
        <w:ind w:left="2160" w:hanging="360"/>
      </w:pPr>
      <w:rPr>
        <w:rFonts w:ascii="Courier New" w:hAnsi="Courier New" w:hint="default"/>
      </w:rPr>
    </w:lvl>
    <w:lvl w:ilvl="5">
      <w:start w:val="1"/>
      <w:numFmt w:val="bullet"/>
      <w:lvlText w:val=""/>
      <w:lvlJc w:val="left"/>
      <w:pPr>
        <w:ind w:left="2520" w:hanging="360"/>
      </w:pPr>
      <w:rPr>
        <w:rFonts w:ascii="Wingdings" w:hAnsi="Wingdings" w:hint="default"/>
      </w:rPr>
    </w:lvl>
    <w:lvl w:ilvl="6">
      <w:start w:val="1"/>
      <w:numFmt w:val="bullet"/>
      <w:lvlText w:val=""/>
      <w:lvlJc w:val="left"/>
      <w:pPr>
        <w:ind w:left="2880" w:hanging="360"/>
      </w:pPr>
      <w:rPr>
        <w:rFonts w:ascii="Symbol" w:hAnsi="Symbol" w:hint="default"/>
      </w:rPr>
    </w:lvl>
    <w:lvl w:ilvl="7">
      <w:start w:val="1"/>
      <w:numFmt w:val="bullet"/>
      <w:lvlText w:val="o"/>
      <w:lvlJc w:val="left"/>
      <w:pPr>
        <w:ind w:left="3240" w:hanging="360"/>
      </w:pPr>
      <w:rPr>
        <w:rFonts w:ascii="Courier New" w:hAnsi="Courier New" w:hint="default"/>
      </w:rPr>
    </w:lvl>
    <w:lvl w:ilvl="8">
      <w:start w:val="1"/>
      <w:numFmt w:val="bullet"/>
      <w:lvlText w:val=""/>
      <w:lvlJc w:val="left"/>
      <w:pPr>
        <w:ind w:left="3600" w:hanging="360"/>
      </w:pPr>
      <w:rPr>
        <w:rFonts w:ascii="Wingdings" w:hAnsi="Wingdings" w:hint="default"/>
      </w:rPr>
    </w:lvl>
  </w:abstractNum>
  <w:abstractNum w:abstractNumId="14">
    <w:nsid w:val="43BC4794"/>
    <w:multiLevelType w:val="hybridMultilevel"/>
    <w:tmpl w:val="6D107B84"/>
    <w:lvl w:ilvl="0" w:tplc="B75E1E98">
      <w:start w:val="4"/>
      <w:numFmt w:val="decimal"/>
      <w:lvlText w:val="%1."/>
      <w:lvlJc w:val="left"/>
      <w:pPr>
        <w:ind w:left="738" w:hanging="360"/>
      </w:pPr>
      <w:rPr>
        <w:rFonts w:hint="default"/>
        <w:b/>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15">
    <w:nsid w:val="4D950EC5"/>
    <w:multiLevelType w:val="hybridMultilevel"/>
    <w:tmpl w:val="D08AEC06"/>
    <w:lvl w:ilvl="0" w:tplc="26E20C7A">
      <w:start w:val="1"/>
      <w:numFmt w:val="decimal"/>
      <w:pStyle w:val="Heading5"/>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6">
    <w:nsid w:val="4DCF444F"/>
    <w:multiLevelType w:val="hybridMultilevel"/>
    <w:tmpl w:val="79E822C0"/>
    <w:lvl w:ilvl="0" w:tplc="C81C7690">
      <w:start w:val="1"/>
      <w:numFmt w:val="bullet"/>
      <w:pStyle w:val="NCEEBullet1"/>
      <w:lvlText w:val=""/>
      <w:lvlJc w:val="left"/>
      <w:pPr>
        <w:ind w:left="720" w:hanging="360"/>
      </w:pPr>
      <w:rPr>
        <w:rFonts w:ascii="Symbol" w:hAnsi="Symbol" w:hint="default"/>
        <w:b w:val="0"/>
        <w:i w:val="0"/>
        <w:color w:val="000000" w:themeColor="text1"/>
        <w:sz w:val="21"/>
      </w:rPr>
    </w:lvl>
    <w:lvl w:ilvl="1" w:tplc="04090003">
      <w:start w:val="1"/>
      <w:numFmt w:val="bullet"/>
      <w:lvlText w:val="o"/>
      <w:lvlJc w:val="left"/>
      <w:pPr>
        <w:ind w:left="1440" w:hanging="360"/>
      </w:pPr>
      <w:rPr>
        <w:rFonts w:ascii="Courier New" w:hAnsi="Courier New" w:cs="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Symbo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Symbol"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6A6B3A"/>
    <w:multiLevelType w:val="singleLevel"/>
    <w:tmpl w:val="28AA7CB2"/>
    <w:lvl w:ilvl="0">
      <w:start w:val="1"/>
      <w:numFmt w:val="bullet"/>
      <w:pStyle w:val="SecondLevelBullet"/>
      <w:lvlText w:val="–"/>
      <w:lvlJc w:val="left"/>
      <w:pPr>
        <w:tabs>
          <w:tab w:val="num" w:pos="720"/>
        </w:tabs>
        <w:ind w:left="720" w:hanging="360"/>
      </w:pPr>
      <w:rPr>
        <w:rFonts w:ascii="Times New Roman" w:hAnsi="Times New Roman" w:hint="default"/>
        <w:b/>
        <w:i w:val="0"/>
        <w:sz w:val="20"/>
      </w:rPr>
    </w:lvl>
  </w:abstractNum>
  <w:abstractNum w:abstractNumId="18">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4D94515"/>
    <w:multiLevelType w:val="hybridMultilevel"/>
    <w:tmpl w:val="136C8F16"/>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567E60C8"/>
    <w:multiLevelType w:val="hybridMultilevel"/>
    <w:tmpl w:val="725A8B20"/>
    <w:lvl w:ilvl="0" w:tplc="A372C3A4">
      <w:start w:val="1"/>
      <w:numFmt w:val="bullet"/>
      <w:pStyle w:val="Garamond11DiamondBullet"/>
      <w:lvlText w:val=""/>
      <w:lvlJc w:val="left"/>
      <w:pPr>
        <w:ind w:left="876" w:hanging="360"/>
      </w:pPr>
      <w:rPr>
        <w:rFonts w:ascii="Wingdings 2" w:hAnsi="Wingdings 2" w:cs="Times New Roman" w:hint="default"/>
        <w:color w:val="auto"/>
        <w:sz w:val="18"/>
      </w:rPr>
    </w:lvl>
    <w:lvl w:ilvl="1" w:tplc="4D08A2EA" w:tentative="1">
      <w:start w:val="1"/>
      <w:numFmt w:val="bullet"/>
      <w:lvlText w:val="o"/>
      <w:lvlJc w:val="left"/>
      <w:pPr>
        <w:ind w:left="1596" w:hanging="360"/>
      </w:pPr>
      <w:rPr>
        <w:rFonts w:ascii="Courier New" w:hAnsi="Courier New" w:cs="Courier New" w:hint="default"/>
      </w:rPr>
    </w:lvl>
    <w:lvl w:ilvl="2" w:tplc="0409001B" w:tentative="1">
      <w:start w:val="1"/>
      <w:numFmt w:val="bullet"/>
      <w:lvlText w:val=""/>
      <w:lvlJc w:val="left"/>
      <w:pPr>
        <w:ind w:left="2316" w:hanging="360"/>
      </w:pPr>
      <w:rPr>
        <w:rFonts w:ascii="Wingdings" w:hAnsi="Wingdings" w:hint="default"/>
      </w:rPr>
    </w:lvl>
    <w:lvl w:ilvl="3" w:tplc="0409000F" w:tentative="1">
      <w:start w:val="1"/>
      <w:numFmt w:val="bullet"/>
      <w:lvlText w:val=""/>
      <w:lvlJc w:val="left"/>
      <w:pPr>
        <w:ind w:left="3036" w:hanging="360"/>
      </w:pPr>
      <w:rPr>
        <w:rFonts w:ascii="Symbol" w:hAnsi="Symbol" w:hint="default"/>
      </w:rPr>
    </w:lvl>
    <w:lvl w:ilvl="4" w:tplc="04090019" w:tentative="1">
      <w:start w:val="1"/>
      <w:numFmt w:val="bullet"/>
      <w:lvlText w:val="o"/>
      <w:lvlJc w:val="left"/>
      <w:pPr>
        <w:ind w:left="3756" w:hanging="360"/>
      </w:pPr>
      <w:rPr>
        <w:rFonts w:ascii="Courier New" w:hAnsi="Courier New" w:cs="Courier New" w:hint="default"/>
      </w:rPr>
    </w:lvl>
    <w:lvl w:ilvl="5" w:tplc="0409001B" w:tentative="1">
      <w:start w:val="1"/>
      <w:numFmt w:val="bullet"/>
      <w:lvlText w:val=""/>
      <w:lvlJc w:val="left"/>
      <w:pPr>
        <w:ind w:left="4476" w:hanging="360"/>
      </w:pPr>
      <w:rPr>
        <w:rFonts w:ascii="Wingdings" w:hAnsi="Wingdings" w:hint="default"/>
      </w:rPr>
    </w:lvl>
    <w:lvl w:ilvl="6" w:tplc="0409000F" w:tentative="1">
      <w:start w:val="1"/>
      <w:numFmt w:val="bullet"/>
      <w:lvlText w:val=""/>
      <w:lvlJc w:val="left"/>
      <w:pPr>
        <w:ind w:left="5196" w:hanging="360"/>
      </w:pPr>
      <w:rPr>
        <w:rFonts w:ascii="Symbol" w:hAnsi="Symbol" w:hint="default"/>
      </w:rPr>
    </w:lvl>
    <w:lvl w:ilvl="7" w:tplc="04090019" w:tentative="1">
      <w:start w:val="1"/>
      <w:numFmt w:val="bullet"/>
      <w:lvlText w:val="o"/>
      <w:lvlJc w:val="left"/>
      <w:pPr>
        <w:ind w:left="5916" w:hanging="360"/>
      </w:pPr>
      <w:rPr>
        <w:rFonts w:ascii="Courier New" w:hAnsi="Courier New" w:cs="Courier New" w:hint="default"/>
      </w:rPr>
    </w:lvl>
    <w:lvl w:ilvl="8" w:tplc="0409001B" w:tentative="1">
      <w:start w:val="1"/>
      <w:numFmt w:val="bullet"/>
      <w:lvlText w:val=""/>
      <w:lvlJc w:val="left"/>
      <w:pPr>
        <w:ind w:left="6636" w:hanging="360"/>
      </w:pPr>
      <w:rPr>
        <w:rFonts w:ascii="Wingdings" w:hAnsi="Wingdings" w:hint="default"/>
      </w:rPr>
    </w:lvl>
  </w:abstractNum>
  <w:abstractNum w:abstractNumId="21">
    <w:nsid w:val="5A633F71"/>
    <w:multiLevelType w:val="hybridMultilevel"/>
    <w:tmpl w:val="34F86AC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AC21916"/>
    <w:multiLevelType w:val="hybridMultilevel"/>
    <w:tmpl w:val="9CE46992"/>
    <w:lvl w:ilvl="0" w:tplc="0409000F">
      <w:start w:val="1"/>
      <w:numFmt w:val="bullet"/>
      <w:pStyle w:val="PBullet1"/>
      <w:lvlText w:val=""/>
      <w:lvlJc w:val="left"/>
      <w:pPr>
        <w:ind w:left="1440" w:hanging="360"/>
      </w:pPr>
      <w:rPr>
        <w:rFonts w:ascii="Symbol" w:hAnsi="Symbol" w:hint="default"/>
      </w:rPr>
    </w:lvl>
    <w:lvl w:ilvl="1" w:tplc="04090019">
      <w:start w:val="1"/>
      <w:numFmt w:val="bullet"/>
      <w:lvlText w:val="o"/>
      <w:lvlJc w:val="left"/>
      <w:pPr>
        <w:ind w:left="2160" w:hanging="360"/>
      </w:pPr>
      <w:rPr>
        <w:rFonts w:ascii="Courier New" w:hAnsi="Courier New" w:cs="Courier New" w:hint="default"/>
      </w:rPr>
    </w:lvl>
    <w:lvl w:ilvl="2" w:tplc="0409001B">
      <w:start w:val="1"/>
      <w:numFmt w:val="bullet"/>
      <w:lvlText w:val=""/>
      <w:lvlJc w:val="left"/>
      <w:pPr>
        <w:ind w:left="2880" w:hanging="360"/>
      </w:pPr>
      <w:rPr>
        <w:rFonts w:ascii="Wingdings" w:hAnsi="Wingdings" w:hint="default"/>
      </w:rPr>
    </w:lvl>
    <w:lvl w:ilvl="3" w:tplc="0409000F" w:tentative="1">
      <w:start w:val="1"/>
      <w:numFmt w:val="bullet"/>
      <w:lvlText w:val=""/>
      <w:lvlJc w:val="left"/>
      <w:pPr>
        <w:ind w:left="3600" w:hanging="360"/>
      </w:pPr>
      <w:rPr>
        <w:rFonts w:ascii="Symbol" w:hAnsi="Symbol" w:hint="default"/>
      </w:rPr>
    </w:lvl>
    <w:lvl w:ilvl="4" w:tplc="04090019" w:tentative="1">
      <w:start w:val="1"/>
      <w:numFmt w:val="bullet"/>
      <w:lvlText w:val="o"/>
      <w:lvlJc w:val="left"/>
      <w:pPr>
        <w:ind w:left="4320" w:hanging="360"/>
      </w:pPr>
      <w:rPr>
        <w:rFonts w:ascii="Courier New" w:hAnsi="Courier New" w:cs="Courier New" w:hint="default"/>
      </w:rPr>
    </w:lvl>
    <w:lvl w:ilvl="5" w:tplc="0409001B" w:tentative="1">
      <w:start w:val="1"/>
      <w:numFmt w:val="bullet"/>
      <w:lvlText w:val=""/>
      <w:lvlJc w:val="left"/>
      <w:pPr>
        <w:ind w:left="5040" w:hanging="360"/>
      </w:pPr>
      <w:rPr>
        <w:rFonts w:ascii="Wingdings" w:hAnsi="Wingdings" w:hint="default"/>
      </w:rPr>
    </w:lvl>
    <w:lvl w:ilvl="6" w:tplc="0409000F" w:tentative="1">
      <w:start w:val="1"/>
      <w:numFmt w:val="bullet"/>
      <w:lvlText w:val=""/>
      <w:lvlJc w:val="left"/>
      <w:pPr>
        <w:ind w:left="5760" w:hanging="360"/>
      </w:pPr>
      <w:rPr>
        <w:rFonts w:ascii="Symbol" w:hAnsi="Symbol" w:hint="default"/>
      </w:rPr>
    </w:lvl>
    <w:lvl w:ilvl="7" w:tplc="04090019" w:tentative="1">
      <w:start w:val="1"/>
      <w:numFmt w:val="bullet"/>
      <w:lvlText w:val="o"/>
      <w:lvlJc w:val="left"/>
      <w:pPr>
        <w:ind w:left="6480" w:hanging="360"/>
      </w:pPr>
      <w:rPr>
        <w:rFonts w:ascii="Courier New" w:hAnsi="Courier New" w:cs="Courier New" w:hint="default"/>
      </w:rPr>
    </w:lvl>
    <w:lvl w:ilvl="8" w:tplc="0409001B" w:tentative="1">
      <w:start w:val="1"/>
      <w:numFmt w:val="bullet"/>
      <w:lvlText w:val=""/>
      <w:lvlJc w:val="left"/>
      <w:pPr>
        <w:ind w:left="7200" w:hanging="360"/>
      </w:pPr>
      <w:rPr>
        <w:rFonts w:ascii="Wingdings" w:hAnsi="Wingdings" w:hint="default"/>
      </w:rPr>
    </w:lvl>
  </w:abstractNum>
  <w:abstractNum w:abstractNumId="23">
    <w:nsid w:val="5B8A1207"/>
    <w:multiLevelType w:val="hybridMultilevel"/>
    <w:tmpl w:val="5EB0E080"/>
    <w:lvl w:ilvl="0" w:tplc="0F4E88D6">
      <w:start w:val="1"/>
      <w:numFmt w:val="bullet"/>
      <w:pStyle w:val="TableBullet1"/>
      <w:lvlText w:val="•"/>
      <w:lvlJc w:val="left"/>
      <w:pPr>
        <w:tabs>
          <w:tab w:val="num" w:pos="180"/>
        </w:tabs>
        <w:ind w:left="180" w:hanging="180"/>
      </w:pPr>
      <w:rPr>
        <w:rFonts w:ascii="ITC Garamond Std Book Cond" w:hAnsi="ITC Garamond Std Book Cond" w:hint="default"/>
        <w:b w:val="0"/>
        <w:i w:val="0"/>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60752876"/>
    <w:multiLevelType w:val="hybridMultilevel"/>
    <w:tmpl w:val="A4D87796"/>
    <w:lvl w:ilvl="0" w:tplc="04090001">
      <w:start w:val="1"/>
      <w:numFmt w:val="bullet"/>
      <w:pStyle w:val="PBullet2"/>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6D4B2693"/>
    <w:multiLevelType w:val="hybridMultilevel"/>
    <w:tmpl w:val="82846340"/>
    <w:lvl w:ilvl="0" w:tplc="0018D7B2">
      <w:start w:val="1"/>
      <w:numFmt w:val="decimal"/>
      <w:pStyle w:val="Numberedlist"/>
      <w:lvlText w:val="%1."/>
      <w:lvlJc w:val="left"/>
      <w:pPr>
        <w:ind w:left="1260" w:hanging="360"/>
      </w:pPr>
      <w:rPr>
        <w:rFonts w:hint="default"/>
        <w:sz w:val="23"/>
        <w:szCs w:val="23"/>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6">
    <w:nsid w:val="709A1F30"/>
    <w:multiLevelType w:val="hybridMultilevel"/>
    <w:tmpl w:val="EF74F97E"/>
    <w:lvl w:ilvl="0" w:tplc="6DDC2AA4">
      <w:start w:val="1"/>
      <w:numFmt w:val="bullet"/>
      <w:pStyle w:val="1st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2"/>
  </w:num>
  <w:num w:numId="2">
    <w:abstractNumId w:val="11"/>
  </w:num>
  <w:num w:numId="3">
    <w:abstractNumId w:val="26"/>
  </w:num>
  <w:num w:numId="4">
    <w:abstractNumId w:val="5"/>
  </w:num>
  <w:num w:numId="5">
    <w:abstractNumId w:val="8"/>
  </w:num>
  <w:num w:numId="6">
    <w:abstractNumId w:val="13"/>
  </w:num>
  <w:num w:numId="7">
    <w:abstractNumId w:val="20"/>
  </w:num>
  <w:num w:numId="8">
    <w:abstractNumId w:val="15"/>
  </w:num>
  <w:num w:numId="9">
    <w:abstractNumId w:val="4"/>
  </w:num>
  <w:num w:numId="10">
    <w:abstractNumId w:val="1"/>
  </w:num>
  <w:num w:numId="11">
    <w:abstractNumId w:val="16"/>
  </w:num>
  <w:num w:numId="12">
    <w:abstractNumId w:val="9"/>
  </w:num>
  <w:num w:numId="1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8"/>
  </w:num>
  <w:num w:numId="15">
    <w:abstractNumId w:val="22"/>
  </w:num>
  <w:num w:numId="16">
    <w:abstractNumId w:val="24"/>
  </w:num>
  <w:num w:numId="17">
    <w:abstractNumId w:val="17"/>
  </w:num>
  <w:num w:numId="18">
    <w:abstractNumId w:val="23"/>
  </w:num>
  <w:num w:numId="19">
    <w:abstractNumId w:val="19"/>
  </w:num>
  <w:num w:numId="20">
    <w:abstractNumId w:val="6"/>
  </w:num>
  <w:num w:numId="21">
    <w:abstractNumId w:val="2"/>
  </w:num>
  <w:num w:numId="22">
    <w:abstractNumId w:val="3"/>
  </w:num>
  <w:num w:numId="23">
    <w:abstractNumId w:val="25"/>
  </w:num>
  <w:num w:numId="24">
    <w:abstractNumId w:val="0"/>
  </w:num>
  <w:num w:numId="25">
    <w:abstractNumId w:val="7"/>
  </w:num>
  <w:num w:numId="26">
    <w:abstractNumId w:val="14"/>
  </w:num>
  <w:num w:numId="27">
    <w:abstractNumId w:val="10"/>
  </w:num>
  <w:num w:numId="28">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860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547B"/>
    <w:rsid w:val="000078ED"/>
    <w:rsid w:val="00022069"/>
    <w:rsid w:val="00023717"/>
    <w:rsid w:val="00025120"/>
    <w:rsid w:val="00031609"/>
    <w:rsid w:val="00042C9B"/>
    <w:rsid w:val="00045A5D"/>
    <w:rsid w:val="000555E5"/>
    <w:rsid w:val="00063008"/>
    <w:rsid w:val="00065FC0"/>
    <w:rsid w:val="00075EDD"/>
    <w:rsid w:val="00080544"/>
    <w:rsid w:val="0008263C"/>
    <w:rsid w:val="0009083F"/>
    <w:rsid w:val="00092055"/>
    <w:rsid w:val="00095AD4"/>
    <w:rsid w:val="00097BC3"/>
    <w:rsid w:val="000A3C89"/>
    <w:rsid w:val="000B7DAC"/>
    <w:rsid w:val="000C6EF4"/>
    <w:rsid w:val="000D0E90"/>
    <w:rsid w:val="000F38D9"/>
    <w:rsid w:val="00111BAE"/>
    <w:rsid w:val="00116F57"/>
    <w:rsid w:val="001306EF"/>
    <w:rsid w:val="00143C19"/>
    <w:rsid w:val="00157B63"/>
    <w:rsid w:val="001640A5"/>
    <w:rsid w:val="0016737C"/>
    <w:rsid w:val="001736FA"/>
    <w:rsid w:val="00177FF5"/>
    <w:rsid w:val="00184150"/>
    <w:rsid w:val="00194B2F"/>
    <w:rsid w:val="00196F88"/>
    <w:rsid w:val="001B30D7"/>
    <w:rsid w:val="001C495C"/>
    <w:rsid w:val="001C4BBA"/>
    <w:rsid w:val="001C555E"/>
    <w:rsid w:val="001D5487"/>
    <w:rsid w:val="001E13CD"/>
    <w:rsid w:val="001E540B"/>
    <w:rsid w:val="001E5D6A"/>
    <w:rsid w:val="001F0FC6"/>
    <w:rsid w:val="0021303D"/>
    <w:rsid w:val="00213E41"/>
    <w:rsid w:val="00217FC4"/>
    <w:rsid w:val="0023391B"/>
    <w:rsid w:val="002426E7"/>
    <w:rsid w:val="00242B1C"/>
    <w:rsid w:val="0024548E"/>
    <w:rsid w:val="00245872"/>
    <w:rsid w:val="00246572"/>
    <w:rsid w:val="0025650F"/>
    <w:rsid w:val="002625B4"/>
    <w:rsid w:val="00263D5B"/>
    <w:rsid w:val="00270210"/>
    <w:rsid w:val="002736FA"/>
    <w:rsid w:val="0028431E"/>
    <w:rsid w:val="002867E0"/>
    <w:rsid w:val="00290BDF"/>
    <w:rsid w:val="0029324C"/>
    <w:rsid w:val="0029746D"/>
    <w:rsid w:val="002A08B2"/>
    <w:rsid w:val="002A50EF"/>
    <w:rsid w:val="002A57FD"/>
    <w:rsid w:val="002A5E2F"/>
    <w:rsid w:val="002A7824"/>
    <w:rsid w:val="002B3BD5"/>
    <w:rsid w:val="002B3CE5"/>
    <w:rsid w:val="002B5A0C"/>
    <w:rsid w:val="002C1B2E"/>
    <w:rsid w:val="002D0F86"/>
    <w:rsid w:val="002E0020"/>
    <w:rsid w:val="002F2733"/>
    <w:rsid w:val="002F38B2"/>
    <w:rsid w:val="002F7246"/>
    <w:rsid w:val="002F7EE1"/>
    <w:rsid w:val="00304C5E"/>
    <w:rsid w:val="0031021F"/>
    <w:rsid w:val="00310475"/>
    <w:rsid w:val="00315549"/>
    <w:rsid w:val="0032028A"/>
    <w:rsid w:val="0033184D"/>
    <w:rsid w:val="00345610"/>
    <w:rsid w:val="003539E9"/>
    <w:rsid w:val="003548FC"/>
    <w:rsid w:val="00367B9A"/>
    <w:rsid w:val="003737FC"/>
    <w:rsid w:val="00383DE5"/>
    <w:rsid w:val="003850EC"/>
    <w:rsid w:val="003A48A1"/>
    <w:rsid w:val="003B5DD0"/>
    <w:rsid w:val="003D1E17"/>
    <w:rsid w:val="003D3293"/>
    <w:rsid w:val="0040345E"/>
    <w:rsid w:val="00410117"/>
    <w:rsid w:val="00410478"/>
    <w:rsid w:val="004138B6"/>
    <w:rsid w:val="00432ACF"/>
    <w:rsid w:val="00442EDC"/>
    <w:rsid w:val="00443FA0"/>
    <w:rsid w:val="0045360D"/>
    <w:rsid w:val="00454C78"/>
    <w:rsid w:val="00466B66"/>
    <w:rsid w:val="004768F8"/>
    <w:rsid w:val="0048706E"/>
    <w:rsid w:val="004871C9"/>
    <w:rsid w:val="00487C62"/>
    <w:rsid w:val="00490841"/>
    <w:rsid w:val="00490AC8"/>
    <w:rsid w:val="004937BD"/>
    <w:rsid w:val="004B3BF5"/>
    <w:rsid w:val="004C197F"/>
    <w:rsid w:val="004D0EDC"/>
    <w:rsid w:val="004D5860"/>
    <w:rsid w:val="004E4315"/>
    <w:rsid w:val="004F2B75"/>
    <w:rsid w:val="004F4B51"/>
    <w:rsid w:val="004F523A"/>
    <w:rsid w:val="004F6284"/>
    <w:rsid w:val="004F66B0"/>
    <w:rsid w:val="004F6830"/>
    <w:rsid w:val="00505C8D"/>
    <w:rsid w:val="00522258"/>
    <w:rsid w:val="005328D3"/>
    <w:rsid w:val="005352CC"/>
    <w:rsid w:val="005378CF"/>
    <w:rsid w:val="00540813"/>
    <w:rsid w:val="00542CDA"/>
    <w:rsid w:val="00550E69"/>
    <w:rsid w:val="0055244D"/>
    <w:rsid w:val="00561883"/>
    <w:rsid w:val="00570A36"/>
    <w:rsid w:val="0057547B"/>
    <w:rsid w:val="00584880"/>
    <w:rsid w:val="00585E9B"/>
    <w:rsid w:val="00587C3B"/>
    <w:rsid w:val="00587D92"/>
    <w:rsid w:val="005935E5"/>
    <w:rsid w:val="00596A0A"/>
    <w:rsid w:val="005A1A28"/>
    <w:rsid w:val="005A37DF"/>
    <w:rsid w:val="005B7FE3"/>
    <w:rsid w:val="005C2439"/>
    <w:rsid w:val="005D3A10"/>
    <w:rsid w:val="005F3C11"/>
    <w:rsid w:val="005F42C2"/>
    <w:rsid w:val="00604CF4"/>
    <w:rsid w:val="00627A40"/>
    <w:rsid w:val="00634536"/>
    <w:rsid w:val="0064561F"/>
    <w:rsid w:val="00655E39"/>
    <w:rsid w:val="006613AE"/>
    <w:rsid w:val="006638C1"/>
    <w:rsid w:val="0066401B"/>
    <w:rsid w:val="00666DB6"/>
    <w:rsid w:val="006672F3"/>
    <w:rsid w:val="00676804"/>
    <w:rsid w:val="00685F10"/>
    <w:rsid w:val="00692ACA"/>
    <w:rsid w:val="006A27E1"/>
    <w:rsid w:val="006B3B1B"/>
    <w:rsid w:val="006B3C64"/>
    <w:rsid w:val="006B42E0"/>
    <w:rsid w:val="006B7F8A"/>
    <w:rsid w:val="006D07BC"/>
    <w:rsid w:val="006D2CD5"/>
    <w:rsid w:val="006F04E9"/>
    <w:rsid w:val="006F591C"/>
    <w:rsid w:val="006F78C0"/>
    <w:rsid w:val="00703EC4"/>
    <w:rsid w:val="00716685"/>
    <w:rsid w:val="0072660C"/>
    <w:rsid w:val="00731F5C"/>
    <w:rsid w:val="00742B08"/>
    <w:rsid w:val="007435D4"/>
    <w:rsid w:val="00744400"/>
    <w:rsid w:val="00744548"/>
    <w:rsid w:val="0074512B"/>
    <w:rsid w:val="00755582"/>
    <w:rsid w:val="007645B1"/>
    <w:rsid w:val="00775331"/>
    <w:rsid w:val="00777AE3"/>
    <w:rsid w:val="0078028C"/>
    <w:rsid w:val="00784103"/>
    <w:rsid w:val="007844EB"/>
    <w:rsid w:val="00794DA4"/>
    <w:rsid w:val="007A46BB"/>
    <w:rsid w:val="007A6C65"/>
    <w:rsid w:val="007B49B5"/>
    <w:rsid w:val="007C1D2B"/>
    <w:rsid w:val="007C7136"/>
    <w:rsid w:val="007D0076"/>
    <w:rsid w:val="007D23B3"/>
    <w:rsid w:val="007D5FBE"/>
    <w:rsid w:val="007E1E62"/>
    <w:rsid w:val="007E790F"/>
    <w:rsid w:val="00801577"/>
    <w:rsid w:val="008107EF"/>
    <w:rsid w:val="00814D69"/>
    <w:rsid w:val="00816F3F"/>
    <w:rsid w:val="008300AA"/>
    <w:rsid w:val="008466B9"/>
    <w:rsid w:val="00846749"/>
    <w:rsid w:val="008621B9"/>
    <w:rsid w:val="00885663"/>
    <w:rsid w:val="0089271D"/>
    <w:rsid w:val="0089575B"/>
    <w:rsid w:val="008A2E42"/>
    <w:rsid w:val="008B4952"/>
    <w:rsid w:val="008B5508"/>
    <w:rsid w:val="008B5B41"/>
    <w:rsid w:val="008D48A5"/>
    <w:rsid w:val="008E233B"/>
    <w:rsid w:val="00907ED7"/>
    <w:rsid w:val="00910D1F"/>
    <w:rsid w:val="00925529"/>
    <w:rsid w:val="00936BD7"/>
    <w:rsid w:val="0094671F"/>
    <w:rsid w:val="009503B6"/>
    <w:rsid w:val="00953A3E"/>
    <w:rsid w:val="00953D50"/>
    <w:rsid w:val="009618E9"/>
    <w:rsid w:val="009846FC"/>
    <w:rsid w:val="0098515B"/>
    <w:rsid w:val="00987C11"/>
    <w:rsid w:val="0099433C"/>
    <w:rsid w:val="009A728E"/>
    <w:rsid w:val="009B6BCC"/>
    <w:rsid w:val="009C799D"/>
    <w:rsid w:val="009D2014"/>
    <w:rsid w:val="009D33CB"/>
    <w:rsid w:val="009E18AE"/>
    <w:rsid w:val="009E23C9"/>
    <w:rsid w:val="009E2E9E"/>
    <w:rsid w:val="009E7B3E"/>
    <w:rsid w:val="009F3ECB"/>
    <w:rsid w:val="009F4894"/>
    <w:rsid w:val="009F62A3"/>
    <w:rsid w:val="009F7DF7"/>
    <w:rsid w:val="00A0109C"/>
    <w:rsid w:val="00A03FDB"/>
    <w:rsid w:val="00A055DD"/>
    <w:rsid w:val="00A07A17"/>
    <w:rsid w:val="00A1447C"/>
    <w:rsid w:val="00A156F2"/>
    <w:rsid w:val="00A30BA8"/>
    <w:rsid w:val="00A354B6"/>
    <w:rsid w:val="00A51559"/>
    <w:rsid w:val="00A644BE"/>
    <w:rsid w:val="00A67669"/>
    <w:rsid w:val="00A74E3C"/>
    <w:rsid w:val="00A83240"/>
    <w:rsid w:val="00A84CD7"/>
    <w:rsid w:val="00A901F8"/>
    <w:rsid w:val="00A90DFF"/>
    <w:rsid w:val="00A92B00"/>
    <w:rsid w:val="00AA1877"/>
    <w:rsid w:val="00AA4B9D"/>
    <w:rsid w:val="00AA757D"/>
    <w:rsid w:val="00AC0AA8"/>
    <w:rsid w:val="00AC27C3"/>
    <w:rsid w:val="00AF038B"/>
    <w:rsid w:val="00AF6775"/>
    <w:rsid w:val="00B11E43"/>
    <w:rsid w:val="00B1219B"/>
    <w:rsid w:val="00B251FF"/>
    <w:rsid w:val="00B373D0"/>
    <w:rsid w:val="00B46C2A"/>
    <w:rsid w:val="00B47522"/>
    <w:rsid w:val="00B4799B"/>
    <w:rsid w:val="00B503E0"/>
    <w:rsid w:val="00B612E8"/>
    <w:rsid w:val="00B67806"/>
    <w:rsid w:val="00B7481C"/>
    <w:rsid w:val="00B92ED6"/>
    <w:rsid w:val="00B9763B"/>
    <w:rsid w:val="00B97C17"/>
    <w:rsid w:val="00BA7963"/>
    <w:rsid w:val="00BB2A6D"/>
    <w:rsid w:val="00BB41AB"/>
    <w:rsid w:val="00BB63FD"/>
    <w:rsid w:val="00BC0244"/>
    <w:rsid w:val="00BC498D"/>
    <w:rsid w:val="00BD084E"/>
    <w:rsid w:val="00BD0EA7"/>
    <w:rsid w:val="00BD56DA"/>
    <w:rsid w:val="00BE70BB"/>
    <w:rsid w:val="00BF2AB8"/>
    <w:rsid w:val="00BF5025"/>
    <w:rsid w:val="00BF6A4B"/>
    <w:rsid w:val="00C029CC"/>
    <w:rsid w:val="00C03D6E"/>
    <w:rsid w:val="00C16180"/>
    <w:rsid w:val="00C23827"/>
    <w:rsid w:val="00C550FF"/>
    <w:rsid w:val="00C62B30"/>
    <w:rsid w:val="00C715D8"/>
    <w:rsid w:val="00C74AD3"/>
    <w:rsid w:val="00C76B84"/>
    <w:rsid w:val="00C77077"/>
    <w:rsid w:val="00CB4A14"/>
    <w:rsid w:val="00CB71F6"/>
    <w:rsid w:val="00CC1026"/>
    <w:rsid w:val="00CC2752"/>
    <w:rsid w:val="00CD3485"/>
    <w:rsid w:val="00CE0870"/>
    <w:rsid w:val="00CE0D41"/>
    <w:rsid w:val="00CE4160"/>
    <w:rsid w:val="00CE7E72"/>
    <w:rsid w:val="00CF0987"/>
    <w:rsid w:val="00D0126F"/>
    <w:rsid w:val="00D022A2"/>
    <w:rsid w:val="00D03E5A"/>
    <w:rsid w:val="00D0445C"/>
    <w:rsid w:val="00D068F4"/>
    <w:rsid w:val="00D100C9"/>
    <w:rsid w:val="00D1313E"/>
    <w:rsid w:val="00D15255"/>
    <w:rsid w:val="00D2102B"/>
    <w:rsid w:val="00D23798"/>
    <w:rsid w:val="00D24337"/>
    <w:rsid w:val="00D30E1D"/>
    <w:rsid w:val="00D34FE9"/>
    <w:rsid w:val="00D43781"/>
    <w:rsid w:val="00D52EB2"/>
    <w:rsid w:val="00D83799"/>
    <w:rsid w:val="00D94191"/>
    <w:rsid w:val="00DA4723"/>
    <w:rsid w:val="00DB404E"/>
    <w:rsid w:val="00DC51F5"/>
    <w:rsid w:val="00DE1015"/>
    <w:rsid w:val="00DE754B"/>
    <w:rsid w:val="00DF5BBB"/>
    <w:rsid w:val="00E00FAF"/>
    <w:rsid w:val="00E041D1"/>
    <w:rsid w:val="00E1361C"/>
    <w:rsid w:val="00E1361F"/>
    <w:rsid w:val="00E14705"/>
    <w:rsid w:val="00E15615"/>
    <w:rsid w:val="00E26753"/>
    <w:rsid w:val="00E361E7"/>
    <w:rsid w:val="00E42148"/>
    <w:rsid w:val="00E47C0B"/>
    <w:rsid w:val="00E62BC5"/>
    <w:rsid w:val="00E94828"/>
    <w:rsid w:val="00EA0AD1"/>
    <w:rsid w:val="00EB011A"/>
    <w:rsid w:val="00EC04E5"/>
    <w:rsid w:val="00ED0DF3"/>
    <w:rsid w:val="00EF08B9"/>
    <w:rsid w:val="00EF2664"/>
    <w:rsid w:val="00EF416C"/>
    <w:rsid w:val="00EF7DF2"/>
    <w:rsid w:val="00F010E0"/>
    <w:rsid w:val="00F3485D"/>
    <w:rsid w:val="00F35731"/>
    <w:rsid w:val="00F359DA"/>
    <w:rsid w:val="00F41F56"/>
    <w:rsid w:val="00F43003"/>
    <w:rsid w:val="00F601E7"/>
    <w:rsid w:val="00F73FB3"/>
    <w:rsid w:val="00F81B2B"/>
    <w:rsid w:val="00F85201"/>
    <w:rsid w:val="00F90CC9"/>
    <w:rsid w:val="00F93C7A"/>
    <w:rsid w:val="00F94546"/>
    <w:rsid w:val="00FA6354"/>
    <w:rsid w:val="00FA663C"/>
    <w:rsid w:val="00FD1332"/>
    <w:rsid w:val="00FE4ECD"/>
    <w:rsid w:val="00FF2040"/>
    <w:rsid w:val="00FF44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6017"/>
    <o:shapelayout v:ext="edit">
      <o:idmap v:ext="edit" data="1"/>
    </o:shapelayout>
  </w:shapeDefaults>
  <w:decimalSymbol w:val="."/>
  <w:listSeparator w:val=","/>
  <w14:docId w14:val="069F0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color w:val="17365D" w:themeColor="text2" w:themeShade="BF"/>
      <w:kern w:val="32"/>
      <w:sz w:val="28"/>
      <w:szCs w:val="32"/>
    </w:rPr>
  </w:style>
  <w:style w:type="paragraph" w:styleId="Heading2">
    <w:name w:val="heading 2"/>
    <w:next w:val="Normal"/>
    <w:link w:val="Heading2Char"/>
    <w:unhideWhenUsed/>
    <w:qFormat/>
    <w:pPr>
      <w:keepNext/>
      <w:keepLines/>
      <w:spacing w:before="240" w:after="240"/>
      <w:outlineLvl w:val="1"/>
    </w:pPr>
    <w:rPr>
      <w:rFonts w:ascii="Arial" w:eastAsia="Times New Roman" w:hAnsi="Arial" w:cs="Arial"/>
      <w:b/>
      <w:bCs/>
      <w:iCs/>
      <w:color w:val="17365D" w:themeColor="text2" w:themeShade="BF"/>
      <w:sz w:val="24"/>
      <w:szCs w:val="28"/>
    </w:rPr>
  </w:style>
  <w:style w:type="paragraph" w:styleId="Heading3">
    <w:name w:val="heading 3"/>
    <w:basedOn w:val="Normal"/>
    <w:next w:val="Normal"/>
    <w:link w:val="Heading3Char"/>
    <w:unhideWhenUsed/>
    <w:qFormat/>
    <w:pPr>
      <w:keepNext/>
      <w:keepLines/>
      <w:spacing w:before="240"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8"/>
      </w:numPr>
      <w:outlineLvl w:val="4"/>
    </w:pPr>
    <w:rPr>
      <w:b/>
    </w:rPr>
  </w:style>
  <w:style w:type="paragraph" w:styleId="Heading6">
    <w:name w:val="heading 6"/>
    <w:basedOn w:val="Normal"/>
    <w:next w:val="Normal"/>
    <w:link w:val="Heading6Char"/>
    <w:unhideWhenUsed/>
    <w:qFormat/>
    <w:pPr>
      <w:numPr>
        <w:ilvl w:val="5"/>
        <w:numId w:val="9"/>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9"/>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9"/>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9"/>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heme="minorHAnsi" w:hAnsiTheme="minorHAnsi"/>
      <w:sz w:val="20"/>
    </w:rPr>
  </w:style>
  <w:style w:type="character" w:customStyle="1" w:styleId="FooterChar">
    <w:name w:val="Footer Char"/>
    <w:basedOn w:val="DefaultParagraphFont"/>
    <w:link w:val="Footer"/>
    <w:uiPriority w:val="99"/>
    <w:rPr>
      <w:rFonts w:asciiTheme="minorHAnsi" w:hAnsiTheme="minorHAnsi"/>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color w:val="17365D" w:themeColor="text2" w:themeShade="BF"/>
      <w:kern w:val="32"/>
      <w:sz w:val="28"/>
      <w:szCs w:val="32"/>
    </w:rPr>
  </w:style>
  <w:style w:type="character" w:customStyle="1" w:styleId="Heading2Char">
    <w:name w:val="Heading 2 Char"/>
    <w:basedOn w:val="DefaultParagraphFont"/>
    <w:link w:val="Heading2"/>
    <w:rPr>
      <w:rFonts w:ascii="Arial" w:eastAsia="Times New Roman" w:hAnsi="Arial" w:cs="Arial"/>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Footnote">
    <w:name w:val="Footnote"/>
    <w:rPr>
      <w:rFonts w:eastAsia="Times New Roman"/>
      <w:szCs w:val="24"/>
    </w:rPr>
  </w:style>
  <w:style w:type="paragraph" w:customStyle="1" w:styleId="ExhibitTitle">
    <w:name w:val="Exhibit Title"/>
    <w:next w:val="Normal"/>
    <w:link w:val="ExhibitTitleChar"/>
    <w:qFormat/>
    <w:pPr>
      <w:keepNext/>
      <w:spacing w:before="240" w:after="120"/>
    </w:pPr>
    <w:rPr>
      <w:rFonts w:asciiTheme="minorHAnsi" w:eastAsia="Times New Roman" w:hAnsiTheme="minorHAnsi" w:cs="Arial"/>
      <w:b/>
      <w:sz w:val="23"/>
      <w:szCs w:val="23"/>
    </w:rPr>
  </w:style>
  <w:style w:type="paragraph" w:customStyle="1" w:styleId="ExhibitReads">
    <w:name w:val="Exhibit Reads"/>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ind w:left="72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12"/>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99"/>
    <w:rPr>
      <w:sz w:val="22"/>
      <w:szCs w:val="22"/>
    </w:rPr>
  </w:style>
  <w:style w:type="paragraph" w:customStyle="1" w:styleId="TOCItemnumbered">
    <w:name w:val="TOC Item (numbered)"/>
    <w:basedOn w:val="ListParagraph"/>
    <w:link w:val="TOCItemnumberedChar"/>
    <w:pPr>
      <w:numPr>
        <w:numId w:val="14"/>
      </w:numPr>
      <w:pBdr>
        <w:bottom w:val="single" w:sz="6" w:space="1" w:color="980C0C"/>
      </w:pBdr>
      <w:tabs>
        <w:tab w:val="right" w:pos="9360"/>
      </w:tabs>
      <w:spacing w:before="120" w:after="120" w:line="240" w:lineRule="auto"/>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SubBullet">
    <w:name w:val="SubBullet"/>
    <w:basedOn w:val="Normal"/>
    <w:link w:val="SubBulletChar"/>
    <w:qFormat/>
    <w:pPr>
      <w:spacing w:before="60" w:after="60" w:line="240" w:lineRule="auto"/>
      <w:ind w:left="1440" w:hanging="360"/>
    </w:pPr>
    <w:rPr>
      <w:rFonts w:ascii="Times New Roman" w:hAnsi="Times New Roman"/>
      <w:sz w:val="20"/>
      <w:szCs w:val="20"/>
    </w:r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10"/>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17"/>
      </w:numPr>
      <w:tabs>
        <w:tab w:val="clear" w:pos="720"/>
        <w:tab w:val="num" w:pos="360"/>
      </w:tabs>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2"/>
      </w:numPr>
      <w:spacing w:after="0" w:line="240" w:lineRule="auto"/>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5"/>
      </w:numPr>
      <w:spacing w:after="0" w:line="240" w:lineRule="auto"/>
    </w:pPr>
    <w:rPr>
      <w:rFonts w:ascii="Times New Roman" w:hAnsi="Times New Roman"/>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color w:val="000000"/>
      <w:kern w:val="28"/>
      <w:sz w:val="24"/>
      <w:szCs w:val="24"/>
      <w14:textFill>
        <w14:solidFill>
          <w14:srgbClr w14:val="000000">
            <w14:lumMod w14:val="75000"/>
          </w14:srgbClr>
        </w14:solidFill>
      </w14:textFill>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3"/>
      </w:numPr>
      <w:spacing w:line="240" w:lineRule="auto"/>
    </w:pPr>
    <w:rPr>
      <w:rFonts w:ascii="Arial" w:eastAsia="MS Mincho" w:hAnsi="Arial"/>
      <w:sz w:val="24"/>
      <w:szCs w:val="20"/>
      <w:lang w:eastAsia="ja-JP"/>
    </w:rPr>
  </w:style>
  <w:style w:type="paragraph" w:customStyle="1" w:styleId="2ndbullet">
    <w:name w:val="2nd bullet"/>
    <w:basedOn w:val="Normal"/>
    <w:pPr>
      <w:numPr>
        <w:numId w:val="4"/>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7"/>
      </w:numPr>
      <w:tabs>
        <w:tab w:val="num" w:pos="360"/>
      </w:tabs>
      <w:spacing w:after="0" w:line="240" w:lineRule="auto"/>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outlineLvl w:val="9"/>
    </w:p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000000"/>
      <w:sz w:val="28"/>
      <w14:textFill>
        <w14:solidFill>
          <w14:srgbClr w14:val="000000">
            <w14:lumMod w14:val="75000"/>
          </w14:srgbClr>
        </w14:solidFill>
      </w14:textFill>
    </w:rPr>
  </w:style>
  <w:style w:type="character" w:customStyle="1" w:styleId="Level2HeadChar">
    <w:name w:val="Level 2 Head Char"/>
    <w:link w:val="Level2Head"/>
    <w:rPr>
      <w:rFonts w:ascii="Times New Roman" w:hAnsi="Times New Roman" w:cs="Arial"/>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6"/>
      </w:numPr>
      <w:tabs>
        <w:tab w:val="left" w:pos="1080"/>
      </w:tabs>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8"/>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1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Theme="minorHAnsi" w:eastAsia="Times New Roman" w:hAnsiTheme="minorHAnsi" w:cs="Arial"/>
      <w:b/>
      <w:sz w:val="23"/>
      <w:szCs w:val="23"/>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1"/>
      </w:numPr>
      <w:contextualSpacing/>
    </w:pPr>
    <w:rPr>
      <w:rFonts w:eastAsia="Calibri"/>
      <w:color w:val="000000"/>
      <w:szCs w:val="22"/>
    </w:rPr>
  </w:style>
  <w:style w:type="table" w:customStyle="1" w:styleId="AIRTable1">
    <w:name w:val="AIR Table1"/>
    <w:basedOn w:val="TableNormal"/>
    <w:uiPriority w:val="99"/>
    <w:qFormat/>
    <w:rPr>
      <w:rFonts w:ascii="Arial" w:eastAsia="Times New Roman" w:hAnsi="Arial"/>
      <w:color w:val="000000" w:themeColor="text1"/>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pPr>
      <w:numPr>
        <w:numId w:val="6"/>
      </w:numPr>
    </w:pPr>
  </w:style>
  <w:style w:type="character" w:customStyle="1" w:styleId="apple-converted-space">
    <w:name w:val="apple-converted-space"/>
    <w:basedOn w:val="DefaultParagraphFont"/>
  </w:style>
  <w:style w:type="paragraph" w:customStyle="1" w:styleId="Numberedlist">
    <w:name w:val="Numbered list"/>
    <w:basedOn w:val="ListParagraph"/>
    <w:qFormat/>
    <w:pPr>
      <w:numPr>
        <w:numId w:val="13"/>
      </w:numPr>
      <w:autoSpaceDE w:val="0"/>
      <w:autoSpaceDN w:val="0"/>
      <w:adjustRightInd w:val="0"/>
      <w:spacing w:before="120" w:after="120" w:line="240" w:lineRule="auto"/>
      <w:ind w:left="720"/>
      <w:contextualSpacing w:val="0"/>
    </w:pPr>
    <w:rPr>
      <w:rFonts w:asciiTheme="minorHAnsi" w:hAnsiTheme="minorHAnsi" w:cs="Calibri"/>
      <w:color w:val="000000"/>
      <w:sz w:val="23"/>
      <w:szCs w:val="23"/>
    </w:rPr>
  </w:style>
  <w:style w:type="paragraph" w:styleId="ListNumber">
    <w:name w:val="List Number"/>
    <w:basedOn w:val="Normal"/>
    <w:uiPriority w:val="99"/>
    <w:unhideWhenUsed/>
    <w:pPr>
      <w:contextualSpacing/>
    </w:pPr>
  </w:style>
  <w:style w:type="character" w:customStyle="1" w:styleId="nlmstring-name">
    <w:name w:val="nlm_string-name"/>
    <w:basedOn w:val="DefaultParagraphFont"/>
    <w:rsid w:val="00EF7DF2"/>
  </w:style>
  <w:style w:type="paragraph" w:customStyle="1" w:styleId="REF">
    <w:name w:val="REF"/>
    <w:basedOn w:val="References"/>
    <w:qFormat/>
    <w:rsid w:val="00EF7DF2"/>
  </w:style>
  <w:style w:type="character" w:customStyle="1" w:styleId="nlmyear">
    <w:name w:val="nlm_year"/>
    <w:basedOn w:val="DefaultParagraphFont"/>
    <w:rsid w:val="00EF7DF2"/>
  </w:style>
  <w:style w:type="character" w:customStyle="1" w:styleId="nlmarticle-title">
    <w:name w:val="nlm_article-title"/>
    <w:basedOn w:val="DefaultParagraphFont"/>
    <w:rsid w:val="00EF7DF2"/>
  </w:style>
  <w:style w:type="character" w:customStyle="1" w:styleId="nlmfpage">
    <w:name w:val="nlm_fpage"/>
    <w:basedOn w:val="DefaultParagraphFont"/>
    <w:rsid w:val="00EF7DF2"/>
  </w:style>
  <w:style w:type="character" w:customStyle="1" w:styleId="nlmlpage">
    <w:name w:val="nlm_lpage"/>
    <w:basedOn w:val="DefaultParagraphFont"/>
    <w:rsid w:val="00EF7D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qFormat="1"/>
    <w:lsdException w:name="caption" w:uiPriority="35" w:qFormat="1"/>
    <w:lsdException w:name="footnote reference" w:qFormat="1"/>
    <w:lsdException w:name="page number" w:uiPriority="0"/>
    <w:lsdException w:name="endnote reference" w:uiPriority="0"/>
    <w:lsdException w:name="endnote text" w:uiPriority="0"/>
    <w:lsdException w:name="List" w:uiPriority="0"/>
    <w:lsdException w:name="List Bullet" w:uiPriority="36" w:qFormat="1"/>
    <w:lsdException w:name="Title" w:semiHidden="0" w:uiPriority="0" w:unhideWhenUsed="0" w:qFormat="1"/>
    <w:lsdException w:name="Default Paragraph Font" w:uiPriority="1"/>
    <w:lsdException w:name="Body Text" w:uiPriority="0"/>
    <w:lsdException w:name="Message Header" w:uiPriority="0"/>
    <w:lsdException w:name="Subtitle" w:semiHidden="0" w:uiPriority="11" w:unhideWhenUsed="0" w:qFormat="1"/>
    <w:lsdException w:name="Body Text Indent 3" w:uiPriority="0"/>
    <w:lsdException w:name="Block Text" w:uiPriority="0"/>
    <w:lsdException w:name="Strong" w:semiHidden="0" w:uiPriority="0" w:unhideWhenUsed="0" w:qFormat="1"/>
    <w:lsdException w:name="Emphasis" w:semiHidden="0" w:uiPriority="20" w:unhideWhenUsed="0" w:qFormat="1"/>
    <w:lsdException w:name="Document Map" w:uiPriority="0"/>
    <w:lsdException w:name="HTML Preformatted" w:uiPriority="0"/>
    <w:lsdException w:name="HTML Typewriter"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next w:val="Normal"/>
    <w:link w:val="Heading1Char"/>
    <w:qFormat/>
    <w:pPr>
      <w:keepNext/>
      <w:keepLines/>
      <w:spacing w:after="240"/>
      <w:jc w:val="center"/>
      <w:outlineLvl w:val="0"/>
    </w:pPr>
    <w:rPr>
      <w:rFonts w:ascii="Arial" w:eastAsia="Times New Roman" w:hAnsi="Arial"/>
      <w:b/>
      <w:color w:val="17365D" w:themeColor="text2" w:themeShade="BF"/>
      <w:kern w:val="32"/>
      <w:sz w:val="28"/>
      <w:szCs w:val="32"/>
    </w:rPr>
  </w:style>
  <w:style w:type="paragraph" w:styleId="Heading2">
    <w:name w:val="heading 2"/>
    <w:next w:val="Normal"/>
    <w:link w:val="Heading2Char"/>
    <w:unhideWhenUsed/>
    <w:qFormat/>
    <w:pPr>
      <w:keepNext/>
      <w:keepLines/>
      <w:spacing w:before="240" w:after="240"/>
      <w:outlineLvl w:val="1"/>
    </w:pPr>
    <w:rPr>
      <w:rFonts w:ascii="Arial" w:eastAsia="Times New Roman" w:hAnsi="Arial" w:cs="Arial"/>
      <w:b/>
      <w:bCs/>
      <w:iCs/>
      <w:color w:val="17365D" w:themeColor="text2" w:themeShade="BF"/>
      <w:sz w:val="24"/>
      <w:szCs w:val="28"/>
    </w:rPr>
  </w:style>
  <w:style w:type="paragraph" w:styleId="Heading3">
    <w:name w:val="heading 3"/>
    <w:basedOn w:val="Normal"/>
    <w:next w:val="Normal"/>
    <w:link w:val="Heading3Char"/>
    <w:unhideWhenUsed/>
    <w:qFormat/>
    <w:pPr>
      <w:keepNext/>
      <w:keepLines/>
      <w:spacing w:before="240" w:after="240" w:line="240" w:lineRule="auto"/>
      <w:outlineLvl w:val="2"/>
    </w:pPr>
    <w:rPr>
      <w:rFonts w:asciiTheme="minorHAnsi" w:eastAsia="Times New Roman" w:hAnsiTheme="minorHAnsi"/>
      <w:b/>
      <w:sz w:val="24"/>
      <w:szCs w:val="24"/>
    </w:rPr>
  </w:style>
  <w:style w:type="paragraph" w:styleId="Heading4">
    <w:name w:val="heading 4"/>
    <w:aliases w:val="subhead 3,h4,s3,H4 Sec.Heading"/>
    <w:basedOn w:val="Normal"/>
    <w:next w:val="Normal"/>
    <w:link w:val="Heading4Char"/>
    <w:uiPriority w:val="9"/>
    <w:unhideWhenUsed/>
    <w:qFormat/>
    <w:pPr>
      <w:keepNext/>
      <w:keepLines/>
      <w:spacing w:after="60" w:line="240" w:lineRule="auto"/>
      <w:outlineLvl w:val="3"/>
    </w:pPr>
    <w:rPr>
      <w:rFonts w:asciiTheme="minorHAnsi" w:eastAsia="Times New Roman" w:hAnsiTheme="minorHAnsi"/>
      <w:b/>
      <w:color w:val="1F497D" w:themeColor="text2"/>
      <w:sz w:val="23"/>
      <w:szCs w:val="24"/>
    </w:rPr>
  </w:style>
  <w:style w:type="paragraph" w:styleId="Heading5">
    <w:name w:val="heading 5"/>
    <w:basedOn w:val="BodyText"/>
    <w:next w:val="Normal"/>
    <w:link w:val="Heading5Char"/>
    <w:uiPriority w:val="9"/>
    <w:unhideWhenUsed/>
    <w:qFormat/>
    <w:pPr>
      <w:numPr>
        <w:numId w:val="8"/>
      </w:numPr>
      <w:outlineLvl w:val="4"/>
    </w:pPr>
    <w:rPr>
      <w:b/>
    </w:rPr>
  </w:style>
  <w:style w:type="paragraph" w:styleId="Heading6">
    <w:name w:val="heading 6"/>
    <w:basedOn w:val="Normal"/>
    <w:next w:val="Normal"/>
    <w:link w:val="Heading6Char"/>
    <w:unhideWhenUsed/>
    <w:qFormat/>
    <w:pPr>
      <w:numPr>
        <w:ilvl w:val="5"/>
        <w:numId w:val="9"/>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pPr>
      <w:numPr>
        <w:ilvl w:val="6"/>
        <w:numId w:val="9"/>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pPr>
      <w:numPr>
        <w:ilvl w:val="7"/>
        <w:numId w:val="9"/>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pPr>
      <w:numPr>
        <w:ilvl w:val="8"/>
        <w:numId w:val="9"/>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Pr>
      <w:sz w:val="22"/>
      <w:szCs w:val="22"/>
    </w:rPr>
  </w:style>
  <w:style w:type="paragraph" w:styleId="Footer">
    <w:name w:val="footer"/>
    <w:basedOn w:val="Normal"/>
    <w:link w:val="FooterChar"/>
    <w:uiPriority w:val="99"/>
    <w:unhideWhenUsed/>
    <w:qFormat/>
    <w:pPr>
      <w:tabs>
        <w:tab w:val="center" w:pos="4680"/>
        <w:tab w:val="right" w:pos="9360"/>
      </w:tabs>
      <w:spacing w:after="0" w:line="240" w:lineRule="auto"/>
      <w:jc w:val="right"/>
    </w:pPr>
    <w:rPr>
      <w:rFonts w:asciiTheme="minorHAnsi" w:hAnsiTheme="minorHAnsi"/>
      <w:sz w:val="20"/>
    </w:rPr>
  </w:style>
  <w:style w:type="character" w:customStyle="1" w:styleId="FooterChar">
    <w:name w:val="Footer Char"/>
    <w:basedOn w:val="DefaultParagraphFont"/>
    <w:link w:val="Footer"/>
    <w:uiPriority w:val="99"/>
    <w:rPr>
      <w:rFonts w:asciiTheme="minorHAnsi" w:hAnsiTheme="minorHAnsi"/>
      <w:szCs w:val="22"/>
    </w:rPr>
  </w:style>
  <w:style w:type="paragraph" w:customStyle="1" w:styleId="ExhibitHeading">
    <w:name w:val="Exhibit Heading"/>
    <w:basedOn w:val="Normal"/>
    <w:next w:val="BodyText"/>
    <w:pPr>
      <w:spacing w:after="0" w:line="240" w:lineRule="auto"/>
    </w:pPr>
    <w:rPr>
      <w:rFonts w:ascii="Franklin Gothic Book" w:hAnsi="Franklin Gothic Book"/>
      <w:b/>
      <w:sz w:val="20"/>
      <w:szCs w:val="20"/>
    </w:rPr>
  </w:style>
  <w:style w:type="paragraph" w:customStyle="1" w:styleId="CovAIRAddressFooter">
    <w:name w:val="Cov—AIR Address Footer"/>
    <w:pPr>
      <w:ind w:left="1440"/>
      <w:jc w:val="center"/>
    </w:pPr>
    <w:rPr>
      <w:rFonts w:ascii="Times New Roman" w:eastAsia="Times New Roman" w:hAnsi="Times New Roman"/>
      <w:smallCaps/>
      <w:color w:val="008080"/>
      <w:sz w:val="28"/>
      <w:szCs w:val="24"/>
    </w:rPr>
  </w:style>
  <w:style w:type="character" w:styleId="Hyperlink">
    <w:name w:val="Hyperlink"/>
    <w:basedOn w:val="DefaultParagraphFont"/>
    <w:uiPriority w:val="99"/>
    <w:unhideWhenUsed/>
    <w:rPr>
      <w:color w:val="0000FF" w:themeColor="hyperlink"/>
      <w:u w:val="single"/>
    </w:rPr>
  </w:style>
  <w:style w:type="paragraph" w:styleId="BodyText">
    <w:name w:val="Body Text"/>
    <w:link w:val="BodyTextChar"/>
    <w:pPr>
      <w:spacing w:after="240"/>
    </w:pPr>
    <w:rPr>
      <w:rFonts w:asciiTheme="minorHAnsi" w:eastAsia="Times New Roman" w:hAnsiTheme="minorHAnsi"/>
      <w:sz w:val="23"/>
      <w:szCs w:val="24"/>
    </w:rPr>
  </w:style>
  <w:style w:type="character" w:customStyle="1" w:styleId="BodyTextChar">
    <w:name w:val="Body Text Char"/>
    <w:basedOn w:val="DefaultParagraphFont"/>
    <w:link w:val="BodyText"/>
    <w:rPr>
      <w:rFonts w:asciiTheme="minorHAnsi" w:eastAsia="Times New Roman" w:hAnsiTheme="minorHAnsi"/>
      <w:sz w:val="23"/>
      <w:szCs w:val="24"/>
    </w:rPr>
  </w:style>
  <w:style w:type="character" w:customStyle="1" w:styleId="Heading1Char">
    <w:name w:val="Heading 1 Char"/>
    <w:basedOn w:val="DefaultParagraphFont"/>
    <w:link w:val="Heading1"/>
    <w:rPr>
      <w:rFonts w:ascii="Arial" w:eastAsia="Times New Roman" w:hAnsi="Arial"/>
      <w:b/>
      <w:color w:val="17365D" w:themeColor="text2" w:themeShade="BF"/>
      <w:kern w:val="32"/>
      <w:sz w:val="28"/>
      <w:szCs w:val="32"/>
    </w:rPr>
  </w:style>
  <w:style w:type="character" w:customStyle="1" w:styleId="Heading2Char">
    <w:name w:val="Heading 2 Char"/>
    <w:basedOn w:val="DefaultParagraphFont"/>
    <w:link w:val="Heading2"/>
    <w:rPr>
      <w:rFonts w:ascii="Arial" w:eastAsia="Times New Roman" w:hAnsi="Arial" w:cs="Arial"/>
      <w:b/>
      <w:bCs/>
      <w:iCs/>
      <w:color w:val="17365D" w:themeColor="text2" w:themeShade="BF"/>
      <w:sz w:val="24"/>
      <w:szCs w:val="28"/>
    </w:rPr>
  </w:style>
  <w:style w:type="character" w:customStyle="1" w:styleId="Heading3Char">
    <w:name w:val="Heading 3 Char"/>
    <w:basedOn w:val="DefaultParagraphFont"/>
    <w:link w:val="Heading3"/>
    <w:rPr>
      <w:rFonts w:asciiTheme="minorHAnsi" w:eastAsia="Times New Roman" w:hAnsiTheme="minorHAnsi"/>
      <w:b/>
      <w:sz w:val="24"/>
      <w:szCs w:val="24"/>
    </w:rPr>
  </w:style>
  <w:style w:type="character" w:customStyle="1" w:styleId="Heading4Char">
    <w:name w:val="Heading 4 Char"/>
    <w:aliases w:val="subhead 3 Char,h4 Char,s3 Char,H4 Sec.Heading Char"/>
    <w:basedOn w:val="DefaultParagraphFont"/>
    <w:link w:val="Heading4"/>
    <w:uiPriority w:val="9"/>
    <w:rPr>
      <w:rFonts w:asciiTheme="minorHAnsi" w:eastAsia="Times New Roman" w:hAnsiTheme="minorHAnsi"/>
      <w:b/>
      <w:color w:val="1F497D" w:themeColor="text2"/>
      <w:sz w:val="23"/>
      <w:szCs w:val="24"/>
    </w:rPr>
  </w:style>
  <w:style w:type="character" w:customStyle="1" w:styleId="Heading5Char">
    <w:name w:val="Heading 5 Char"/>
    <w:basedOn w:val="DefaultParagraphFont"/>
    <w:link w:val="Heading5"/>
    <w:uiPriority w:val="9"/>
    <w:rPr>
      <w:rFonts w:asciiTheme="minorHAnsi" w:eastAsia="Times New Roman" w:hAnsiTheme="minorHAnsi"/>
      <w:b/>
      <w:sz w:val="23"/>
      <w:szCs w:val="24"/>
    </w:rPr>
  </w:style>
  <w:style w:type="character" w:customStyle="1" w:styleId="Heading6Char">
    <w:name w:val="Heading 6 Char"/>
    <w:basedOn w:val="DefaultParagraphFont"/>
    <w:link w:val="Heading6"/>
    <w:rPr>
      <w:rFonts w:eastAsia="Times New Roman"/>
      <w:b/>
      <w:bCs/>
      <w:sz w:val="22"/>
      <w:szCs w:val="22"/>
    </w:rPr>
  </w:style>
  <w:style w:type="character" w:customStyle="1" w:styleId="Heading7Char">
    <w:name w:val="Heading 7 Char"/>
    <w:basedOn w:val="DefaultParagraphFont"/>
    <w:link w:val="Heading7"/>
    <w:rPr>
      <w:rFonts w:eastAsia="Times New Roman"/>
      <w:sz w:val="24"/>
      <w:szCs w:val="24"/>
    </w:rPr>
  </w:style>
  <w:style w:type="character" w:customStyle="1" w:styleId="Heading8Char">
    <w:name w:val="Heading 8 Char"/>
    <w:basedOn w:val="DefaultParagraphFont"/>
    <w:link w:val="Heading8"/>
    <w:uiPriority w:val="9"/>
    <w:rPr>
      <w:rFonts w:eastAsia="Times New Roman"/>
      <w:i/>
      <w:iCs/>
      <w:sz w:val="24"/>
      <w:szCs w:val="24"/>
    </w:rPr>
  </w:style>
  <w:style w:type="character" w:customStyle="1" w:styleId="Heading9Char">
    <w:name w:val="Heading 9 Char"/>
    <w:basedOn w:val="DefaultParagraphFont"/>
    <w:link w:val="Heading9"/>
    <w:uiPriority w:val="9"/>
    <w:rPr>
      <w:rFonts w:ascii="Cambria" w:eastAsia="Times New Roman" w:hAnsi="Cambria"/>
      <w:sz w:val="22"/>
      <w:szCs w:val="22"/>
    </w:rPr>
  </w:style>
  <w:style w:type="paragraph" w:customStyle="1" w:styleId="ExhibitText">
    <w:name w:val="Exhibit Text"/>
    <w:pPr>
      <w:widowControl w:val="0"/>
      <w:spacing w:before="20" w:after="20"/>
    </w:pPr>
    <w:rPr>
      <w:rFonts w:ascii="Franklin Gothic Book" w:eastAsia="Times New Roman" w:hAnsi="Franklin Gothic Book"/>
      <w:snapToGrid w:val="0"/>
      <w:color w:val="000000"/>
    </w:rPr>
  </w:style>
  <w:style w:type="paragraph" w:customStyle="1" w:styleId="ExhibitTextCentered">
    <w:name w:val="Exhibit Text Centered"/>
    <w:basedOn w:val="ExhibitText"/>
    <w:qFormat/>
    <w:pPr>
      <w:jc w:val="center"/>
    </w:pPr>
  </w:style>
  <w:style w:type="paragraph" w:styleId="BalloonText">
    <w:name w:val="Balloon Text"/>
    <w:basedOn w:val="Normal"/>
    <w:link w:val="BalloonTextChar"/>
    <w:uiPriority w:val="99"/>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basedOn w:val="CommentTextChar"/>
    <w:link w:val="CommentSubject"/>
    <w:uiPriority w:val="99"/>
    <w:rPr>
      <w:b/>
      <w:bC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Pr>
      <w:vertAlign w:val="superscript"/>
    </w:rPr>
  </w:style>
  <w:style w:type="paragraph" w:styleId="FootnoteText">
    <w:name w:val="footnote text"/>
    <w:aliases w:val="F1,Footnote Text Char1,Footnote Text Char Char,fn,ft,figure or table,Footnote Text r,Footnote Text Char Char1,Footnote Text Char Char Char Char"/>
    <w:link w:val="FootnoteTextChar"/>
    <w:uiPriority w:val="99"/>
    <w:qFormat/>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 Char1 Char,Footnote Text Char Char Char Char Char"/>
    <w:basedOn w:val="DefaultParagraphFont"/>
    <w:link w:val="FootnoteText"/>
    <w:uiPriority w:val="99"/>
    <w:rPr>
      <w:rFonts w:asciiTheme="minorHAnsi" w:eastAsia="Times New Roman" w:hAnsiTheme="minorHAnsi"/>
      <w:noProof/>
    </w:rPr>
  </w:style>
  <w:style w:type="paragraph" w:customStyle="1" w:styleId="text">
    <w:name w:val="text"/>
    <w:basedOn w:val="Normal"/>
    <w:pPr>
      <w:spacing w:before="120" w:after="120" w:line="360" w:lineRule="auto"/>
    </w:pPr>
    <w:rPr>
      <w:rFonts w:ascii="Arial" w:eastAsia="Times New Roman" w:hAnsi="Arial"/>
      <w:szCs w:val="20"/>
    </w:rPr>
  </w:style>
  <w:style w:type="paragraph" w:customStyle="1" w:styleId="BodyTextReferences">
    <w:name w:val="Body Text References"/>
    <w:basedOn w:val="BodyText"/>
    <w:qFormat/>
    <w:pPr>
      <w:ind w:left="720" w:hanging="720"/>
    </w:pPr>
  </w:style>
  <w:style w:type="paragraph" w:styleId="TOC1">
    <w:name w:val="toc 1"/>
    <w:next w:val="Normal"/>
    <w:autoRedefine/>
    <w:uiPriority w:val="39"/>
    <w:unhideWhenUsed/>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pPr>
      <w:tabs>
        <w:tab w:val="right" w:leader="dot" w:pos="9346"/>
      </w:tabs>
      <w:ind w:left="540" w:hanging="324"/>
    </w:pPr>
    <w:rPr>
      <w:rFonts w:asciiTheme="minorHAnsi" w:hAnsiTheme="minorHAnsi"/>
      <w:sz w:val="24"/>
      <w:szCs w:val="22"/>
    </w:rPr>
  </w:style>
  <w:style w:type="paragraph" w:styleId="TOC3">
    <w:name w:val="toc 3"/>
    <w:next w:val="Normal"/>
    <w:autoRedefine/>
    <w:uiPriority w:val="39"/>
    <w:unhideWhenUsed/>
    <w:pPr>
      <w:tabs>
        <w:tab w:val="right" w:leader="dot" w:pos="9350"/>
      </w:tabs>
      <w:ind w:left="446"/>
    </w:pPr>
    <w:rPr>
      <w:rFonts w:asciiTheme="minorHAnsi" w:hAnsiTheme="minorHAnsi"/>
      <w:sz w:val="24"/>
      <w:szCs w:val="22"/>
    </w:rPr>
  </w:style>
  <w:style w:type="paragraph" w:styleId="TableofFigures">
    <w:name w:val="table of figures"/>
    <w:next w:val="Normal"/>
    <w:uiPriority w:val="99"/>
    <w:unhideWhenUsed/>
    <w:pPr>
      <w:spacing w:before="240"/>
      <w:ind w:left="720" w:hanging="720"/>
    </w:pPr>
    <w:rPr>
      <w:rFonts w:asciiTheme="minorHAnsi" w:hAnsiTheme="minorHAnsi"/>
      <w:b/>
      <w:sz w:val="24"/>
      <w:szCs w:val="22"/>
    </w:rPr>
  </w:style>
  <w:style w:type="paragraph" w:customStyle="1" w:styleId="Footnote">
    <w:name w:val="Footnote"/>
    <w:rPr>
      <w:rFonts w:eastAsia="Times New Roman"/>
      <w:szCs w:val="24"/>
    </w:rPr>
  </w:style>
  <w:style w:type="paragraph" w:customStyle="1" w:styleId="ExhibitTitle">
    <w:name w:val="Exhibit Title"/>
    <w:next w:val="Normal"/>
    <w:link w:val="ExhibitTitleChar"/>
    <w:qFormat/>
    <w:pPr>
      <w:keepNext/>
      <w:spacing w:before="240" w:after="120"/>
    </w:pPr>
    <w:rPr>
      <w:rFonts w:asciiTheme="minorHAnsi" w:eastAsia="Times New Roman" w:hAnsiTheme="minorHAnsi" w:cs="Arial"/>
      <w:b/>
      <w:sz w:val="23"/>
      <w:szCs w:val="23"/>
    </w:rPr>
  </w:style>
  <w:style w:type="paragraph" w:customStyle="1" w:styleId="ExhibitReads">
    <w:name w:val="Exhibit Reads"/>
    <w:pPr>
      <w:shd w:val="clear" w:color="auto" w:fill="FFFFFF"/>
      <w:spacing w:before="40" w:after="80"/>
      <w:ind w:right="43"/>
    </w:pPr>
    <w:rPr>
      <w:rFonts w:eastAsia="Times New Roman"/>
      <w:bCs/>
      <w:szCs w:val="23"/>
    </w:rPr>
  </w:style>
  <w:style w:type="character" w:styleId="Strong">
    <w:name w:val="Strong"/>
    <w:basedOn w:val="DefaultParagraphFont"/>
    <w:qFormat/>
    <w:rPr>
      <w:b/>
      <w:bCs/>
    </w:rPr>
  </w:style>
  <w:style w:type="character" w:styleId="Emphasis">
    <w:name w:val="Emphasis"/>
    <w:basedOn w:val="DefaultParagraphFont"/>
    <w:uiPriority w:val="20"/>
    <w:qFormat/>
    <w:rPr>
      <w:i/>
      <w:iCs/>
    </w:rPr>
  </w:style>
  <w:style w:type="paragraph" w:customStyle="1" w:styleId="ExhibitNotes">
    <w:name w:val="Exhibit Notes"/>
    <w:pPr>
      <w:tabs>
        <w:tab w:val="left" w:pos="576"/>
      </w:tabs>
      <w:spacing w:after="80"/>
      <w:ind w:left="619" w:right="43" w:hanging="576"/>
    </w:pPr>
    <w:rPr>
      <w:rFonts w:eastAsia="Times New Roman"/>
      <w:bCs/>
      <w:sz w:val="18"/>
      <w:szCs w:val="23"/>
    </w:rPr>
  </w:style>
  <w:style w:type="character" w:styleId="PageNumber">
    <w:name w:val="page number"/>
    <w:basedOn w:val="DefaultParagraphFont"/>
  </w:style>
  <w:style w:type="paragraph" w:customStyle="1" w:styleId="ExhibitSource">
    <w:name w:val="Exhibit Source"/>
    <w:pPr>
      <w:spacing w:after="80"/>
      <w:ind w:left="43" w:right="43"/>
    </w:pPr>
    <w:rPr>
      <w:rFonts w:eastAsia="Times New Roman"/>
      <w:bCs/>
      <w:sz w:val="18"/>
      <w:szCs w:val="18"/>
    </w:rPr>
  </w:style>
  <w:style w:type="paragraph" w:customStyle="1" w:styleId="ExhibitTitleNOTOC">
    <w:name w:val="Exhibit Title NO TOC"/>
    <w:basedOn w:val="ExhibitTitle"/>
  </w:style>
  <w:style w:type="character" w:styleId="FollowedHyperlink">
    <w:name w:val="FollowedHyperlink"/>
    <w:basedOn w:val="DefaultParagraphFont"/>
    <w:uiPriority w:val="99"/>
    <w:rPr>
      <w:color w:val="800080"/>
      <w:u w:val="single"/>
    </w:rPr>
  </w:style>
  <w:style w:type="paragraph" w:customStyle="1" w:styleId="Heading1NOTOC">
    <w:name w:val="Heading 1 NO TOC"/>
    <w:basedOn w:val="Normal"/>
    <w:next w:val="TOC1"/>
    <w:pPr>
      <w:keepNext/>
      <w:keepLines/>
      <w:spacing w:after="320" w:line="240" w:lineRule="auto"/>
      <w:jc w:val="center"/>
    </w:pPr>
    <w:rPr>
      <w:rFonts w:ascii="Franklin Gothic Heavy" w:eastAsia="Times New Roman" w:hAnsi="Franklin Gothic Heavy"/>
      <w:caps/>
      <w:color w:val="000000"/>
      <w:sz w:val="28"/>
      <w:szCs w:val="28"/>
    </w:rPr>
  </w:style>
  <w:style w:type="paragraph" w:customStyle="1" w:styleId="FlysheetText">
    <w:name w:val="Flysheet Text"/>
    <w:pPr>
      <w:spacing w:before="5000"/>
      <w:jc w:val="right"/>
    </w:pPr>
    <w:rPr>
      <w:rFonts w:ascii="Franklin Gothic Heavy" w:eastAsia="Times New Roman" w:hAnsi="Franklin Gothic Heavy"/>
      <w:bCs/>
      <w:smallCaps/>
      <w:color w:val="0072BC"/>
      <w:sz w:val="48"/>
    </w:rPr>
  </w:style>
  <w:style w:type="paragraph" w:styleId="Revision">
    <w:name w:val="Revision"/>
    <w:hidden/>
    <w:rPr>
      <w:rFonts w:ascii="Times New Roman" w:eastAsia="Times New Roman" w:hAnsi="Times New Roman"/>
      <w:sz w:val="24"/>
      <w:szCs w:val="24"/>
    </w:rPr>
  </w:style>
  <w:style w:type="paragraph" w:customStyle="1" w:styleId="Heading3a">
    <w:name w:val="Heading 3a"/>
    <w:basedOn w:val="Heading3"/>
    <w:qFormat/>
    <w:pPr>
      <w:spacing w:after="120"/>
      <w:outlineLvl w:val="9"/>
    </w:pPr>
    <w:rPr>
      <w:i/>
    </w:rPr>
  </w:style>
  <w:style w:type="paragraph" w:styleId="BodyText3">
    <w:name w:val="Body Text 3"/>
    <w:basedOn w:val="Normal"/>
    <w:link w:val="BodyText3Char"/>
    <w:uiPriority w:val="99"/>
    <w:semiHidden/>
    <w:pPr>
      <w:spacing w:after="0" w:line="240" w:lineRule="auto"/>
    </w:pPr>
    <w:rPr>
      <w:rFonts w:ascii="Times New Roman" w:eastAsia="Times New Roman" w:hAnsi="Times New Roman"/>
      <w:i/>
      <w:szCs w:val="20"/>
    </w:rPr>
  </w:style>
  <w:style w:type="character" w:customStyle="1" w:styleId="BodyText3Char">
    <w:name w:val="Body Text 3 Char"/>
    <w:basedOn w:val="DefaultParagraphFont"/>
    <w:link w:val="BodyText3"/>
    <w:uiPriority w:val="99"/>
    <w:semiHidden/>
    <w:rPr>
      <w:rFonts w:ascii="Times New Roman" w:eastAsia="Times New Roman" w:hAnsi="Times New Roman"/>
      <w:i/>
      <w:sz w:val="22"/>
    </w:rPr>
  </w:style>
  <w:style w:type="paragraph" w:styleId="BodyTextIndent2">
    <w:name w:val="Body Text Indent 2"/>
    <w:basedOn w:val="Normal"/>
    <w:link w:val="BodyTextIndent2Char"/>
    <w:uiPriority w:val="99"/>
    <w:semiHidden/>
    <w:pPr>
      <w:spacing w:after="0" w:line="240" w:lineRule="auto"/>
      <w:ind w:left="270" w:hanging="270"/>
    </w:pPr>
    <w:rPr>
      <w:rFonts w:ascii="Arial" w:eastAsia="Times New Roman" w:hAnsi="Arial" w:cs="Arial"/>
      <w:sz w:val="20"/>
      <w:szCs w:val="20"/>
    </w:rPr>
  </w:style>
  <w:style w:type="character" w:customStyle="1" w:styleId="BodyTextIndent2Char">
    <w:name w:val="Body Text Indent 2 Char"/>
    <w:basedOn w:val="DefaultParagraphFont"/>
    <w:link w:val="BodyTextIndent2"/>
    <w:uiPriority w:val="99"/>
    <w:semiHidden/>
    <w:rPr>
      <w:rFonts w:ascii="Arial" w:eastAsia="Times New Roman" w:hAnsi="Arial" w:cs="Arial"/>
    </w:rPr>
  </w:style>
  <w:style w:type="paragraph" w:customStyle="1" w:styleId="ExhibitTextSmall">
    <w:name w:val="Exhibit Text Small"/>
    <w:basedOn w:val="Normal"/>
    <w:link w:val="ExhibitTextSmallChar"/>
    <w:qFormat/>
    <w:pPr>
      <w:spacing w:after="0" w:line="240" w:lineRule="auto"/>
    </w:pPr>
    <w:rPr>
      <w:sz w:val="20"/>
      <w:szCs w:val="20"/>
    </w:rPr>
  </w:style>
  <w:style w:type="character" w:customStyle="1" w:styleId="ExhibitTextSmallChar">
    <w:name w:val="Exhibit Text Small Char"/>
    <w:basedOn w:val="DefaultParagraphFont"/>
    <w:link w:val="ExhibitTextSmall"/>
  </w:style>
  <w:style w:type="paragraph" w:styleId="ListParagraph">
    <w:name w:val="List Paragraph"/>
    <w:basedOn w:val="Normal"/>
    <w:link w:val="ListParagraphChar"/>
    <w:uiPriority w:val="34"/>
    <w:qFormat/>
    <w:pPr>
      <w:ind w:left="720"/>
      <w:contextualSpacing/>
    </w:pPr>
  </w:style>
  <w:style w:type="table" w:styleId="LightShading">
    <w:name w:val="Light Shading"/>
    <w:basedOn w:val="TableNormal"/>
    <w:uiPriority w:val="60"/>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pPr>
      <w:spacing w:after="0" w:line="240" w:lineRule="auto"/>
    </w:pPr>
    <w:rPr>
      <w:rFonts w:ascii="Century Gothic" w:hAnsi="Century Gothic"/>
      <w:b/>
      <w:color w:val="000000"/>
      <w:sz w:val="40"/>
      <w:szCs w:val="40"/>
    </w:rPr>
  </w:style>
  <w:style w:type="character" w:customStyle="1" w:styleId="TitlePageH1Char">
    <w:name w:val="Title Page H1 Char"/>
    <w:link w:val="TitlePageH1"/>
    <w:rPr>
      <w:rFonts w:ascii="Century Gothic" w:hAnsi="Century Gothic"/>
      <w:b/>
      <w:color w:val="000000"/>
      <w:sz w:val="40"/>
      <w:szCs w:val="40"/>
    </w:rPr>
  </w:style>
  <w:style w:type="paragraph" w:customStyle="1" w:styleId="TitlePageH2">
    <w:name w:val="Title Page H2"/>
    <w:basedOn w:val="Normal"/>
    <w:link w:val="TitlePageH2Char"/>
    <w:qFormat/>
    <w:pPr>
      <w:spacing w:after="0" w:line="240" w:lineRule="auto"/>
    </w:pPr>
    <w:rPr>
      <w:rFonts w:ascii="Century Gothic" w:hAnsi="Century Gothic"/>
      <w:color w:val="000000"/>
      <w:sz w:val="32"/>
      <w:szCs w:val="32"/>
    </w:rPr>
  </w:style>
  <w:style w:type="character" w:customStyle="1" w:styleId="TitlePageH2Char">
    <w:name w:val="Title Page H2 Char"/>
    <w:link w:val="TitlePageH2"/>
    <w:rPr>
      <w:rFonts w:ascii="Century Gothic" w:hAnsi="Century Gothic"/>
      <w:color w:val="000000"/>
      <w:sz w:val="32"/>
      <w:szCs w:val="32"/>
    </w:rPr>
  </w:style>
  <w:style w:type="paragraph" w:customStyle="1" w:styleId="Normalbullet">
    <w:name w:val="Normal bullet"/>
    <w:basedOn w:val="Normal"/>
    <w:pPr>
      <w:numPr>
        <w:numId w:val="12"/>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pPr>
      <w:numPr>
        <w:ilvl w:val="1"/>
      </w:numPr>
    </w:pPr>
  </w:style>
  <w:style w:type="paragraph" w:customStyle="1" w:styleId="H1">
    <w:name w:val="H1"/>
    <w:basedOn w:val="Normal"/>
    <w:qFormat/>
    <w:pPr>
      <w:spacing w:after="0" w:line="240" w:lineRule="auto"/>
      <w:jc w:val="right"/>
    </w:pPr>
    <w:rPr>
      <w:rFonts w:ascii="Century Gothic" w:hAnsi="Century Gothic"/>
      <w:b/>
      <w:color w:val="000000"/>
      <w:sz w:val="36"/>
      <w:szCs w:val="36"/>
    </w:rPr>
  </w:style>
  <w:style w:type="paragraph" w:customStyle="1" w:styleId="H2">
    <w:name w:val="H2"/>
    <w:basedOn w:val="Normal"/>
    <w:link w:val="H2Char"/>
    <w:qFormat/>
    <w:pPr>
      <w:pBdr>
        <w:top w:val="single" w:sz="18" w:space="1" w:color="980C0C"/>
        <w:bottom w:val="single" w:sz="6" w:space="1" w:color="980C0C"/>
      </w:pBdr>
      <w:spacing w:before="200" w:line="240" w:lineRule="auto"/>
    </w:pPr>
    <w:rPr>
      <w:rFonts w:ascii="Century Gothic" w:hAnsi="Century Gothic"/>
      <w:b/>
      <w:sz w:val="28"/>
      <w:szCs w:val="28"/>
    </w:rPr>
  </w:style>
  <w:style w:type="character" w:customStyle="1" w:styleId="H2Char">
    <w:name w:val="H2 Char"/>
    <w:link w:val="H2"/>
    <w:rPr>
      <w:rFonts w:ascii="Century Gothic" w:hAnsi="Century Gothic"/>
      <w:b/>
      <w:sz w:val="28"/>
      <w:szCs w:val="28"/>
    </w:rPr>
  </w:style>
  <w:style w:type="character" w:customStyle="1" w:styleId="ListParagraphChar">
    <w:name w:val="List Paragraph Char"/>
    <w:link w:val="ListParagraph"/>
    <w:uiPriority w:val="99"/>
    <w:rPr>
      <w:sz w:val="22"/>
      <w:szCs w:val="22"/>
    </w:rPr>
  </w:style>
  <w:style w:type="paragraph" w:customStyle="1" w:styleId="TOCItemnumbered">
    <w:name w:val="TOC Item (numbered)"/>
    <w:basedOn w:val="ListParagraph"/>
    <w:link w:val="TOCItemnumberedChar"/>
    <w:pPr>
      <w:numPr>
        <w:numId w:val="14"/>
      </w:numPr>
      <w:pBdr>
        <w:bottom w:val="single" w:sz="6" w:space="1" w:color="980C0C"/>
      </w:pBdr>
      <w:tabs>
        <w:tab w:val="right" w:pos="9360"/>
      </w:tabs>
      <w:spacing w:before="120" w:after="120" w:line="240" w:lineRule="auto"/>
      <w:contextualSpacing w:val="0"/>
    </w:pPr>
    <w:rPr>
      <w:rFonts w:ascii="Arial" w:hAnsi="Arial"/>
      <w:b/>
      <w:sz w:val="20"/>
      <w:szCs w:val="20"/>
    </w:rPr>
  </w:style>
  <w:style w:type="character" w:customStyle="1" w:styleId="TOCItemnumberedChar">
    <w:name w:val="TOC Item (numbered) Char"/>
    <w:link w:val="TOCItemnumbered"/>
    <w:rPr>
      <w:rFonts w:ascii="Arial" w:hAnsi="Arial"/>
      <w:b/>
    </w:rPr>
  </w:style>
  <w:style w:type="paragraph" w:customStyle="1" w:styleId="TOCItem">
    <w:name w:val="TOC Item"/>
    <w:basedOn w:val="TOCItemnumbered"/>
    <w:link w:val="TOCItemChar1"/>
    <w:qFormat/>
    <w:pPr>
      <w:numPr>
        <w:numId w:val="0"/>
      </w:numPr>
    </w:pPr>
  </w:style>
  <w:style w:type="character" w:customStyle="1" w:styleId="TOCItemChar1">
    <w:name w:val="TOC Item Char1"/>
    <w:link w:val="TOCItem"/>
    <w:rPr>
      <w:rFonts w:ascii="Arial" w:hAnsi="Arial"/>
      <w:b/>
    </w:rPr>
  </w:style>
  <w:style w:type="character" w:customStyle="1" w:styleId="TOCItemChar">
    <w:name w:val="TOC Item Char"/>
    <w:rPr>
      <w:rFonts w:ascii="Times New Roman" w:hAnsi="Times New Roman"/>
      <w:sz w:val="20"/>
    </w:rPr>
  </w:style>
  <w:style w:type="paragraph" w:customStyle="1" w:styleId="SubBullet">
    <w:name w:val="SubBullet"/>
    <w:basedOn w:val="Normal"/>
    <w:link w:val="SubBulletChar"/>
    <w:qFormat/>
    <w:pPr>
      <w:spacing w:before="60" w:after="60" w:line="240" w:lineRule="auto"/>
      <w:ind w:left="1440" w:hanging="360"/>
    </w:pPr>
    <w:rPr>
      <w:rFonts w:ascii="Times New Roman" w:hAnsi="Times New Roman"/>
      <w:sz w:val="20"/>
      <w:szCs w:val="20"/>
    </w:rPr>
  </w:style>
  <w:style w:type="character" w:customStyle="1" w:styleId="SubBulletChar">
    <w:name w:val="SubBullet Char"/>
    <w:link w:val="SubBullet"/>
    <w:rPr>
      <w:rFonts w:ascii="Times New Roman" w:hAnsi="Times New Roman"/>
    </w:rPr>
  </w:style>
  <w:style w:type="paragraph" w:customStyle="1" w:styleId="H3">
    <w:name w:val="H3"/>
    <w:basedOn w:val="Normal"/>
    <w:link w:val="H3Char"/>
    <w:qFormat/>
    <w:pPr>
      <w:spacing w:after="0" w:line="240" w:lineRule="auto"/>
    </w:pPr>
    <w:rPr>
      <w:rFonts w:ascii="Century Gothic" w:hAnsi="Century Gothic"/>
      <w:b/>
      <w:sz w:val="20"/>
      <w:szCs w:val="20"/>
    </w:rPr>
  </w:style>
  <w:style w:type="character" w:customStyle="1" w:styleId="H3Char">
    <w:name w:val="H3 Char"/>
    <w:link w:val="H3"/>
    <w:rPr>
      <w:rFonts w:ascii="Century Gothic" w:hAnsi="Century Gothic"/>
      <w:b/>
    </w:rPr>
  </w:style>
  <w:style w:type="paragraph" w:customStyle="1" w:styleId="Categories">
    <w:name w:val="Categories"/>
    <w:basedOn w:val="Normal"/>
    <w:link w:val="CategoriesChar"/>
    <w:qFormat/>
    <w:pPr>
      <w:spacing w:after="0" w:line="240" w:lineRule="auto"/>
    </w:pPr>
    <w:rPr>
      <w:rFonts w:ascii="Arial" w:eastAsia="Times New Roman" w:hAnsi="Arial"/>
      <w:sz w:val="20"/>
      <w:szCs w:val="20"/>
    </w:rPr>
  </w:style>
  <w:style w:type="character" w:customStyle="1" w:styleId="CategoriesChar">
    <w:name w:val="Categories Char"/>
    <w:link w:val="Categories"/>
    <w:rPr>
      <w:rFonts w:ascii="Arial" w:eastAsia="Times New Roman" w:hAnsi="Arial"/>
    </w:rPr>
  </w:style>
  <w:style w:type="paragraph" w:customStyle="1" w:styleId="OrderedList">
    <w:name w:val="Ordered List"/>
    <w:basedOn w:val="TOCItemnumbered"/>
    <w:link w:val="OrderedListChar"/>
    <w:qFormat/>
    <w:pPr>
      <w:pBdr>
        <w:bottom w:val="none" w:sz="0" w:space="0" w:color="auto"/>
      </w:pBdr>
      <w:spacing w:before="60" w:after="60"/>
    </w:pPr>
    <w:rPr>
      <w:rFonts w:ascii="Times New Roman" w:hAnsi="Times New Roman"/>
      <w:b w:val="0"/>
    </w:rPr>
  </w:style>
  <w:style w:type="character" w:customStyle="1" w:styleId="OrderedListChar">
    <w:name w:val="Ordered List Char"/>
    <w:link w:val="OrderedList"/>
    <w:rPr>
      <w:rFonts w:ascii="Times New Roman" w:hAnsi="Times New Roman"/>
    </w:rPr>
  </w:style>
  <w:style w:type="paragraph" w:customStyle="1" w:styleId="SubOrderedList">
    <w:name w:val="SubOrdered List"/>
    <w:basedOn w:val="OrderedList"/>
    <w:link w:val="SubOrderedListChar"/>
    <w:qFormat/>
    <w:pPr>
      <w:numPr>
        <w:numId w:val="0"/>
      </w:numPr>
      <w:ind w:left="1440" w:hanging="360"/>
    </w:pPr>
  </w:style>
  <w:style w:type="character" w:customStyle="1" w:styleId="SubOrderedListChar">
    <w:name w:val="SubOrdered List Char"/>
    <w:link w:val="SubOrderedList"/>
    <w:rPr>
      <w:rFonts w:ascii="Times New Roman" w:hAnsi="Times New Roman"/>
    </w:rPr>
  </w:style>
  <w:style w:type="paragraph" w:customStyle="1" w:styleId="Proposaltext">
    <w:name w:val="Proposal text"/>
    <w:pPr>
      <w:jc w:val="right"/>
    </w:pPr>
    <w:rPr>
      <w:rFonts w:ascii="Impact" w:eastAsia="Times New Roman" w:hAnsi="Impact" w:cs="Arial"/>
      <w:color w:val="008000"/>
      <w:sz w:val="40"/>
    </w:rPr>
  </w:style>
  <w:style w:type="paragraph" w:styleId="ListBullet">
    <w:name w:val="List Bullet"/>
    <w:basedOn w:val="Normal"/>
    <w:uiPriority w:val="36"/>
    <w:qFormat/>
    <w:pPr>
      <w:numPr>
        <w:numId w:val="10"/>
      </w:numPr>
      <w:tabs>
        <w:tab w:val="left" w:pos="288"/>
      </w:tabs>
      <w:spacing w:before="60" w:after="60" w:line="240" w:lineRule="auto"/>
    </w:pPr>
    <w:rPr>
      <w:rFonts w:ascii="CG Omega" w:eastAsia="Times New Roman" w:hAnsi="CG Omega"/>
      <w:snapToGrid w:val="0"/>
      <w:sz w:val="24"/>
      <w:szCs w:val="20"/>
    </w:rPr>
  </w:style>
  <w:style w:type="paragraph" w:customStyle="1" w:styleId="H2withouttopline">
    <w:name w:val="H2 without top line"/>
    <w:basedOn w:val="H2"/>
    <w:qFormat/>
    <w:pPr>
      <w:pBdr>
        <w:top w:val="none" w:sz="0" w:space="0" w:color="auto"/>
      </w:pBdr>
      <w:spacing w:before="160"/>
    </w:pPr>
    <w:rPr>
      <w:sz w:val="24"/>
      <w:szCs w:val="24"/>
    </w:rPr>
  </w:style>
  <w:style w:type="paragraph" w:customStyle="1" w:styleId="ParagraphBAH">
    <w:name w:val="Paragraph BAH"/>
    <w:basedOn w:val="Normal"/>
    <w:pPr>
      <w:spacing w:after="0" w:line="480" w:lineRule="auto"/>
      <w:ind w:firstLine="360"/>
    </w:pPr>
    <w:rPr>
      <w:rFonts w:ascii="Times New Roman" w:hAnsi="Times New Roman"/>
      <w:sz w:val="20"/>
      <w:szCs w:val="20"/>
    </w:rPr>
  </w:style>
  <w:style w:type="paragraph" w:styleId="BodyText2">
    <w:name w:val="Body Text 2"/>
    <w:basedOn w:val="Normal"/>
    <w:link w:val="BodyText2Char"/>
    <w:uiPriority w:val="99"/>
    <w:semiHidden/>
    <w:unhideWhenUsed/>
    <w:pPr>
      <w:spacing w:after="120" w:line="480" w:lineRule="auto"/>
    </w:pPr>
    <w:rPr>
      <w:rFonts w:ascii="Times New Roman" w:hAnsi="Times New Roman"/>
      <w:sz w:val="20"/>
      <w:szCs w:val="20"/>
    </w:rPr>
  </w:style>
  <w:style w:type="character" w:customStyle="1" w:styleId="BodyText2Char">
    <w:name w:val="Body Text 2 Char"/>
    <w:basedOn w:val="DefaultParagraphFont"/>
    <w:link w:val="BodyText2"/>
    <w:uiPriority w:val="99"/>
    <w:semiHidden/>
    <w:rPr>
      <w:rFonts w:ascii="Times New Roman" w:hAnsi="Times New Roman"/>
    </w:rPr>
  </w:style>
  <w:style w:type="paragraph" w:customStyle="1" w:styleId="SecondLevelBullet">
    <w:name w:val="Second Level Bullet"/>
    <w:basedOn w:val="ListBullet"/>
    <w:pPr>
      <w:numPr>
        <w:numId w:val="17"/>
      </w:numPr>
      <w:tabs>
        <w:tab w:val="clear" w:pos="720"/>
        <w:tab w:val="num" w:pos="360"/>
      </w:tabs>
    </w:pPr>
  </w:style>
  <w:style w:type="paragraph" w:customStyle="1" w:styleId="Callout">
    <w:name w:val="Callout"/>
    <w:basedOn w:val="Normal"/>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character" w:customStyle="1" w:styleId="apple-style-span">
    <w:name w:val="apple-style-span"/>
    <w:basedOn w:val="DefaultParagraphFont"/>
  </w:style>
  <w:style w:type="paragraph" w:customStyle="1" w:styleId="FISBody">
    <w:name w:val="+FIS Body"/>
    <w:basedOn w:val="Normal"/>
    <w:link w:val="FISBodyChar"/>
    <w:qFormat/>
    <w:pPr>
      <w:spacing w:before="200" w:after="0" w:line="240" w:lineRule="auto"/>
    </w:pPr>
    <w:rPr>
      <w:rFonts w:ascii="Arial" w:eastAsia="Times New Roman" w:hAnsi="Arial"/>
      <w:sz w:val="20"/>
      <w:szCs w:val="24"/>
    </w:rPr>
  </w:style>
  <w:style w:type="character" w:customStyle="1" w:styleId="FISBodyChar">
    <w:name w:val="+FIS Body Char"/>
    <w:link w:val="FISBody"/>
    <w:locked/>
    <w:rPr>
      <w:rFonts w:ascii="Arial" w:eastAsia="Times New Roman" w:hAnsi="Arial"/>
      <w:szCs w:val="24"/>
    </w:rPr>
  </w:style>
  <w:style w:type="paragraph" w:customStyle="1" w:styleId="Pa3">
    <w:name w:val="Pa3"/>
    <w:basedOn w:val="Normal"/>
    <w:next w:val="Normal"/>
    <w:uiPriority w:val="99"/>
    <w:pPr>
      <w:autoSpaceDE w:val="0"/>
      <w:autoSpaceDN w:val="0"/>
      <w:adjustRightInd w:val="0"/>
      <w:spacing w:after="0" w:line="201" w:lineRule="atLeast"/>
    </w:pPr>
    <w:rPr>
      <w:rFonts w:ascii="Myriad Pro" w:hAnsi="Myriad Pro"/>
      <w:sz w:val="24"/>
      <w:szCs w:val="24"/>
    </w:rPr>
  </w:style>
  <w:style w:type="paragraph" w:customStyle="1" w:styleId="1bullets">
    <w:name w:val="1_bullets"/>
    <w:basedOn w:val="ListParagraph"/>
    <w:qFormat/>
    <w:pPr>
      <w:numPr>
        <w:numId w:val="2"/>
      </w:numPr>
      <w:spacing w:after="0" w:line="240" w:lineRule="auto"/>
    </w:pPr>
    <w:rPr>
      <w:rFonts w:ascii="Times New Roman" w:hAnsi="Times New Roman"/>
      <w:sz w:val="20"/>
      <w:szCs w:val="24"/>
    </w:rPr>
  </w:style>
  <w:style w:type="paragraph" w:customStyle="1" w:styleId="2AllCapsResumeHeading">
    <w:name w:val="2_All Caps Resume Heading"/>
    <w:basedOn w:val="Normal"/>
    <w:link w:val="2AllCapsResumeHeadingChar"/>
    <w:qFormat/>
    <w:pPr>
      <w:widowControl w:val="0"/>
      <w:spacing w:after="0" w:line="240" w:lineRule="auto"/>
      <w:jc w:val="center"/>
    </w:pPr>
    <w:rPr>
      <w:rFonts w:ascii="Arial" w:eastAsia="Times New Roman" w:hAnsi="Arial"/>
      <w:b/>
      <w:caps/>
      <w:sz w:val="24"/>
      <w:szCs w:val="24"/>
    </w:rPr>
  </w:style>
  <w:style w:type="character" w:customStyle="1" w:styleId="2AllCapsResumeHeadingChar">
    <w:name w:val="2_All Caps Resume Heading Char"/>
    <w:link w:val="2AllCapsResumeHeading"/>
    <w:rPr>
      <w:rFonts w:ascii="Arial" w:eastAsia="Times New Roman" w:hAnsi="Arial"/>
      <w:b/>
      <w:caps/>
      <w:sz w:val="24"/>
      <w:szCs w:val="24"/>
    </w:rPr>
  </w:style>
  <w:style w:type="paragraph" w:styleId="NormalWeb">
    <w:name w:val="Normal (Web)"/>
    <w:basedOn w:val="Normal"/>
    <w:link w:val="NormalWebChar"/>
    <w:uiPriority w:val="99"/>
    <w:pPr>
      <w:spacing w:before="100" w:beforeAutospacing="1" w:after="100" w:afterAutospacing="1" w:line="240" w:lineRule="auto"/>
    </w:pPr>
    <w:rPr>
      <w:rFonts w:ascii="Times New Roman" w:eastAsia="SimSun" w:hAnsi="Times New Roman"/>
      <w:sz w:val="24"/>
      <w:szCs w:val="24"/>
      <w:lang w:eastAsia="zh-CN"/>
    </w:rPr>
  </w:style>
  <w:style w:type="paragraph" w:customStyle="1" w:styleId="SkillsList">
    <w:name w:val="Skills List"/>
    <w:basedOn w:val="Normal"/>
    <w:pPr>
      <w:tabs>
        <w:tab w:val="num" w:pos="360"/>
      </w:tabs>
      <w:autoSpaceDE w:val="0"/>
      <w:autoSpaceDN w:val="0"/>
      <w:adjustRightInd w:val="0"/>
      <w:spacing w:before="20" w:after="20" w:line="240" w:lineRule="auto"/>
      <w:ind w:left="360" w:hanging="360"/>
    </w:pPr>
    <w:rPr>
      <w:rFonts w:eastAsia="Times New Roman"/>
      <w:i/>
      <w:sz w:val="19"/>
      <w:szCs w:val="19"/>
    </w:rPr>
  </w:style>
  <w:style w:type="character" w:customStyle="1" w:styleId="ecx123123221-08102010">
    <w:name w:val="ecx123123221-08102010"/>
    <w:basedOn w:val="DefaultParagraphFont"/>
  </w:style>
  <w:style w:type="character" w:styleId="HTMLTypewriter">
    <w:name w:val="HTML Typewriter"/>
    <w:rPr>
      <w:rFonts w:ascii="Courier New" w:hAnsi="Courier New" w:cs="Times New Roman"/>
      <w:sz w:val="20"/>
    </w:rPr>
  </w:style>
  <w:style w:type="character" w:customStyle="1" w:styleId="Normal1">
    <w:name w:val="Normal1"/>
    <w:basedOn w:val="DefaultParagraphFont"/>
  </w:style>
  <w:style w:type="paragraph" w:styleId="BodyTextIndent">
    <w:name w:val="Body Text Indent"/>
    <w:basedOn w:val="Normal"/>
    <w:link w:val="BodyTextIndentChar"/>
    <w:uiPriority w:val="99"/>
    <w:semiHidden/>
    <w:unhideWhenUsed/>
    <w:pPr>
      <w:spacing w:after="120" w:line="240" w:lineRule="auto"/>
      <w:ind w:left="360"/>
    </w:pPr>
    <w:rPr>
      <w:rFonts w:ascii="Times New Roman" w:hAnsi="Times New Roman"/>
      <w:sz w:val="20"/>
      <w:szCs w:val="20"/>
    </w:rPr>
  </w:style>
  <w:style w:type="character" w:customStyle="1" w:styleId="BodyTextIndentChar">
    <w:name w:val="Body Text Indent Char"/>
    <w:basedOn w:val="DefaultParagraphFont"/>
    <w:link w:val="BodyTextIndent"/>
    <w:uiPriority w:val="99"/>
    <w:semiHidden/>
    <w:rPr>
      <w:rFonts w:ascii="Times New Roman" w:hAnsi="Times New Roman"/>
    </w:rPr>
  </w:style>
  <w:style w:type="paragraph" w:styleId="Title">
    <w:name w:val="Title"/>
    <w:basedOn w:val="Normal"/>
    <w:link w:val="TitleChar"/>
    <w:qFormat/>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Pr>
      <w:rFonts w:ascii="Arial" w:eastAsia="Times New Roman" w:hAnsi="Arial"/>
      <w:b/>
      <w:smallCaps/>
      <w:sz w:val="25"/>
      <w:szCs w:val="25"/>
      <w:lang w:val="en-GB"/>
    </w:rPr>
  </w:style>
  <w:style w:type="character" w:customStyle="1" w:styleId="InitialStyle">
    <w:name w:val="InitialStyle"/>
    <w:rPr>
      <w:rFonts w:ascii="Courier New" w:hAnsi="Courier New" w:cs="Courier New"/>
      <w:color w:val="auto"/>
      <w:spacing w:val="0"/>
      <w:sz w:val="24"/>
      <w:szCs w:val="24"/>
    </w:rPr>
  </w:style>
  <w:style w:type="paragraph" w:customStyle="1" w:styleId="ResBullet">
    <w:name w:val="Res Bullet"/>
    <w:basedOn w:val="Normal"/>
    <w:link w:val="ResBulletChar"/>
    <w:qFormat/>
    <w:pPr>
      <w:widowControl w:val="0"/>
      <w:spacing w:after="120"/>
      <w:contextualSpacing/>
      <w:jc w:val="both"/>
    </w:pPr>
    <w:rPr>
      <w:rFonts w:eastAsia="Times New Roman"/>
      <w:spacing w:val="-2"/>
      <w:sz w:val="20"/>
      <w:szCs w:val="20"/>
    </w:rPr>
  </w:style>
  <w:style w:type="character" w:customStyle="1" w:styleId="ResBulletChar">
    <w:name w:val="Res Bullet Char"/>
    <w:link w:val="ResBullet"/>
    <w:rPr>
      <w:rFonts w:eastAsia="Times New Roman"/>
      <w:spacing w:val="-2"/>
    </w:rPr>
  </w:style>
  <w:style w:type="paragraph" w:customStyle="1" w:styleId="ResName">
    <w:name w:val="Res Name"/>
    <w:basedOn w:val="Normal"/>
    <w:link w:val="ResNameChar"/>
    <w:qFormat/>
    <w:pPr>
      <w:spacing w:after="0" w:line="240" w:lineRule="auto"/>
      <w:jc w:val="both"/>
    </w:pPr>
    <w:rPr>
      <w:b/>
      <w:noProof/>
      <w:color w:val="0F243E"/>
      <w:spacing w:val="-2"/>
      <w:sz w:val="32"/>
      <w:szCs w:val="20"/>
    </w:rPr>
  </w:style>
  <w:style w:type="character" w:customStyle="1" w:styleId="ResNameChar">
    <w:name w:val="Res Name Char"/>
    <w:link w:val="ResName"/>
    <w:rPr>
      <w:b/>
      <w:noProof/>
      <w:color w:val="0F243E"/>
      <w:spacing w:val="-2"/>
      <w:sz w:val="32"/>
    </w:rPr>
  </w:style>
  <w:style w:type="paragraph" w:customStyle="1" w:styleId="ResJobTitle">
    <w:name w:val="Res Job Title"/>
    <w:basedOn w:val="BodyText"/>
    <w:link w:val="ResJobTitleChar"/>
    <w:qFormat/>
    <w:pPr>
      <w:spacing w:after="0"/>
    </w:pPr>
    <w:rPr>
      <w:rFonts w:ascii="Calibri" w:hAnsi="Calibri"/>
      <w:b/>
      <w:spacing w:val="-2"/>
      <w:sz w:val="20"/>
      <w:szCs w:val="20"/>
    </w:rPr>
  </w:style>
  <w:style w:type="character" w:customStyle="1" w:styleId="ResJobTitleChar">
    <w:name w:val="Res Job Title Char"/>
    <w:link w:val="ResJobTitle"/>
    <w:rPr>
      <w:rFonts w:eastAsia="Times New Roman"/>
      <w:b/>
      <w:spacing w:val="-2"/>
    </w:rPr>
  </w:style>
  <w:style w:type="paragraph" w:customStyle="1" w:styleId="ResBlue">
    <w:name w:val="Res Blue"/>
    <w:basedOn w:val="BodyText"/>
    <w:link w:val="ResBlueChar"/>
    <w:qFormat/>
    <w:pPr>
      <w:spacing w:after="0"/>
      <w:jc w:val="both"/>
    </w:pPr>
    <w:rPr>
      <w:rFonts w:ascii="Calibri" w:hAnsi="Calibri"/>
      <w:b/>
      <w:color w:val="17365D"/>
      <w:spacing w:val="-2"/>
      <w:sz w:val="24"/>
      <w:szCs w:val="20"/>
    </w:rPr>
  </w:style>
  <w:style w:type="character" w:customStyle="1" w:styleId="ResBlueChar">
    <w:name w:val="Res Blue Char"/>
    <w:link w:val="ResBlue"/>
    <w:rPr>
      <w:rFonts w:eastAsia="Times New Roman"/>
      <w:b/>
      <w:color w:val="17365D"/>
      <w:spacing w:val="-2"/>
      <w:sz w:val="24"/>
    </w:rPr>
  </w:style>
  <w:style w:type="character" w:customStyle="1" w:styleId="ResumeBodyTextChar">
    <w:name w:val="Resume Body Text Char"/>
    <w:link w:val="ResumeBodyText"/>
    <w:locked/>
    <w:rPr>
      <w:rFonts w:ascii="Arial" w:hAnsi="Arial" w:cs="Arial"/>
    </w:rPr>
  </w:style>
  <w:style w:type="paragraph" w:customStyle="1" w:styleId="ResumeBodyText">
    <w:name w:val="Resume Body Text"/>
    <w:basedOn w:val="Normal"/>
    <w:link w:val="ResumeBodyTextChar"/>
    <w:pPr>
      <w:spacing w:after="0" w:line="240" w:lineRule="auto"/>
      <w:jc w:val="both"/>
    </w:pPr>
    <w:rPr>
      <w:rFonts w:ascii="Arial" w:hAnsi="Arial" w:cs="Arial"/>
      <w:sz w:val="20"/>
      <w:szCs w:val="20"/>
    </w:rPr>
  </w:style>
  <w:style w:type="paragraph" w:customStyle="1" w:styleId="level1">
    <w:name w:val="_level1"/>
    <w:basedOn w:val="Normal"/>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spacing w:after="0" w:line="240" w:lineRule="auto"/>
      <w:ind w:left="360" w:hanging="360"/>
    </w:pPr>
    <w:rPr>
      <w:rFonts w:ascii="Times New Roman" w:eastAsia="Times New Roman" w:hAnsi="Times New Roman"/>
      <w:sz w:val="24"/>
      <w:szCs w:val="24"/>
    </w:rPr>
  </w:style>
  <w:style w:type="paragraph" w:customStyle="1" w:styleId="Resumetext">
    <w:name w:val="Resume text"/>
    <w:basedOn w:val="Normal"/>
    <w:next w:val="Normal"/>
    <w:link w:val="ResumetextChar"/>
    <w:pPr>
      <w:spacing w:after="120" w:line="240" w:lineRule="auto"/>
      <w:ind w:left="360"/>
    </w:pPr>
    <w:rPr>
      <w:rFonts w:ascii="Times New Roman" w:eastAsia="Times New Roman" w:hAnsi="Times New Roman"/>
      <w:sz w:val="24"/>
      <w:szCs w:val="20"/>
    </w:rPr>
  </w:style>
  <w:style w:type="paragraph" w:customStyle="1" w:styleId="ResumeTopic">
    <w:name w:val="Resume Topic"/>
    <w:next w:val="Normal"/>
    <w:pPr>
      <w:keepNext/>
      <w:spacing w:before="240" w:after="120"/>
    </w:pPr>
    <w:rPr>
      <w:rFonts w:ascii="Arial" w:eastAsia="Times New Roman" w:hAnsi="Arial"/>
      <w:sz w:val="24"/>
    </w:rPr>
  </w:style>
  <w:style w:type="paragraph" w:customStyle="1" w:styleId="ResumePerson">
    <w:name w:val="ResumePerson"/>
    <w:next w:val="Normal"/>
    <w:pPr>
      <w:spacing w:after="240"/>
      <w:jc w:val="center"/>
    </w:pPr>
    <w:rPr>
      <w:rFonts w:ascii="Arial" w:eastAsia="Times New Roman" w:hAnsi="Arial"/>
      <w:b/>
      <w:color w:val="000000"/>
      <w:sz w:val="32"/>
    </w:rPr>
  </w:style>
  <w:style w:type="paragraph" w:customStyle="1" w:styleId="ResumeFocusAreaTitle">
    <w:name w:val="Resume Focus Area Title"/>
    <w:next w:val="Resumetext"/>
    <w:pPr>
      <w:keepNext/>
      <w:keepLines/>
      <w:autoSpaceDE w:val="0"/>
      <w:autoSpaceDN w:val="0"/>
      <w:adjustRightInd w:val="0"/>
      <w:spacing w:after="120"/>
    </w:pPr>
    <w:rPr>
      <w:rFonts w:ascii="Times New Roman" w:eastAsia="Times New Roman" w:hAnsi="Times New Roman"/>
      <w:i/>
      <w:sz w:val="24"/>
    </w:rPr>
  </w:style>
  <w:style w:type="paragraph" w:customStyle="1" w:styleId="ResumeCareerEducation">
    <w:name w:val="Resume Career &amp; Education"/>
    <w:basedOn w:val="Normal"/>
    <w:pPr>
      <w:spacing w:after="60" w:line="240" w:lineRule="auto"/>
      <w:ind w:left="720" w:hanging="360"/>
    </w:pPr>
    <w:rPr>
      <w:rFonts w:ascii="Times New Roman" w:eastAsia="Times New Roman" w:hAnsi="Times New Roman"/>
      <w:sz w:val="24"/>
      <w:szCs w:val="20"/>
    </w:rPr>
  </w:style>
  <w:style w:type="character" w:customStyle="1" w:styleId="ResumetextChar">
    <w:name w:val="Resume text Char"/>
    <w:link w:val="Resumetext"/>
    <w:rPr>
      <w:rFonts w:ascii="Times New Roman" w:eastAsia="Times New Roman" w:hAnsi="Times New Roman"/>
      <w:sz w:val="24"/>
    </w:rPr>
  </w:style>
  <w:style w:type="paragraph" w:customStyle="1" w:styleId="3resumebodytext">
    <w:name w:val="3_resume body text"/>
    <w:basedOn w:val="Normal"/>
    <w:link w:val="3resumebodytextChar"/>
    <w:qFormat/>
    <w:pPr>
      <w:widowControl w:val="0"/>
      <w:spacing w:after="0" w:line="240" w:lineRule="auto"/>
    </w:pPr>
    <w:rPr>
      <w:rFonts w:ascii="Arial" w:eastAsia="Times New Roman" w:hAnsi="Arial"/>
      <w:sz w:val="24"/>
      <w:szCs w:val="24"/>
    </w:rPr>
  </w:style>
  <w:style w:type="character" w:customStyle="1" w:styleId="3resumebodytextChar">
    <w:name w:val="3_resume body text Char"/>
    <w:link w:val="3resumebodytext"/>
    <w:rPr>
      <w:rFonts w:ascii="Arial" w:eastAsia="Times New Roman" w:hAnsi="Arial"/>
      <w:sz w:val="24"/>
      <w:szCs w:val="24"/>
    </w:rPr>
  </w:style>
  <w:style w:type="paragraph" w:customStyle="1" w:styleId="AreaBullets">
    <w:name w:val="Area Bullets"/>
    <w:basedOn w:val="Normal"/>
    <w:link w:val="AreaBulletsChar"/>
    <w:qFormat/>
    <w:pPr>
      <w:numPr>
        <w:numId w:val="5"/>
      </w:numPr>
      <w:spacing w:after="0" w:line="240" w:lineRule="auto"/>
    </w:pPr>
    <w:rPr>
      <w:rFonts w:ascii="Times New Roman" w:hAnsi="Times New Roman"/>
      <w:sz w:val="20"/>
      <w:szCs w:val="20"/>
    </w:rPr>
  </w:style>
  <w:style w:type="character" w:customStyle="1" w:styleId="AreaBulletsChar">
    <w:name w:val="Area Bullets Char"/>
    <w:link w:val="AreaBullets"/>
    <w:rPr>
      <w:rFonts w:ascii="Times New Roman" w:hAnsi="Times New Roman"/>
    </w:rPr>
  </w:style>
  <w:style w:type="paragraph" w:styleId="Caption">
    <w:name w:val="caption"/>
    <w:aliases w:val="IOP Caption"/>
    <w:basedOn w:val="Normal"/>
    <w:next w:val="Normal"/>
    <w:uiPriority w:val="35"/>
    <w:qFormat/>
    <w:pPr>
      <w:spacing w:after="120" w:line="240" w:lineRule="auto"/>
      <w:jc w:val="center"/>
    </w:pPr>
    <w:rPr>
      <w:rFonts w:ascii="Times New Roman" w:eastAsia="Times New Roman" w:hAnsi="Times New Roman"/>
      <w:b/>
      <w:bCs/>
      <w:sz w:val="20"/>
      <w:szCs w:val="20"/>
    </w:rPr>
  </w:style>
  <w:style w:type="paragraph" w:customStyle="1" w:styleId="Heading1Main">
    <w:name w:val="Heading 1 Main"/>
    <w:basedOn w:val="Heading1"/>
    <w:link w:val="Heading1MainChar"/>
    <w:autoRedefine/>
    <w:pPr>
      <w:keepNext w:val="0"/>
      <w:keepLines w:val="0"/>
      <w:widowControl w:val="0"/>
      <w:pBdr>
        <w:top w:val="single" w:sz="24" w:space="7" w:color="006600"/>
        <w:bottom w:val="single" w:sz="6" w:space="3" w:color="006600"/>
      </w:pBdr>
      <w:tabs>
        <w:tab w:val="right" w:pos="9180"/>
      </w:tabs>
      <w:overflowPunct w:val="0"/>
      <w:autoSpaceDE w:val="0"/>
      <w:autoSpaceDN w:val="0"/>
      <w:adjustRightInd w:val="0"/>
      <w:spacing w:before="240" w:after="120"/>
      <w:ind w:left="360"/>
      <w:jc w:val="right"/>
      <w:outlineLvl w:val="9"/>
    </w:pPr>
    <w:rPr>
      <w:bCs/>
      <w:color w:val="000000"/>
      <w:kern w:val="28"/>
      <w:sz w:val="24"/>
      <w:szCs w:val="24"/>
      <w14:textFill>
        <w14:solidFill>
          <w14:srgbClr w14:val="000000">
            <w14:lumMod w14:val="75000"/>
          </w14:srgbClr>
        </w14:solidFill>
      </w14:textFill>
    </w:rPr>
  </w:style>
  <w:style w:type="character" w:customStyle="1" w:styleId="NormalWebChar">
    <w:name w:val="Normal (Web) Char"/>
    <w:link w:val="NormalWeb"/>
    <w:uiPriority w:val="99"/>
    <w:rPr>
      <w:rFonts w:ascii="Times New Roman" w:eastAsia="SimSun" w:hAnsi="Times New Roman"/>
      <w:sz w:val="24"/>
      <w:szCs w:val="24"/>
      <w:lang w:eastAsia="zh-CN"/>
    </w:rPr>
  </w:style>
  <w:style w:type="paragraph" w:customStyle="1" w:styleId="Indent">
    <w:name w:val="Indent"/>
    <w:pPr>
      <w:keepLines/>
      <w:tabs>
        <w:tab w:val="right" w:pos="9720"/>
      </w:tabs>
      <w:overflowPunct w:val="0"/>
      <w:autoSpaceDE w:val="0"/>
      <w:autoSpaceDN w:val="0"/>
      <w:adjustRightInd w:val="0"/>
      <w:spacing w:after="240"/>
      <w:ind w:left="4147"/>
      <w:textAlignment w:val="baseline"/>
    </w:pPr>
    <w:rPr>
      <w:rFonts w:ascii="Arial" w:eastAsia="Times New Roman" w:hAnsi="Arial"/>
      <w:sz w:val="24"/>
    </w:rPr>
  </w:style>
  <w:style w:type="paragraph" w:customStyle="1" w:styleId="Default">
    <w:name w:val="Default"/>
    <w:pPr>
      <w:autoSpaceDE w:val="0"/>
      <w:autoSpaceDN w:val="0"/>
      <w:adjustRightInd w:val="0"/>
    </w:pPr>
    <w:rPr>
      <w:rFonts w:ascii="Arial" w:hAnsi="Arial" w:cs="Arial"/>
      <w:color w:val="000000"/>
      <w:sz w:val="24"/>
      <w:szCs w:val="24"/>
    </w:rPr>
  </w:style>
  <w:style w:type="paragraph" w:customStyle="1" w:styleId="ResumeListBullet">
    <w:name w:val="Resume List Bullet"/>
    <w:basedOn w:val="ListBullet"/>
    <w:pPr>
      <w:numPr>
        <w:numId w:val="0"/>
      </w:numPr>
      <w:tabs>
        <w:tab w:val="clear" w:pos="288"/>
        <w:tab w:val="num" w:pos="360"/>
      </w:tabs>
      <w:spacing w:before="0" w:after="0"/>
      <w:ind w:left="360" w:hanging="360"/>
    </w:pPr>
    <w:rPr>
      <w:sz w:val="22"/>
    </w:rPr>
  </w:style>
  <w:style w:type="paragraph" w:styleId="NoSpacing">
    <w:name w:val="No Spacing"/>
    <w:uiPriority w:val="1"/>
    <w:qFormat/>
    <w:rPr>
      <w:sz w:val="22"/>
      <w:szCs w:val="22"/>
    </w:rPr>
  </w:style>
  <w:style w:type="character" w:customStyle="1" w:styleId="st1">
    <w:name w:val="st1"/>
    <w:basedOn w:val="DefaultParagraphFont"/>
  </w:style>
  <w:style w:type="paragraph" w:customStyle="1" w:styleId="Past">
    <w:name w:val="Past"/>
    <w:pPr>
      <w:spacing w:after="80"/>
    </w:pPr>
    <w:rPr>
      <w:rFonts w:ascii="Arial" w:eastAsia="Times New Roman" w:hAnsi="Arial"/>
      <w:b/>
      <w:szCs w:val="24"/>
    </w:rPr>
  </w:style>
  <w:style w:type="character" w:customStyle="1" w:styleId="Bodytext1">
    <w:name w:val="Body text1"/>
    <w:uiPriority w:val="99"/>
    <w:rPr>
      <w:rFonts w:ascii="Times New Roman" w:hAnsi="Times New Roman"/>
      <w:color w:val="000000"/>
      <w:spacing w:val="0"/>
      <w:sz w:val="21"/>
      <w:vertAlign w:val="baseline"/>
    </w:rPr>
  </w:style>
  <w:style w:type="paragraph" w:styleId="PlainText">
    <w:name w:val="Plain Text"/>
    <w:basedOn w:val="Normal"/>
    <w:link w:val="PlainTextChar"/>
    <w:uiPriority w:val="99"/>
    <w:unhideWhenUsed/>
    <w:pPr>
      <w:spacing w:after="0" w:line="240" w:lineRule="auto"/>
    </w:pPr>
    <w:rPr>
      <w:sz w:val="20"/>
      <w:szCs w:val="21"/>
    </w:rPr>
  </w:style>
  <w:style w:type="character" w:customStyle="1" w:styleId="PlainTextChar">
    <w:name w:val="Plain Text Char"/>
    <w:basedOn w:val="DefaultParagraphFont"/>
    <w:link w:val="PlainText"/>
    <w:uiPriority w:val="99"/>
    <w:rPr>
      <w:szCs w:val="21"/>
    </w:rPr>
  </w:style>
  <w:style w:type="paragraph" w:customStyle="1" w:styleId="DataField11pt-Single">
    <w:name w:val="Data Field 11pt-Single"/>
    <w:basedOn w:val="Normal"/>
    <w:link w:val="DataField11pt-SingleChar"/>
    <w:uiPriority w:val="99"/>
    <w:pPr>
      <w:autoSpaceDE w:val="0"/>
      <w:autoSpaceDN w:val="0"/>
      <w:spacing w:after="0" w:line="240" w:lineRule="auto"/>
    </w:pPr>
    <w:rPr>
      <w:rFonts w:ascii="Arial" w:eastAsia="Times New Roman" w:hAnsi="Arial"/>
      <w:sz w:val="20"/>
      <w:szCs w:val="20"/>
    </w:rPr>
  </w:style>
  <w:style w:type="character" w:customStyle="1" w:styleId="DataField11pt-SingleChar">
    <w:name w:val="Data Field 11pt-Single Char"/>
    <w:link w:val="DataField11pt-Single"/>
    <w:uiPriority w:val="99"/>
    <w:locked/>
    <w:rPr>
      <w:rFonts w:ascii="Arial" w:eastAsia="Times New Roman" w:hAnsi="Arial"/>
    </w:rPr>
  </w:style>
  <w:style w:type="paragraph" w:customStyle="1" w:styleId="1Header">
    <w:name w:val="1_Header"/>
    <w:basedOn w:val="Past"/>
    <w:qFormat/>
    <w:pPr>
      <w:spacing w:before="60" w:after="60"/>
    </w:pPr>
    <w:rPr>
      <w:color w:val="FFFFFF"/>
      <w:sz w:val="22"/>
      <w:szCs w:val="22"/>
    </w:rPr>
  </w:style>
  <w:style w:type="character" w:customStyle="1" w:styleId="maintext1">
    <w:name w:val="maintext1"/>
    <w:rPr>
      <w:rFonts w:ascii="Verdana" w:hAnsi="Verdana" w:hint="default"/>
      <w:sz w:val="20"/>
      <w:szCs w:val="20"/>
    </w:rPr>
  </w:style>
  <w:style w:type="character" w:customStyle="1" w:styleId="medium-font1">
    <w:name w:val="medium-font1"/>
    <w:rPr>
      <w:sz w:val="19"/>
      <w:szCs w:val="19"/>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szCs w:val="20"/>
    </w:rPr>
  </w:style>
  <w:style w:type="character" w:customStyle="1" w:styleId="HTMLPreformattedChar">
    <w:name w:val="HTML Preformatted Char"/>
    <w:basedOn w:val="DefaultParagraphFont"/>
    <w:link w:val="HTMLPreformatted"/>
    <w:rPr>
      <w:rFonts w:ascii="Courier New" w:eastAsia="Courier New" w:hAnsi="Courier New"/>
    </w:rPr>
  </w:style>
  <w:style w:type="paragraph" w:customStyle="1" w:styleId="1stbullet">
    <w:name w:val="1st bullet"/>
    <w:basedOn w:val="Normal"/>
    <w:autoRedefine/>
    <w:pPr>
      <w:numPr>
        <w:numId w:val="3"/>
      </w:numPr>
      <w:spacing w:line="240" w:lineRule="auto"/>
    </w:pPr>
    <w:rPr>
      <w:rFonts w:ascii="Arial" w:eastAsia="MS Mincho" w:hAnsi="Arial"/>
      <w:sz w:val="24"/>
      <w:szCs w:val="20"/>
      <w:lang w:eastAsia="ja-JP"/>
    </w:rPr>
  </w:style>
  <w:style w:type="paragraph" w:customStyle="1" w:styleId="2ndbullet">
    <w:name w:val="2nd bullet"/>
    <w:basedOn w:val="Normal"/>
    <w:pPr>
      <w:numPr>
        <w:numId w:val="4"/>
      </w:numPr>
      <w:spacing w:line="240" w:lineRule="auto"/>
    </w:pPr>
    <w:rPr>
      <w:rFonts w:ascii="Arial" w:eastAsia="MS Mincho" w:hAnsi="Arial"/>
      <w:sz w:val="24"/>
      <w:szCs w:val="20"/>
      <w:lang w:eastAsia="ja-JP"/>
    </w:rPr>
  </w:style>
  <w:style w:type="paragraph" w:customStyle="1" w:styleId="3rdbullet">
    <w:name w:val="3rd bullet"/>
    <w:basedOn w:val="2ndbullet"/>
    <w:pPr>
      <w:numPr>
        <w:ilvl w:val="1"/>
      </w:numPr>
    </w:pPr>
  </w:style>
  <w:style w:type="paragraph" w:styleId="BlockText">
    <w:name w:val="Block Text"/>
    <w:basedOn w:val="Normal"/>
    <w:pPr>
      <w:spacing w:after="0" w:line="240" w:lineRule="auto"/>
      <w:ind w:left="-360" w:right="-360"/>
    </w:pPr>
    <w:rPr>
      <w:rFonts w:ascii="Times New Roman" w:eastAsia="Times New Roman" w:hAnsi="Times New Roman"/>
      <w:sz w:val="24"/>
      <w:szCs w:val="24"/>
    </w:rPr>
  </w:style>
  <w:style w:type="paragraph" w:customStyle="1" w:styleId="Garamond11DiamondBullet">
    <w:name w:val="Garamond 11 Diamond Bullet"/>
    <w:basedOn w:val="ListParagraph"/>
    <w:qFormat/>
    <w:pPr>
      <w:numPr>
        <w:numId w:val="7"/>
      </w:numPr>
      <w:tabs>
        <w:tab w:val="num" w:pos="360"/>
      </w:tabs>
      <w:spacing w:after="0" w:line="240" w:lineRule="auto"/>
    </w:pPr>
    <w:rPr>
      <w:rFonts w:ascii="Garamond" w:eastAsia="SimSun" w:hAnsi="Garamond" w:cs="Arial"/>
      <w:szCs w:val="20"/>
      <w:lang w:eastAsia="zh-CN"/>
    </w:rPr>
  </w:style>
  <w:style w:type="paragraph" w:customStyle="1" w:styleId="Body1">
    <w:name w:val="Body 1"/>
    <w:rPr>
      <w:rFonts w:ascii="Helvetica" w:eastAsia="ヒラギノ角ゴ Pro W3" w:hAnsi="Helvetica"/>
      <w:noProof/>
      <w:color w:val="000000"/>
      <w:sz w:val="24"/>
    </w:rPr>
  </w:style>
  <w:style w:type="paragraph" w:customStyle="1" w:styleId="Caption3">
    <w:name w:val="Caption 3"/>
    <w:next w:val="Body1"/>
    <w:pPr>
      <w:tabs>
        <w:tab w:val="left" w:pos="1150"/>
      </w:tabs>
    </w:pPr>
    <w:rPr>
      <w:rFonts w:ascii="Helvetica" w:eastAsia="ヒラギノ角ゴ Pro W3" w:hAnsi="Helvetica"/>
      <w:b/>
      <w:caps/>
      <w:noProof/>
      <w:color w:val="000000"/>
    </w:rPr>
  </w:style>
  <w:style w:type="paragraph" w:customStyle="1" w:styleId="Subheading2">
    <w:name w:val="Subheading 2"/>
    <w:pPr>
      <w:keepNext/>
      <w:outlineLvl w:val="1"/>
    </w:pPr>
    <w:rPr>
      <w:rFonts w:ascii="Helvetica" w:eastAsia="ヒラギノ角ゴ Pro W3" w:hAnsi="Helvetica"/>
      <w:noProof/>
      <w:color w:val="000000"/>
      <w:sz w:val="32"/>
    </w:rPr>
  </w:style>
  <w:style w:type="paragraph" w:customStyle="1" w:styleId="Publications">
    <w:name w:val="Publications"/>
    <w:basedOn w:val="3resumebodytext"/>
    <w:link w:val="PublicationsChar"/>
    <w:qFormat/>
    <w:pPr>
      <w:ind w:left="720" w:hanging="720"/>
    </w:pPr>
  </w:style>
  <w:style w:type="character" w:customStyle="1" w:styleId="PublicationsChar">
    <w:name w:val="Publications Char"/>
    <w:link w:val="Publications"/>
    <w:rPr>
      <w:rFonts w:ascii="Arial" w:eastAsia="Times New Roman" w:hAnsi="Arial"/>
      <w:sz w:val="24"/>
      <w:szCs w:val="24"/>
    </w:rPr>
  </w:style>
  <w:style w:type="paragraph" w:customStyle="1" w:styleId="2bullets">
    <w:name w:val="2_bullets"/>
    <w:basedOn w:val="Past"/>
    <w:pPr>
      <w:ind w:left="720" w:hanging="360"/>
    </w:pPr>
    <w:rPr>
      <w:szCs w:val="20"/>
    </w:rPr>
  </w:style>
  <w:style w:type="paragraph" w:customStyle="1" w:styleId="Standard">
    <w:name w:val="Standard"/>
    <w:basedOn w:val="Normal"/>
    <w:pPr>
      <w:autoSpaceDN w:val="0"/>
      <w:spacing w:after="0" w:line="240" w:lineRule="auto"/>
    </w:pPr>
    <w:rPr>
      <w:rFonts w:ascii="Times New Roman" w:hAnsi="Times New Roman"/>
      <w:sz w:val="24"/>
      <w:szCs w:val="24"/>
    </w:rPr>
  </w:style>
  <w:style w:type="paragraph" w:customStyle="1" w:styleId="Body">
    <w:name w:val="Body"/>
    <w:basedOn w:val="Normal"/>
    <w:uiPriority w:val="1"/>
    <w:qFormat/>
    <w:pPr>
      <w:spacing w:before="120" w:after="120" w:line="240" w:lineRule="auto"/>
    </w:pPr>
    <w:rPr>
      <w:rFonts w:ascii="Times New Roman" w:eastAsia="Times New Roman" w:hAnsi="Times New Roman"/>
      <w:sz w:val="24"/>
      <w:szCs w:val="20"/>
    </w:rPr>
  </w:style>
  <w:style w:type="table" w:customStyle="1" w:styleId="TableGrid1">
    <w:name w:val="Table Grid1"/>
    <w:basedOn w:val="TableNormal"/>
    <w:next w:val="TableGrid"/>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pPr>
      <w:spacing w:after="0" w:line="240" w:lineRule="auto"/>
      <w:ind w:left="360" w:hanging="360"/>
    </w:pPr>
    <w:rPr>
      <w:rFonts w:ascii="Times New Roman" w:eastAsia="Times New Roman" w:hAnsi="Times New Roman"/>
      <w:sz w:val="24"/>
      <w:szCs w:val="24"/>
    </w:rPr>
  </w:style>
  <w:style w:type="paragraph" w:styleId="TOCHeading">
    <w:name w:val="TOC Heading"/>
    <w:basedOn w:val="Heading1"/>
    <w:next w:val="Normal"/>
    <w:uiPriority w:val="39"/>
    <w:qFormat/>
    <w:pPr>
      <w:outlineLvl w:val="9"/>
    </w:pPr>
  </w:style>
  <w:style w:type="character" w:customStyle="1" w:styleId="Heading1MainChar">
    <w:name w:val="Heading 1 Main Char"/>
    <w:link w:val="Heading1Main"/>
    <w:rPr>
      <w:rFonts w:ascii="Arial" w:eastAsia="Times New Roman" w:hAnsi="Arial"/>
      <w:b/>
      <w:kern w:val="28"/>
      <w:sz w:val="24"/>
      <w:szCs w:val="24"/>
    </w:rPr>
  </w:style>
  <w:style w:type="paragraph" w:customStyle="1" w:styleId="Level2Head">
    <w:name w:val="Level 2 Head"/>
    <w:basedOn w:val="Heading2"/>
    <w:link w:val="Level2HeadChar"/>
    <w:qFormat/>
    <w:pPr>
      <w:keepNext w:val="0"/>
      <w:keepLines w:val="0"/>
      <w:pBdr>
        <w:top w:val="single" w:sz="18" w:space="1" w:color="980C0C"/>
        <w:bottom w:val="single" w:sz="6" w:space="1" w:color="980C0C"/>
      </w:pBdr>
      <w:spacing w:before="200" w:after="200"/>
    </w:pPr>
    <w:rPr>
      <w:rFonts w:ascii="Times New Roman" w:eastAsia="Calibri" w:hAnsi="Times New Roman"/>
      <w:bCs w:val="0"/>
      <w:iCs w:val="0"/>
      <w:color w:val="000000"/>
      <w:sz w:val="28"/>
      <w14:textFill>
        <w14:solidFill>
          <w14:srgbClr w14:val="000000">
            <w14:lumMod w14:val="75000"/>
          </w14:srgbClr>
        </w14:solidFill>
      </w14:textFill>
    </w:rPr>
  </w:style>
  <w:style w:type="character" w:customStyle="1" w:styleId="Level2HeadChar">
    <w:name w:val="Level 2 Head Char"/>
    <w:link w:val="Level2Head"/>
    <w:rPr>
      <w:rFonts w:ascii="Times New Roman" w:hAnsi="Times New Roman" w:cs="Arial"/>
      <w:b/>
      <w:sz w:val="28"/>
      <w:szCs w:val="28"/>
    </w:rPr>
  </w:style>
  <w:style w:type="character" w:styleId="HTMLCite">
    <w:name w:val="HTML Cite"/>
    <w:uiPriority w:val="99"/>
    <w:semiHidden/>
    <w:unhideWhenUsed/>
    <w:rPr>
      <w:i/>
      <w:iCs/>
    </w:rPr>
  </w:style>
  <w:style w:type="paragraph" w:customStyle="1" w:styleId="CM1">
    <w:name w:val="CM1"/>
    <w:basedOn w:val="Default"/>
    <w:next w:val="Default"/>
    <w:uiPriority w:val="99"/>
    <w:pPr>
      <w:spacing w:line="266" w:lineRule="atLeast"/>
    </w:pPr>
    <w:rPr>
      <w:rFonts w:ascii="Times New Roman" w:hAnsi="Times New Roman" w:cs="Times New Roman"/>
      <w:color w:val="auto"/>
    </w:rPr>
  </w:style>
  <w:style w:type="paragraph" w:customStyle="1" w:styleId="CopyrightInformation">
    <w:name w:val="Copyright Information"/>
    <w:basedOn w:val="Normal"/>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numbering" w:customStyle="1" w:styleId="NoList1">
    <w:name w:val="No List1"/>
    <w:next w:val="NoList"/>
    <w:uiPriority w:val="99"/>
    <w:semiHidden/>
    <w:unhideWhenUsed/>
  </w:style>
  <w:style w:type="paragraph" w:customStyle="1" w:styleId="EXHIBIT">
    <w:name w:val="EXHIBIT"/>
    <w:pPr>
      <w:keepNext/>
      <w:spacing w:after="100" w:afterAutospacing="1"/>
      <w:jc w:val="center"/>
    </w:pPr>
    <w:rPr>
      <w:rFonts w:ascii="Arial" w:eastAsia="Times New Roman" w:hAnsi="Arial"/>
      <w:b/>
      <w:sz w:val="24"/>
    </w:rPr>
  </w:style>
  <w:style w:type="paragraph" w:customStyle="1" w:styleId="PBullet1">
    <w:name w:val="P_Bullet 1"/>
    <w:next w:val="Normal"/>
    <w:uiPriority w:val="99"/>
    <w:pPr>
      <w:numPr>
        <w:numId w:val="15"/>
      </w:numPr>
      <w:spacing w:after="120"/>
    </w:pPr>
    <w:rPr>
      <w:rFonts w:ascii="Times New Roman" w:eastAsia="Times New Roman" w:hAnsi="Times New Roman" w:cs="Times"/>
      <w:sz w:val="24"/>
      <w:szCs w:val="24"/>
      <w:lang w:eastAsia="zh-CN"/>
    </w:rPr>
  </w:style>
  <w:style w:type="paragraph" w:customStyle="1" w:styleId="PBullet2">
    <w:name w:val="P_Bullet 2"/>
    <w:basedOn w:val="PBullet1"/>
    <w:qFormat/>
    <w:pPr>
      <w:numPr>
        <w:numId w:val="16"/>
      </w:numPr>
      <w:tabs>
        <w:tab w:val="left" w:pos="1080"/>
      </w:tabs>
    </w:pPr>
  </w:style>
  <w:style w:type="paragraph" w:customStyle="1" w:styleId="PBodyText">
    <w:name w:val="P_Body Text"/>
    <w:qFormat/>
    <w:pPr>
      <w:spacing w:after="240"/>
    </w:pPr>
    <w:rPr>
      <w:rFonts w:ascii="Times New Roman" w:eastAsia="Times New Roman" w:hAnsi="Times New Roman" w:cs="Times"/>
      <w:sz w:val="24"/>
      <w:szCs w:val="22"/>
      <w:lang w:eastAsia="zh-CN"/>
    </w:rPr>
  </w:style>
  <w:style w:type="paragraph" w:customStyle="1" w:styleId="TableHeading">
    <w:name w:val="Table Heading"/>
    <w:next w:val="BodyText"/>
    <w:pPr>
      <w:widowControl w:val="0"/>
      <w:spacing w:before="20" w:after="20"/>
      <w:jc w:val="center"/>
    </w:pPr>
    <w:rPr>
      <w:rFonts w:ascii="ITC Garamond Std Book Cond" w:eastAsia="Times New Roman" w:hAnsi="ITC Garamond Std Book Cond"/>
      <w:b/>
      <w:snapToGrid w:val="0"/>
      <w:color w:val="000000"/>
    </w:rPr>
  </w:style>
  <w:style w:type="paragraph" w:customStyle="1" w:styleId="TableBullet1">
    <w:name w:val="Table Bullet 1"/>
    <w:pPr>
      <w:numPr>
        <w:numId w:val="18"/>
      </w:numPr>
      <w:spacing w:after="20"/>
    </w:pPr>
    <w:rPr>
      <w:rFonts w:ascii="ITC Garamond Std Book Cond" w:eastAsia="Times" w:hAnsi="ITC Garamond Std Book Cond"/>
    </w:rPr>
  </w:style>
  <w:style w:type="paragraph" w:customStyle="1" w:styleId="TableHeading2">
    <w:name w:val="Table Heading 2"/>
    <w:basedOn w:val="TableHeading"/>
    <w:pPr>
      <w:jc w:val="left"/>
    </w:pPr>
    <w:rPr>
      <w:bCs/>
    </w:rPr>
  </w:style>
  <w:style w:type="paragraph" w:customStyle="1" w:styleId="ExhibitHead">
    <w:name w:val="Exhibit Head"/>
    <w:qFormat/>
    <w:pPr>
      <w:keepNext/>
      <w:keepLines/>
      <w:spacing w:after="120"/>
      <w:jc w:val="center"/>
    </w:pPr>
    <w:rPr>
      <w:rFonts w:ascii="Times New Roman" w:hAnsi="Times New Roman"/>
      <w:b/>
      <w:sz w:val="24"/>
      <w:szCs w:val="24"/>
    </w:rPr>
  </w:style>
  <w:style w:type="paragraph" w:customStyle="1" w:styleId="CoverTitle">
    <w:name w:val="Cover Title"/>
    <w:link w:val="CoverTitleChar"/>
    <w:qFormat/>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link w:val="CoverSubtitleChar"/>
    <w:qFormat/>
    <w:pPr>
      <w:spacing w:after="240"/>
      <w:ind w:left="2434"/>
    </w:pPr>
    <w:rPr>
      <w:rFonts w:ascii="Franklin Gothic Book" w:eastAsia="Perpetua" w:hAnsi="Franklin Gothic Book"/>
      <w:b/>
      <w:color w:val="005295"/>
      <w:sz w:val="40"/>
      <w:szCs w:val="40"/>
    </w:rPr>
  </w:style>
  <w:style w:type="character" w:customStyle="1" w:styleId="CoverTitleChar">
    <w:name w:val="Cover Title Char"/>
    <w:basedOn w:val="DefaultParagraphFont"/>
    <w:link w:val="CoverTitle"/>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Pr>
      <w:rFonts w:ascii="Franklin Gothic Book" w:eastAsia="Perpetua" w:hAnsi="Franklin Gothic Book"/>
      <w:b/>
      <w:color w:val="005295"/>
      <w:sz w:val="40"/>
      <w:szCs w:val="40"/>
    </w:rPr>
  </w:style>
  <w:style w:type="paragraph" w:customStyle="1" w:styleId="CoverDate">
    <w:name w:val="Cover Date"/>
    <w:basedOn w:val="Normal"/>
    <w:qFormat/>
    <w:pPr>
      <w:jc w:val="center"/>
    </w:pPr>
    <w:rPr>
      <w:rFonts w:ascii="Franklin Gothic Book" w:eastAsia="Perpetua" w:hAnsi="Franklin Gothic Book"/>
      <w:color w:val="FFFFFF"/>
      <w:spacing w:val="12"/>
    </w:rPr>
  </w:style>
  <w:style w:type="paragraph" w:customStyle="1" w:styleId="CoverAuthorTitleAffiliation">
    <w:name w:val="Cover Author Title/Affiliation"/>
    <w:basedOn w:val="Normal"/>
    <w:link w:val="CoverAuthorTitleAffiliationChar"/>
    <w:qFormat/>
    <w:pPr>
      <w:ind w:left="2430"/>
    </w:pPr>
    <w:rPr>
      <w:rFonts w:ascii="Franklin Gothic Book" w:eastAsia="Perpetua" w:hAnsi="Franklin Gothic Book"/>
      <w:noProof/>
      <w:color w:val="595959"/>
      <w:sz w:val="28"/>
      <w:szCs w:val="28"/>
    </w:rPr>
  </w:style>
  <w:style w:type="character" w:customStyle="1" w:styleId="CoverAuthorTitleAffiliationChar">
    <w:name w:val="Cover Author Title/Affiliation Char"/>
    <w:basedOn w:val="DefaultParagraphFont"/>
    <w:link w:val="CoverAuthorTitleAffiliation"/>
    <w:rPr>
      <w:rFonts w:ascii="Franklin Gothic Book" w:eastAsia="Perpetua" w:hAnsi="Franklin Gothic Book"/>
      <w:noProof/>
      <w:color w:val="595959"/>
      <w:sz w:val="28"/>
      <w:szCs w:val="28"/>
    </w:rPr>
  </w:style>
  <w:style w:type="paragraph" w:customStyle="1" w:styleId="PBodyText0">
    <w:name w:val="P.Body Text"/>
    <w:link w:val="PBodyTextChar"/>
    <w:qFormat/>
    <w:pPr>
      <w:spacing w:after="240"/>
    </w:pPr>
    <w:rPr>
      <w:rFonts w:ascii="Times New Roman" w:eastAsia="Times New Roman" w:hAnsi="Times New Roman" w:cs="Times"/>
      <w:sz w:val="24"/>
      <w:szCs w:val="22"/>
    </w:rPr>
  </w:style>
  <w:style w:type="character" w:customStyle="1" w:styleId="PBodyTextChar">
    <w:name w:val="P.Body Text Char"/>
    <w:link w:val="PBodyText0"/>
    <w:locked/>
    <w:rPr>
      <w:rFonts w:ascii="Times New Roman" w:eastAsia="Times New Roman" w:hAnsi="Times New Roman" w:cs="Times"/>
      <w:sz w:val="24"/>
      <w:szCs w:val="22"/>
    </w:rPr>
  </w:style>
  <w:style w:type="table" w:customStyle="1" w:styleId="AIRTable">
    <w:name w:val="AIR Table"/>
    <w:basedOn w:val="TableNormal"/>
    <w:uiPriority w:val="99"/>
    <w:qFormat/>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NCEEBodyText">
    <w:name w:val="NCEE Body Text"/>
    <w:link w:val="NCEEBodyTextChar"/>
    <w:qFormat/>
    <w:pPr>
      <w:spacing w:before="120" w:after="120"/>
    </w:pPr>
    <w:rPr>
      <w:rFonts w:asciiTheme="minorHAnsi" w:eastAsiaTheme="minorHAnsi" w:hAnsiTheme="minorHAnsi"/>
      <w:sz w:val="22"/>
      <w:szCs w:val="22"/>
    </w:rPr>
  </w:style>
  <w:style w:type="character" w:customStyle="1" w:styleId="NCEEBodyTextChar">
    <w:name w:val="NCEE Body Text Char"/>
    <w:basedOn w:val="DefaultParagraphFont"/>
    <w:link w:val="NCEEBodyText"/>
    <w:rPr>
      <w:rFonts w:asciiTheme="minorHAnsi" w:eastAsiaTheme="minorHAnsi" w:hAnsiTheme="minorHAnsi"/>
      <w:sz w:val="22"/>
      <w:szCs w:val="22"/>
    </w:rPr>
  </w:style>
  <w:style w:type="paragraph" w:customStyle="1" w:styleId="NCEEBullet1">
    <w:name w:val="NCEE Bullet 1"/>
    <w:qFormat/>
    <w:pPr>
      <w:numPr>
        <w:numId w:val="11"/>
      </w:numPr>
      <w:spacing w:before="120" w:after="120"/>
    </w:pPr>
    <w:rPr>
      <w:rFonts w:asciiTheme="minorHAnsi" w:eastAsiaTheme="minorHAnsi" w:hAnsiTheme="minorHAnsi" w:cstheme="minorBidi"/>
      <w:sz w:val="22"/>
      <w:szCs w:val="22"/>
    </w:rPr>
  </w:style>
  <w:style w:type="paragraph" w:customStyle="1" w:styleId="TableTitle">
    <w:name w:val="Table Title"/>
    <w:basedOn w:val="Normal"/>
    <w:qFormat/>
    <w:pPr>
      <w:keepNext/>
      <w:spacing w:before="240" w:after="120" w:line="240" w:lineRule="auto"/>
    </w:pPr>
    <w:rPr>
      <w:rFonts w:eastAsia="Times New Roman" w:cs="Times"/>
      <w:b/>
      <w:color w:val="0F243E" w:themeColor="text2" w:themeShade="80"/>
      <w:szCs w:val="24"/>
    </w:rPr>
  </w:style>
  <w:style w:type="paragraph" w:customStyle="1" w:styleId="P1-StandPara">
    <w:name w:val="P1-Stand Para"/>
    <w:basedOn w:val="Normal"/>
    <w:link w:val="P1-StandParaChar"/>
    <w:pPr>
      <w:spacing w:after="0" w:line="360" w:lineRule="atLeast"/>
      <w:ind w:firstLine="1152"/>
    </w:pPr>
    <w:rPr>
      <w:rFonts w:ascii="Garamond" w:eastAsia="Times New Roman" w:hAnsi="Garamond"/>
      <w:sz w:val="24"/>
      <w:szCs w:val="20"/>
    </w:rPr>
  </w:style>
  <w:style w:type="character" w:customStyle="1" w:styleId="P1-StandParaChar">
    <w:name w:val="P1-Stand Para Char"/>
    <w:basedOn w:val="DefaultParagraphFont"/>
    <w:link w:val="P1-StandPara"/>
    <w:rPr>
      <w:rFonts w:ascii="Garamond" w:eastAsia="Times New Roman" w:hAnsi="Garamond"/>
      <w:sz w:val="24"/>
    </w:rPr>
  </w:style>
  <w:style w:type="character" w:customStyle="1" w:styleId="ExhibitTitleChar">
    <w:name w:val="Exhibit Title Char"/>
    <w:basedOn w:val="DefaultParagraphFont"/>
    <w:link w:val="ExhibitTitle"/>
    <w:rPr>
      <w:rFonts w:asciiTheme="minorHAnsi" w:eastAsia="Times New Roman" w:hAnsiTheme="minorHAnsi" w:cs="Arial"/>
      <w:b/>
      <w:sz w:val="23"/>
      <w:szCs w:val="23"/>
    </w:rPr>
  </w:style>
  <w:style w:type="paragraph" w:customStyle="1" w:styleId="Heading40">
    <w:name w:val="Heading_4"/>
    <w:basedOn w:val="BodyText"/>
    <w:qFormat/>
    <w:rPr>
      <w:b/>
      <w:i/>
    </w:rPr>
  </w:style>
  <w:style w:type="paragraph" w:customStyle="1" w:styleId="References">
    <w:name w:val="References"/>
    <w:basedOn w:val="Normal"/>
    <w:qFormat/>
    <w:pPr>
      <w:spacing w:after="240" w:line="240" w:lineRule="auto"/>
      <w:ind w:left="720" w:hanging="720"/>
    </w:pPr>
    <w:rPr>
      <w:bCs/>
    </w:rPr>
  </w:style>
  <w:style w:type="paragraph" w:customStyle="1" w:styleId="Bullet1">
    <w:name w:val="Bullet 1"/>
    <w:basedOn w:val="BodyText"/>
    <w:qFormat/>
    <w:pPr>
      <w:numPr>
        <w:numId w:val="1"/>
      </w:numPr>
      <w:contextualSpacing/>
    </w:pPr>
    <w:rPr>
      <w:rFonts w:eastAsia="Calibri"/>
      <w:color w:val="000000"/>
      <w:szCs w:val="22"/>
    </w:rPr>
  </w:style>
  <w:style w:type="table" w:customStyle="1" w:styleId="AIRTable1">
    <w:name w:val="AIR Table1"/>
    <w:basedOn w:val="TableNormal"/>
    <w:uiPriority w:val="99"/>
    <w:qFormat/>
    <w:rPr>
      <w:rFonts w:ascii="Arial" w:eastAsia="Times New Roman" w:hAnsi="Arial"/>
      <w:color w:val="000000" w:themeColor="text1"/>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l2br w:val="nil"/>
          <w:tr2bl w:val="nil"/>
        </w:tcBorders>
        <w:shd w:val="clear" w:color="auto" w:fill="002C5F"/>
      </w:tcPr>
    </w:tblStylePr>
  </w:style>
  <w:style w:type="numbering" w:customStyle="1" w:styleId="EDBullet">
    <w:name w:val="ED.Bullet"/>
    <w:uiPriority w:val="99"/>
    <w:pPr>
      <w:numPr>
        <w:numId w:val="6"/>
      </w:numPr>
    </w:pPr>
  </w:style>
  <w:style w:type="character" w:customStyle="1" w:styleId="apple-converted-space">
    <w:name w:val="apple-converted-space"/>
    <w:basedOn w:val="DefaultParagraphFont"/>
  </w:style>
  <w:style w:type="paragraph" w:customStyle="1" w:styleId="Numberedlist">
    <w:name w:val="Numbered list"/>
    <w:basedOn w:val="ListParagraph"/>
    <w:qFormat/>
    <w:pPr>
      <w:numPr>
        <w:numId w:val="13"/>
      </w:numPr>
      <w:autoSpaceDE w:val="0"/>
      <w:autoSpaceDN w:val="0"/>
      <w:adjustRightInd w:val="0"/>
      <w:spacing w:before="120" w:after="120" w:line="240" w:lineRule="auto"/>
      <w:ind w:left="720"/>
      <w:contextualSpacing w:val="0"/>
    </w:pPr>
    <w:rPr>
      <w:rFonts w:asciiTheme="minorHAnsi" w:hAnsiTheme="minorHAnsi" w:cs="Calibri"/>
      <w:color w:val="000000"/>
      <w:sz w:val="23"/>
      <w:szCs w:val="23"/>
    </w:rPr>
  </w:style>
  <w:style w:type="paragraph" w:styleId="ListNumber">
    <w:name w:val="List Number"/>
    <w:basedOn w:val="Normal"/>
    <w:uiPriority w:val="99"/>
    <w:unhideWhenUsed/>
    <w:pPr>
      <w:contextualSpacing/>
    </w:pPr>
  </w:style>
  <w:style w:type="character" w:customStyle="1" w:styleId="nlmstring-name">
    <w:name w:val="nlm_string-name"/>
    <w:basedOn w:val="DefaultParagraphFont"/>
    <w:rsid w:val="00EF7DF2"/>
  </w:style>
  <w:style w:type="paragraph" w:customStyle="1" w:styleId="REF">
    <w:name w:val="REF"/>
    <w:basedOn w:val="References"/>
    <w:qFormat/>
    <w:rsid w:val="00EF7DF2"/>
  </w:style>
  <w:style w:type="character" w:customStyle="1" w:styleId="nlmyear">
    <w:name w:val="nlm_year"/>
    <w:basedOn w:val="DefaultParagraphFont"/>
    <w:rsid w:val="00EF7DF2"/>
  </w:style>
  <w:style w:type="character" w:customStyle="1" w:styleId="nlmarticle-title">
    <w:name w:val="nlm_article-title"/>
    <w:basedOn w:val="DefaultParagraphFont"/>
    <w:rsid w:val="00EF7DF2"/>
  </w:style>
  <w:style w:type="character" w:customStyle="1" w:styleId="nlmfpage">
    <w:name w:val="nlm_fpage"/>
    <w:basedOn w:val="DefaultParagraphFont"/>
    <w:rsid w:val="00EF7DF2"/>
  </w:style>
  <w:style w:type="character" w:customStyle="1" w:styleId="nlmlpage">
    <w:name w:val="nlm_lpage"/>
    <w:basedOn w:val="DefaultParagraphFont"/>
    <w:rsid w:val="00EF7D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46949635">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30943144">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679696424">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776557678">
      <w:bodyDiv w:val="1"/>
      <w:marLeft w:val="0"/>
      <w:marRight w:val="0"/>
      <w:marTop w:val="0"/>
      <w:marBottom w:val="0"/>
      <w:divBdr>
        <w:top w:val="none" w:sz="0" w:space="0" w:color="auto"/>
        <w:left w:val="none" w:sz="0" w:space="0" w:color="auto"/>
        <w:bottom w:val="none" w:sz="0" w:space="0" w:color="auto"/>
        <w:right w:val="none" w:sz="0" w:space="0" w:color="auto"/>
      </w:divBdr>
    </w:div>
    <w:div w:id="840506297">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59799950">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112015086">
      <w:bodyDiv w:val="1"/>
      <w:marLeft w:val="0"/>
      <w:marRight w:val="0"/>
      <w:marTop w:val="0"/>
      <w:marBottom w:val="0"/>
      <w:divBdr>
        <w:top w:val="none" w:sz="0" w:space="0" w:color="auto"/>
        <w:left w:val="none" w:sz="0" w:space="0" w:color="auto"/>
        <w:bottom w:val="none" w:sz="0" w:space="0" w:color="auto"/>
        <w:right w:val="none" w:sz="0" w:space="0" w:color="auto"/>
      </w:divBdr>
    </w:div>
    <w:div w:id="1197959976">
      <w:bodyDiv w:val="1"/>
      <w:marLeft w:val="0"/>
      <w:marRight w:val="0"/>
      <w:marTop w:val="0"/>
      <w:marBottom w:val="0"/>
      <w:divBdr>
        <w:top w:val="none" w:sz="0" w:space="0" w:color="auto"/>
        <w:left w:val="none" w:sz="0" w:space="0" w:color="auto"/>
        <w:bottom w:val="none" w:sz="0" w:space="0" w:color="auto"/>
        <w:right w:val="none" w:sz="0" w:space="0" w:color="auto"/>
      </w:divBdr>
    </w:div>
    <w:div w:id="1238662707">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491630071">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603106032">
      <w:bodyDiv w:val="1"/>
      <w:marLeft w:val="0"/>
      <w:marRight w:val="0"/>
      <w:marTop w:val="0"/>
      <w:marBottom w:val="0"/>
      <w:divBdr>
        <w:top w:val="none" w:sz="0" w:space="0" w:color="auto"/>
        <w:left w:val="none" w:sz="0" w:space="0" w:color="auto"/>
        <w:bottom w:val="none" w:sz="0" w:space="0" w:color="auto"/>
        <w:right w:val="none" w:sz="0" w:space="0" w:color="auto"/>
      </w:divBdr>
    </w:div>
    <w:div w:id="1606578847">
      <w:bodyDiv w:val="1"/>
      <w:marLeft w:val="0"/>
      <w:marRight w:val="0"/>
      <w:marTop w:val="0"/>
      <w:marBottom w:val="0"/>
      <w:divBdr>
        <w:top w:val="none" w:sz="0" w:space="0" w:color="auto"/>
        <w:left w:val="none" w:sz="0" w:space="0" w:color="auto"/>
        <w:bottom w:val="none" w:sz="0" w:space="0" w:color="auto"/>
        <w:right w:val="none" w:sz="0" w:space="0" w:color="auto"/>
      </w:divBdr>
    </w:div>
    <w:div w:id="1716199867">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17" Type="http://schemas.openxmlformats.org/officeDocument/2006/relationships/hyperlink" Target="http://www.mitpressjournals.org/doi/pdf/10.1162/EDFP_a_00118" TargetMode="External"/><Relationship Id="rId2" Type="http://schemas.openxmlformats.org/officeDocument/2006/relationships/customXml" Target="../customXml/item2.xml"/><Relationship Id="rId16" Type="http://schemas.openxmlformats.org/officeDocument/2006/relationships/hyperlink" Target="http://www.crpe.org/sites/default/files/wp_sfrp21_rozaohio_jul07_0.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repository.library.georgetown.edu/handle/10822/709855"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allovue.com/files/fefs2016/session-d/trends-sbb/trends-sbb-fefsummi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B8571C8B60CC46BC9BE39E1E5B0697" ma:contentTypeVersion="0" ma:contentTypeDescription="Create a new document." ma:contentTypeScope="" ma:versionID="503134cf3fce84cdc1bd3ce59a50bc0c">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2.xml><?xml version="1.0" encoding="utf-8"?>
<ds:datastoreItem xmlns:ds="http://schemas.openxmlformats.org/officeDocument/2006/customXml" ds:itemID="{0A593AFD-F018-4695-B784-FE460A41D8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E886728C-CF32-4D57-B042-E8B824B845F9}">
  <ds:schemaRefs>
    <ds:schemaRef ds:uri="http://purl.org/dc/terms/"/>
    <ds:schemaRef ds:uri="http://schemas.microsoft.com/office/2006/documentManagement/types"/>
    <ds:schemaRef ds:uri="http://purl.org/dc/dcmitype/"/>
    <ds:schemaRef ds:uri="http://www.w3.org/XML/1998/namespace"/>
    <ds:schemaRef ds:uri="http://purl.org/dc/elements/1.1/"/>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7995CCD-00EC-437D-90D5-F0167400A9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10228</Words>
  <Characters>58304</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OMB Part B</vt:lpstr>
    </vt:vector>
  </TitlesOfParts>
  <Company>American Institutes for Research</Company>
  <LinksUpToDate>false</LinksUpToDate>
  <CharactersWithSpaces>68396</CharactersWithSpaces>
  <SharedDoc>false</SharedDoc>
  <HLinks>
    <vt:vector size="450" baseType="variant">
      <vt:variant>
        <vt:i4>1900596</vt:i4>
      </vt:variant>
      <vt:variant>
        <vt:i4>390</vt:i4>
      </vt:variant>
      <vt:variant>
        <vt:i4>0</vt:i4>
      </vt:variant>
      <vt:variant>
        <vt:i4>5</vt:i4>
      </vt:variant>
      <vt:variant>
        <vt:lpwstr>mailto:IRBChair@air.org</vt:lpwstr>
      </vt:variant>
      <vt:variant>
        <vt:lpwstr/>
      </vt:variant>
      <vt:variant>
        <vt:i4>1441851</vt:i4>
      </vt:variant>
      <vt:variant>
        <vt:i4>387</vt:i4>
      </vt:variant>
      <vt:variant>
        <vt:i4>0</vt:i4>
      </vt:variant>
      <vt:variant>
        <vt:i4>5</vt:i4>
      </vt:variant>
      <vt:variant>
        <vt:lpwstr>mailto:klefloch@air.org</vt:lpwstr>
      </vt:variant>
      <vt:variant>
        <vt:lpwstr/>
      </vt:variant>
      <vt:variant>
        <vt:i4>1900596</vt:i4>
      </vt:variant>
      <vt:variant>
        <vt:i4>384</vt:i4>
      </vt:variant>
      <vt:variant>
        <vt:i4>0</vt:i4>
      </vt:variant>
      <vt:variant>
        <vt:i4>5</vt:i4>
      </vt:variant>
      <vt:variant>
        <vt:lpwstr>mailto:IRBChair@air.org</vt:lpwstr>
      </vt:variant>
      <vt:variant>
        <vt:lpwstr/>
      </vt:variant>
      <vt:variant>
        <vt:i4>1441851</vt:i4>
      </vt:variant>
      <vt:variant>
        <vt:i4>381</vt:i4>
      </vt:variant>
      <vt:variant>
        <vt:i4>0</vt:i4>
      </vt:variant>
      <vt:variant>
        <vt:i4>5</vt:i4>
      </vt:variant>
      <vt:variant>
        <vt:lpwstr>mailto:klefloch@air.org</vt:lpwstr>
      </vt:variant>
      <vt:variant>
        <vt:lpwstr/>
      </vt:variant>
      <vt:variant>
        <vt:i4>1900596</vt:i4>
      </vt:variant>
      <vt:variant>
        <vt:i4>378</vt:i4>
      </vt:variant>
      <vt:variant>
        <vt:i4>0</vt:i4>
      </vt:variant>
      <vt:variant>
        <vt:i4>5</vt:i4>
      </vt:variant>
      <vt:variant>
        <vt:lpwstr>mailto:IRBChair@air.org</vt:lpwstr>
      </vt:variant>
      <vt:variant>
        <vt:lpwstr/>
      </vt:variant>
      <vt:variant>
        <vt:i4>1441851</vt:i4>
      </vt:variant>
      <vt:variant>
        <vt:i4>375</vt:i4>
      </vt:variant>
      <vt:variant>
        <vt:i4>0</vt:i4>
      </vt:variant>
      <vt:variant>
        <vt:i4>5</vt:i4>
      </vt:variant>
      <vt:variant>
        <vt:lpwstr>mailto:klefloch@air.org</vt:lpwstr>
      </vt:variant>
      <vt:variant>
        <vt:lpwstr/>
      </vt:variant>
      <vt:variant>
        <vt:i4>1900596</vt:i4>
      </vt:variant>
      <vt:variant>
        <vt:i4>372</vt:i4>
      </vt:variant>
      <vt:variant>
        <vt:i4>0</vt:i4>
      </vt:variant>
      <vt:variant>
        <vt:i4>5</vt:i4>
      </vt:variant>
      <vt:variant>
        <vt:lpwstr>mailto:IRBChair@air.org</vt:lpwstr>
      </vt:variant>
      <vt:variant>
        <vt:lpwstr/>
      </vt:variant>
      <vt:variant>
        <vt:i4>1441851</vt:i4>
      </vt:variant>
      <vt:variant>
        <vt:i4>369</vt:i4>
      </vt:variant>
      <vt:variant>
        <vt:i4>0</vt:i4>
      </vt:variant>
      <vt:variant>
        <vt:i4>5</vt:i4>
      </vt:variant>
      <vt:variant>
        <vt:lpwstr>mailto:klefloch@air.org</vt:lpwstr>
      </vt:variant>
      <vt:variant>
        <vt:lpwstr/>
      </vt:variant>
      <vt:variant>
        <vt:i4>1900596</vt:i4>
      </vt:variant>
      <vt:variant>
        <vt:i4>366</vt:i4>
      </vt:variant>
      <vt:variant>
        <vt:i4>0</vt:i4>
      </vt:variant>
      <vt:variant>
        <vt:i4>5</vt:i4>
      </vt:variant>
      <vt:variant>
        <vt:lpwstr>mailto:IRBChair@air.org</vt:lpwstr>
      </vt:variant>
      <vt:variant>
        <vt:lpwstr/>
      </vt:variant>
      <vt:variant>
        <vt:i4>1441851</vt:i4>
      </vt:variant>
      <vt:variant>
        <vt:i4>363</vt:i4>
      </vt:variant>
      <vt:variant>
        <vt:i4>0</vt:i4>
      </vt:variant>
      <vt:variant>
        <vt:i4>5</vt:i4>
      </vt:variant>
      <vt:variant>
        <vt:lpwstr>mailto:klefloch@air.org</vt:lpwstr>
      </vt:variant>
      <vt:variant>
        <vt:lpwstr/>
      </vt:variant>
      <vt:variant>
        <vt:i4>1900596</vt:i4>
      </vt:variant>
      <vt:variant>
        <vt:i4>360</vt:i4>
      </vt:variant>
      <vt:variant>
        <vt:i4>0</vt:i4>
      </vt:variant>
      <vt:variant>
        <vt:i4>5</vt:i4>
      </vt:variant>
      <vt:variant>
        <vt:lpwstr>mailto:IRBChair@air.org</vt:lpwstr>
      </vt:variant>
      <vt:variant>
        <vt:lpwstr/>
      </vt:variant>
      <vt:variant>
        <vt:i4>1441851</vt:i4>
      </vt:variant>
      <vt:variant>
        <vt:i4>357</vt:i4>
      </vt:variant>
      <vt:variant>
        <vt:i4>0</vt:i4>
      </vt:variant>
      <vt:variant>
        <vt:i4>5</vt:i4>
      </vt:variant>
      <vt:variant>
        <vt:lpwstr>mailto:klefloch@air.org</vt:lpwstr>
      </vt:variant>
      <vt:variant>
        <vt:lpwstr/>
      </vt:variant>
      <vt:variant>
        <vt:i4>1900596</vt:i4>
      </vt:variant>
      <vt:variant>
        <vt:i4>354</vt:i4>
      </vt:variant>
      <vt:variant>
        <vt:i4>0</vt:i4>
      </vt:variant>
      <vt:variant>
        <vt:i4>5</vt:i4>
      </vt:variant>
      <vt:variant>
        <vt:lpwstr>mailto:IRBChair@air.org</vt:lpwstr>
      </vt:variant>
      <vt:variant>
        <vt:lpwstr/>
      </vt:variant>
      <vt:variant>
        <vt:i4>1441851</vt:i4>
      </vt:variant>
      <vt:variant>
        <vt:i4>351</vt:i4>
      </vt:variant>
      <vt:variant>
        <vt:i4>0</vt:i4>
      </vt:variant>
      <vt:variant>
        <vt:i4>5</vt:i4>
      </vt:variant>
      <vt:variant>
        <vt:lpwstr>mailto:klefloch@air.org</vt:lpwstr>
      </vt:variant>
      <vt:variant>
        <vt:lpwstr/>
      </vt:variant>
      <vt:variant>
        <vt:i4>1900596</vt:i4>
      </vt:variant>
      <vt:variant>
        <vt:i4>348</vt:i4>
      </vt:variant>
      <vt:variant>
        <vt:i4>0</vt:i4>
      </vt:variant>
      <vt:variant>
        <vt:i4>5</vt:i4>
      </vt:variant>
      <vt:variant>
        <vt:lpwstr>mailto:IRBChair@air.org</vt:lpwstr>
      </vt:variant>
      <vt:variant>
        <vt:lpwstr/>
      </vt:variant>
      <vt:variant>
        <vt:i4>1441851</vt:i4>
      </vt:variant>
      <vt:variant>
        <vt:i4>345</vt:i4>
      </vt:variant>
      <vt:variant>
        <vt:i4>0</vt:i4>
      </vt:variant>
      <vt:variant>
        <vt:i4>5</vt:i4>
      </vt:variant>
      <vt:variant>
        <vt:lpwstr>mailto:klefloch@air.org</vt:lpwstr>
      </vt:variant>
      <vt:variant>
        <vt:lpwstr/>
      </vt:variant>
      <vt:variant>
        <vt:i4>1900596</vt:i4>
      </vt:variant>
      <vt:variant>
        <vt:i4>342</vt:i4>
      </vt:variant>
      <vt:variant>
        <vt:i4>0</vt:i4>
      </vt:variant>
      <vt:variant>
        <vt:i4>5</vt:i4>
      </vt:variant>
      <vt:variant>
        <vt:lpwstr>mailto:IRBChair@air.org</vt:lpwstr>
      </vt:variant>
      <vt:variant>
        <vt:lpwstr/>
      </vt:variant>
      <vt:variant>
        <vt:i4>1441851</vt:i4>
      </vt:variant>
      <vt:variant>
        <vt:i4>339</vt:i4>
      </vt:variant>
      <vt:variant>
        <vt:i4>0</vt:i4>
      </vt:variant>
      <vt:variant>
        <vt:i4>5</vt:i4>
      </vt:variant>
      <vt:variant>
        <vt:lpwstr>mailto:klefloch@air.org</vt:lpwstr>
      </vt:variant>
      <vt:variant>
        <vt:lpwstr/>
      </vt:variant>
      <vt:variant>
        <vt:i4>1900596</vt:i4>
      </vt:variant>
      <vt:variant>
        <vt:i4>336</vt:i4>
      </vt:variant>
      <vt:variant>
        <vt:i4>0</vt:i4>
      </vt:variant>
      <vt:variant>
        <vt:i4>5</vt:i4>
      </vt:variant>
      <vt:variant>
        <vt:lpwstr>mailto:IRBChair@air.org</vt:lpwstr>
      </vt:variant>
      <vt:variant>
        <vt:lpwstr/>
      </vt:variant>
      <vt:variant>
        <vt:i4>1441851</vt:i4>
      </vt:variant>
      <vt:variant>
        <vt:i4>333</vt:i4>
      </vt:variant>
      <vt:variant>
        <vt:i4>0</vt:i4>
      </vt:variant>
      <vt:variant>
        <vt:i4>5</vt:i4>
      </vt:variant>
      <vt:variant>
        <vt:lpwstr>mailto:klefloch@air.org</vt:lpwstr>
      </vt:variant>
      <vt:variant>
        <vt:lpwstr/>
      </vt:variant>
      <vt:variant>
        <vt:i4>1900596</vt:i4>
      </vt:variant>
      <vt:variant>
        <vt:i4>330</vt:i4>
      </vt:variant>
      <vt:variant>
        <vt:i4>0</vt:i4>
      </vt:variant>
      <vt:variant>
        <vt:i4>5</vt:i4>
      </vt:variant>
      <vt:variant>
        <vt:lpwstr>mailto:IRBChair@air.org</vt:lpwstr>
      </vt:variant>
      <vt:variant>
        <vt:lpwstr/>
      </vt:variant>
      <vt:variant>
        <vt:i4>1441851</vt:i4>
      </vt:variant>
      <vt:variant>
        <vt:i4>327</vt:i4>
      </vt:variant>
      <vt:variant>
        <vt:i4>0</vt:i4>
      </vt:variant>
      <vt:variant>
        <vt:i4>5</vt:i4>
      </vt:variant>
      <vt:variant>
        <vt:lpwstr>mailto:klefloch@air.org</vt:lpwstr>
      </vt:variant>
      <vt:variant>
        <vt:lpwstr/>
      </vt:variant>
      <vt:variant>
        <vt:i4>1048627</vt:i4>
      </vt:variant>
      <vt:variant>
        <vt:i4>317</vt:i4>
      </vt:variant>
      <vt:variant>
        <vt:i4>0</vt:i4>
      </vt:variant>
      <vt:variant>
        <vt:i4>5</vt:i4>
      </vt:variant>
      <vt:variant>
        <vt:lpwstr/>
      </vt:variant>
      <vt:variant>
        <vt:lpwstr>_Toc255306473</vt:lpwstr>
      </vt:variant>
      <vt:variant>
        <vt:i4>1048627</vt:i4>
      </vt:variant>
      <vt:variant>
        <vt:i4>311</vt:i4>
      </vt:variant>
      <vt:variant>
        <vt:i4>0</vt:i4>
      </vt:variant>
      <vt:variant>
        <vt:i4>5</vt:i4>
      </vt:variant>
      <vt:variant>
        <vt:lpwstr/>
      </vt:variant>
      <vt:variant>
        <vt:lpwstr>_Toc255306472</vt:lpwstr>
      </vt:variant>
      <vt:variant>
        <vt:i4>1048627</vt:i4>
      </vt:variant>
      <vt:variant>
        <vt:i4>305</vt:i4>
      </vt:variant>
      <vt:variant>
        <vt:i4>0</vt:i4>
      </vt:variant>
      <vt:variant>
        <vt:i4>5</vt:i4>
      </vt:variant>
      <vt:variant>
        <vt:lpwstr/>
      </vt:variant>
      <vt:variant>
        <vt:lpwstr>_Toc255306471</vt:lpwstr>
      </vt:variant>
      <vt:variant>
        <vt:i4>1048627</vt:i4>
      </vt:variant>
      <vt:variant>
        <vt:i4>299</vt:i4>
      </vt:variant>
      <vt:variant>
        <vt:i4>0</vt:i4>
      </vt:variant>
      <vt:variant>
        <vt:i4>5</vt:i4>
      </vt:variant>
      <vt:variant>
        <vt:lpwstr/>
      </vt:variant>
      <vt:variant>
        <vt:lpwstr>_Toc255306470</vt:lpwstr>
      </vt:variant>
      <vt:variant>
        <vt:i4>1114163</vt:i4>
      </vt:variant>
      <vt:variant>
        <vt:i4>293</vt:i4>
      </vt:variant>
      <vt:variant>
        <vt:i4>0</vt:i4>
      </vt:variant>
      <vt:variant>
        <vt:i4>5</vt:i4>
      </vt:variant>
      <vt:variant>
        <vt:lpwstr/>
      </vt:variant>
      <vt:variant>
        <vt:lpwstr>_Toc255306469</vt:lpwstr>
      </vt:variant>
      <vt:variant>
        <vt:i4>1114163</vt:i4>
      </vt:variant>
      <vt:variant>
        <vt:i4>287</vt:i4>
      </vt:variant>
      <vt:variant>
        <vt:i4>0</vt:i4>
      </vt:variant>
      <vt:variant>
        <vt:i4>5</vt:i4>
      </vt:variant>
      <vt:variant>
        <vt:lpwstr/>
      </vt:variant>
      <vt:variant>
        <vt:lpwstr>_Toc255306468</vt:lpwstr>
      </vt:variant>
      <vt:variant>
        <vt:i4>1114163</vt:i4>
      </vt:variant>
      <vt:variant>
        <vt:i4>281</vt:i4>
      </vt:variant>
      <vt:variant>
        <vt:i4>0</vt:i4>
      </vt:variant>
      <vt:variant>
        <vt:i4>5</vt:i4>
      </vt:variant>
      <vt:variant>
        <vt:lpwstr/>
      </vt:variant>
      <vt:variant>
        <vt:lpwstr>_Toc255306467</vt:lpwstr>
      </vt:variant>
      <vt:variant>
        <vt:i4>1114163</vt:i4>
      </vt:variant>
      <vt:variant>
        <vt:i4>275</vt:i4>
      </vt:variant>
      <vt:variant>
        <vt:i4>0</vt:i4>
      </vt:variant>
      <vt:variant>
        <vt:i4>5</vt:i4>
      </vt:variant>
      <vt:variant>
        <vt:lpwstr/>
      </vt:variant>
      <vt:variant>
        <vt:lpwstr>_Toc255306466</vt:lpwstr>
      </vt:variant>
      <vt:variant>
        <vt:i4>1114163</vt:i4>
      </vt:variant>
      <vt:variant>
        <vt:i4>269</vt:i4>
      </vt:variant>
      <vt:variant>
        <vt:i4>0</vt:i4>
      </vt:variant>
      <vt:variant>
        <vt:i4>5</vt:i4>
      </vt:variant>
      <vt:variant>
        <vt:lpwstr/>
      </vt:variant>
      <vt:variant>
        <vt:lpwstr>_Toc255306465</vt:lpwstr>
      </vt:variant>
      <vt:variant>
        <vt:i4>1114163</vt:i4>
      </vt:variant>
      <vt:variant>
        <vt:i4>263</vt:i4>
      </vt:variant>
      <vt:variant>
        <vt:i4>0</vt:i4>
      </vt:variant>
      <vt:variant>
        <vt:i4>5</vt:i4>
      </vt:variant>
      <vt:variant>
        <vt:lpwstr/>
      </vt:variant>
      <vt:variant>
        <vt:lpwstr>_Toc255306464</vt:lpwstr>
      </vt:variant>
      <vt:variant>
        <vt:i4>1114163</vt:i4>
      </vt:variant>
      <vt:variant>
        <vt:i4>257</vt:i4>
      </vt:variant>
      <vt:variant>
        <vt:i4>0</vt:i4>
      </vt:variant>
      <vt:variant>
        <vt:i4>5</vt:i4>
      </vt:variant>
      <vt:variant>
        <vt:lpwstr/>
      </vt:variant>
      <vt:variant>
        <vt:lpwstr>_Toc255306463</vt:lpwstr>
      </vt:variant>
      <vt:variant>
        <vt:i4>1769529</vt:i4>
      </vt:variant>
      <vt:variant>
        <vt:i4>248</vt:i4>
      </vt:variant>
      <vt:variant>
        <vt:i4>0</vt:i4>
      </vt:variant>
      <vt:variant>
        <vt:i4>5</vt:i4>
      </vt:variant>
      <vt:variant>
        <vt:lpwstr/>
      </vt:variant>
      <vt:variant>
        <vt:lpwstr>_Toc255299725</vt:lpwstr>
      </vt:variant>
      <vt:variant>
        <vt:i4>1769529</vt:i4>
      </vt:variant>
      <vt:variant>
        <vt:i4>242</vt:i4>
      </vt:variant>
      <vt:variant>
        <vt:i4>0</vt:i4>
      </vt:variant>
      <vt:variant>
        <vt:i4>5</vt:i4>
      </vt:variant>
      <vt:variant>
        <vt:lpwstr/>
      </vt:variant>
      <vt:variant>
        <vt:lpwstr>_Toc255299724</vt:lpwstr>
      </vt:variant>
      <vt:variant>
        <vt:i4>1769529</vt:i4>
      </vt:variant>
      <vt:variant>
        <vt:i4>236</vt:i4>
      </vt:variant>
      <vt:variant>
        <vt:i4>0</vt:i4>
      </vt:variant>
      <vt:variant>
        <vt:i4>5</vt:i4>
      </vt:variant>
      <vt:variant>
        <vt:lpwstr/>
      </vt:variant>
      <vt:variant>
        <vt:lpwstr>_Toc255299723</vt:lpwstr>
      </vt:variant>
      <vt:variant>
        <vt:i4>1769529</vt:i4>
      </vt:variant>
      <vt:variant>
        <vt:i4>230</vt:i4>
      </vt:variant>
      <vt:variant>
        <vt:i4>0</vt:i4>
      </vt:variant>
      <vt:variant>
        <vt:i4>5</vt:i4>
      </vt:variant>
      <vt:variant>
        <vt:lpwstr/>
      </vt:variant>
      <vt:variant>
        <vt:lpwstr>_Toc255299722</vt:lpwstr>
      </vt:variant>
      <vt:variant>
        <vt:i4>1769529</vt:i4>
      </vt:variant>
      <vt:variant>
        <vt:i4>224</vt:i4>
      </vt:variant>
      <vt:variant>
        <vt:i4>0</vt:i4>
      </vt:variant>
      <vt:variant>
        <vt:i4>5</vt:i4>
      </vt:variant>
      <vt:variant>
        <vt:lpwstr/>
      </vt:variant>
      <vt:variant>
        <vt:lpwstr>_Toc255299721</vt:lpwstr>
      </vt:variant>
      <vt:variant>
        <vt:i4>1769529</vt:i4>
      </vt:variant>
      <vt:variant>
        <vt:i4>218</vt:i4>
      </vt:variant>
      <vt:variant>
        <vt:i4>0</vt:i4>
      </vt:variant>
      <vt:variant>
        <vt:i4>5</vt:i4>
      </vt:variant>
      <vt:variant>
        <vt:lpwstr/>
      </vt:variant>
      <vt:variant>
        <vt:lpwstr>_Toc255299720</vt:lpwstr>
      </vt:variant>
      <vt:variant>
        <vt:i4>1572921</vt:i4>
      </vt:variant>
      <vt:variant>
        <vt:i4>212</vt:i4>
      </vt:variant>
      <vt:variant>
        <vt:i4>0</vt:i4>
      </vt:variant>
      <vt:variant>
        <vt:i4>5</vt:i4>
      </vt:variant>
      <vt:variant>
        <vt:lpwstr/>
      </vt:variant>
      <vt:variant>
        <vt:lpwstr>_Toc255299719</vt:lpwstr>
      </vt:variant>
      <vt:variant>
        <vt:i4>1572921</vt:i4>
      </vt:variant>
      <vt:variant>
        <vt:i4>206</vt:i4>
      </vt:variant>
      <vt:variant>
        <vt:i4>0</vt:i4>
      </vt:variant>
      <vt:variant>
        <vt:i4>5</vt:i4>
      </vt:variant>
      <vt:variant>
        <vt:lpwstr/>
      </vt:variant>
      <vt:variant>
        <vt:lpwstr>_Toc255299718</vt:lpwstr>
      </vt:variant>
      <vt:variant>
        <vt:i4>1572921</vt:i4>
      </vt:variant>
      <vt:variant>
        <vt:i4>200</vt:i4>
      </vt:variant>
      <vt:variant>
        <vt:i4>0</vt:i4>
      </vt:variant>
      <vt:variant>
        <vt:i4>5</vt:i4>
      </vt:variant>
      <vt:variant>
        <vt:lpwstr/>
      </vt:variant>
      <vt:variant>
        <vt:lpwstr>_Toc255299717</vt:lpwstr>
      </vt:variant>
      <vt:variant>
        <vt:i4>1572921</vt:i4>
      </vt:variant>
      <vt:variant>
        <vt:i4>194</vt:i4>
      </vt:variant>
      <vt:variant>
        <vt:i4>0</vt:i4>
      </vt:variant>
      <vt:variant>
        <vt:i4>5</vt:i4>
      </vt:variant>
      <vt:variant>
        <vt:lpwstr/>
      </vt:variant>
      <vt:variant>
        <vt:lpwstr>_Toc255299716</vt:lpwstr>
      </vt:variant>
      <vt:variant>
        <vt:i4>1572921</vt:i4>
      </vt:variant>
      <vt:variant>
        <vt:i4>188</vt:i4>
      </vt:variant>
      <vt:variant>
        <vt:i4>0</vt:i4>
      </vt:variant>
      <vt:variant>
        <vt:i4>5</vt:i4>
      </vt:variant>
      <vt:variant>
        <vt:lpwstr/>
      </vt:variant>
      <vt:variant>
        <vt:lpwstr>_Toc255299715</vt:lpwstr>
      </vt:variant>
      <vt:variant>
        <vt:i4>1572921</vt:i4>
      </vt:variant>
      <vt:variant>
        <vt:i4>182</vt:i4>
      </vt:variant>
      <vt:variant>
        <vt:i4>0</vt:i4>
      </vt:variant>
      <vt:variant>
        <vt:i4>5</vt:i4>
      </vt:variant>
      <vt:variant>
        <vt:lpwstr/>
      </vt:variant>
      <vt:variant>
        <vt:lpwstr>_Toc255299714</vt:lpwstr>
      </vt:variant>
      <vt:variant>
        <vt:i4>1572921</vt:i4>
      </vt:variant>
      <vt:variant>
        <vt:i4>176</vt:i4>
      </vt:variant>
      <vt:variant>
        <vt:i4>0</vt:i4>
      </vt:variant>
      <vt:variant>
        <vt:i4>5</vt:i4>
      </vt:variant>
      <vt:variant>
        <vt:lpwstr/>
      </vt:variant>
      <vt:variant>
        <vt:lpwstr>_Toc255299713</vt:lpwstr>
      </vt:variant>
      <vt:variant>
        <vt:i4>1572921</vt:i4>
      </vt:variant>
      <vt:variant>
        <vt:i4>170</vt:i4>
      </vt:variant>
      <vt:variant>
        <vt:i4>0</vt:i4>
      </vt:variant>
      <vt:variant>
        <vt:i4>5</vt:i4>
      </vt:variant>
      <vt:variant>
        <vt:lpwstr/>
      </vt:variant>
      <vt:variant>
        <vt:lpwstr>_Toc255299712</vt:lpwstr>
      </vt:variant>
      <vt:variant>
        <vt:i4>1572921</vt:i4>
      </vt:variant>
      <vt:variant>
        <vt:i4>164</vt:i4>
      </vt:variant>
      <vt:variant>
        <vt:i4>0</vt:i4>
      </vt:variant>
      <vt:variant>
        <vt:i4>5</vt:i4>
      </vt:variant>
      <vt:variant>
        <vt:lpwstr/>
      </vt:variant>
      <vt:variant>
        <vt:lpwstr>_Toc255299711</vt:lpwstr>
      </vt:variant>
      <vt:variant>
        <vt:i4>1572921</vt:i4>
      </vt:variant>
      <vt:variant>
        <vt:i4>158</vt:i4>
      </vt:variant>
      <vt:variant>
        <vt:i4>0</vt:i4>
      </vt:variant>
      <vt:variant>
        <vt:i4>5</vt:i4>
      </vt:variant>
      <vt:variant>
        <vt:lpwstr/>
      </vt:variant>
      <vt:variant>
        <vt:lpwstr>_Toc255299710</vt:lpwstr>
      </vt:variant>
      <vt:variant>
        <vt:i4>1638457</vt:i4>
      </vt:variant>
      <vt:variant>
        <vt:i4>152</vt:i4>
      </vt:variant>
      <vt:variant>
        <vt:i4>0</vt:i4>
      </vt:variant>
      <vt:variant>
        <vt:i4>5</vt:i4>
      </vt:variant>
      <vt:variant>
        <vt:lpwstr/>
      </vt:variant>
      <vt:variant>
        <vt:lpwstr>_Toc255299709</vt:lpwstr>
      </vt:variant>
      <vt:variant>
        <vt:i4>1638457</vt:i4>
      </vt:variant>
      <vt:variant>
        <vt:i4>146</vt:i4>
      </vt:variant>
      <vt:variant>
        <vt:i4>0</vt:i4>
      </vt:variant>
      <vt:variant>
        <vt:i4>5</vt:i4>
      </vt:variant>
      <vt:variant>
        <vt:lpwstr/>
      </vt:variant>
      <vt:variant>
        <vt:lpwstr>_Toc255299708</vt:lpwstr>
      </vt:variant>
      <vt:variant>
        <vt:i4>1638457</vt:i4>
      </vt:variant>
      <vt:variant>
        <vt:i4>140</vt:i4>
      </vt:variant>
      <vt:variant>
        <vt:i4>0</vt:i4>
      </vt:variant>
      <vt:variant>
        <vt:i4>5</vt:i4>
      </vt:variant>
      <vt:variant>
        <vt:lpwstr/>
      </vt:variant>
      <vt:variant>
        <vt:lpwstr>_Toc255299707</vt:lpwstr>
      </vt:variant>
      <vt:variant>
        <vt:i4>1638457</vt:i4>
      </vt:variant>
      <vt:variant>
        <vt:i4>134</vt:i4>
      </vt:variant>
      <vt:variant>
        <vt:i4>0</vt:i4>
      </vt:variant>
      <vt:variant>
        <vt:i4>5</vt:i4>
      </vt:variant>
      <vt:variant>
        <vt:lpwstr/>
      </vt:variant>
      <vt:variant>
        <vt:lpwstr>_Toc255299706</vt:lpwstr>
      </vt:variant>
      <vt:variant>
        <vt:i4>1638457</vt:i4>
      </vt:variant>
      <vt:variant>
        <vt:i4>128</vt:i4>
      </vt:variant>
      <vt:variant>
        <vt:i4>0</vt:i4>
      </vt:variant>
      <vt:variant>
        <vt:i4>5</vt:i4>
      </vt:variant>
      <vt:variant>
        <vt:lpwstr/>
      </vt:variant>
      <vt:variant>
        <vt:lpwstr>_Toc255299705</vt:lpwstr>
      </vt:variant>
      <vt:variant>
        <vt:i4>1638457</vt:i4>
      </vt:variant>
      <vt:variant>
        <vt:i4>122</vt:i4>
      </vt:variant>
      <vt:variant>
        <vt:i4>0</vt:i4>
      </vt:variant>
      <vt:variant>
        <vt:i4>5</vt:i4>
      </vt:variant>
      <vt:variant>
        <vt:lpwstr/>
      </vt:variant>
      <vt:variant>
        <vt:lpwstr>_Toc255299704</vt:lpwstr>
      </vt:variant>
      <vt:variant>
        <vt:i4>1638457</vt:i4>
      </vt:variant>
      <vt:variant>
        <vt:i4>116</vt:i4>
      </vt:variant>
      <vt:variant>
        <vt:i4>0</vt:i4>
      </vt:variant>
      <vt:variant>
        <vt:i4>5</vt:i4>
      </vt:variant>
      <vt:variant>
        <vt:lpwstr/>
      </vt:variant>
      <vt:variant>
        <vt:lpwstr>_Toc255299703</vt:lpwstr>
      </vt:variant>
      <vt:variant>
        <vt:i4>1638457</vt:i4>
      </vt:variant>
      <vt:variant>
        <vt:i4>110</vt:i4>
      </vt:variant>
      <vt:variant>
        <vt:i4>0</vt:i4>
      </vt:variant>
      <vt:variant>
        <vt:i4>5</vt:i4>
      </vt:variant>
      <vt:variant>
        <vt:lpwstr/>
      </vt:variant>
      <vt:variant>
        <vt:lpwstr>_Toc255299702</vt:lpwstr>
      </vt:variant>
      <vt:variant>
        <vt:i4>1638457</vt:i4>
      </vt:variant>
      <vt:variant>
        <vt:i4>104</vt:i4>
      </vt:variant>
      <vt:variant>
        <vt:i4>0</vt:i4>
      </vt:variant>
      <vt:variant>
        <vt:i4>5</vt:i4>
      </vt:variant>
      <vt:variant>
        <vt:lpwstr/>
      </vt:variant>
      <vt:variant>
        <vt:lpwstr>_Toc255299701</vt:lpwstr>
      </vt:variant>
      <vt:variant>
        <vt:i4>1638457</vt:i4>
      </vt:variant>
      <vt:variant>
        <vt:i4>98</vt:i4>
      </vt:variant>
      <vt:variant>
        <vt:i4>0</vt:i4>
      </vt:variant>
      <vt:variant>
        <vt:i4>5</vt:i4>
      </vt:variant>
      <vt:variant>
        <vt:lpwstr/>
      </vt:variant>
      <vt:variant>
        <vt:lpwstr>_Toc255299700</vt:lpwstr>
      </vt:variant>
      <vt:variant>
        <vt:i4>1048632</vt:i4>
      </vt:variant>
      <vt:variant>
        <vt:i4>92</vt:i4>
      </vt:variant>
      <vt:variant>
        <vt:i4>0</vt:i4>
      </vt:variant>
      <vt:variant>
        <vt:i4>5</vt:i4>
      </vt:variant>
      <vt:variant>
        <vt:lpwstr/>
      </vt:variant>
      <vt:variant>
        <vt:lpwstr>_Toc255299699</vt:lpwstr>
      </vt:variant>
      <vt:variant>
        <vt:i4>1048632</vt:i4>
      </vt:variant>
      <vt:variant>
        <vt:i4>86</vt:i4>
      </vt:variant>
      <vt:variant>
        <vt:i4>0</vt:i4>
      </vt:variant>
      <vt:variant>
        <vt:i4>5</vt:i4>
      </vt:variant>
      <vt:variant>
        <vt:lpwstr/>
      </vt:variant>
      <vt:variant>
        <vt:lpwstr>_Toc255299698</vt:lpwstr>
      </vt:variant>
      <vt:variant>
        <vt:i4>1048632</vt:i4>
      </vt:variant>
      <vt:variant>
        <vt:i4>80</vt:i4>
      </vt:variant>
      <vt:variant>
        <vt:i4>0</vt:i4>
      </vt:variant>
      <vt:variant>
        <vt:i4>5</vt:i4>
      </vt:variant>
      <vt:variant>
        <vt:lpwstr/>
      </vt:variant>
      <vt:variant>
        <vt:lpwstr>_Toc255299697</vt:lpwstr>
      </vt:variant>
      <vt:variant>
        <vt:i4>1048632</vt:i4>
      </vt:variant>
      <vt:variant>
        <vt:i4>74</vt:i4>
      </vt:variant>
      <vt:variant>
        <vt:i4>0</vt:i4>
      </vt:variant>
      <vt:variant>
        <vt:i4>5</vt:i4>
      </vt:variant>
      <vt:variant>
        <vt:lpwstr/>
      </vt:variant>
      <vt:variant>
        <vt:lpwstr>_Toc255299696</vt:lpwstr>
      </vt:variant>
      <vt:variant>
        <vt:i4>1048632</vt:i4>
      </vt:variant>
      <vt:variant>
        <vt:i4>68</vt:i4>
      </vt:variant>
      <vt:variant>
        <vt:i4>0</vt:i4>
      </vt:variant>
      <vt:variant>
        <vt:i4>5</vt:i4>
      </vt:variant>
      <vt:variant>
        <vt:lpwstr/>
      </vt:variant>
      <vt:variant>
        <vt:lpwstr>_Toc255299695</vt:lpwstr>
      </vt:variant>
      <vt:variant>
        <vt:i4>1048632</vt:i4>
      </vt:variant>
      <vt:variant>
        <vt:i4>62</vt:i4>
      </vt:variant>
      <vt:variant>
        <vt:i4>0</vt:i4>
      </vt:variant>
      <vt:variant>
        <vt:i4>5</vt:i4>
      </vt:variant>
      <vt:variant>
        <vt:lpwstr/>
      </vt:variant>
      <vt:variant>
        <vt:lpwstr>_Toc255299694</vt:lpwstr>
      </vt:variant>
      <vt:variant>
        <vt:i4>1048632</vt:i4>
      </vt:variant>
      <vt:variant>
        <vt:i4>56</vt:i4>
      </vt:variant>
      <vt:variant>
        <vt:i4>0</vt:i4>
      </vt:variant>
      <vt:variant>
        <vt:i4>5</vt:i4>
      </vt:variant>
      <vt:variant>
        <vt:lpwstr/>
      </vt:variant>
      <vt:variant>
        <vt:lpwstr>_Toc255299693</vt:lpwstr>
      </vt:variant>
      <vt:variant>
        <vt:i4>1048632</vt:i4>
      </vt:variant>
      <vt:variant>
        <vt:i4>50</vt:i4>
      </vt:variant>
      <vt:variant>
        <vt:i4>0</vt:i4>
      </vt:variant>
      <vt:variant>
        <vt:i4>5</vt:i4>
      </vt:variant>
      <vt:variant>
        <vt:lpwstr/>
      </vt:variant>
      <vt:variant>
        <vt:lpwstr>_Toc255299692</vt:lpwstr>
      </vt:variant>
      <vt:variant>
        <vt:i4>1048632</vt:i4>
      </vt:variant>
      <vt:variant>
        <vt:i4>44</vt:i4>
      </vt:variant>
      <vt:variant>
        <vt:i4>0</vt:i4>
      </vt:variant>
      <vt:variant>
        <vt:i4>5</vt:i4>
      </vt:variant>
      <vt:variant>
        <vt:lpwstr/>
      </vt:variant>
      <vt:variant>
        <vt:lpwstr>_Toc255299691</vt:lpwstr>
      </vt:variant>
      <vt:variant>
        <vt:i4>1048632</vt:i4>
      </vt:variant>
      <vt:variant>
        <vt:i4>38</vt:i4>
      </vt:variant>
      <vt:variant>
        <vt:i4>0</vt:i4>
      </vt:variant>
      <vt:variant>
        <vt:i4>5</vt:i4>
      </vt:variant>
      <vt:variant>
        <vt:lpwstr/>
      </vt:variant>
      <vt:variant>
        <vt:lpwstr>_Toc255299690</vt:lpwstr>
      </vt:variant>
      <vt:variant>
        <vt:i4>1114168</vt:i4>
      </vt:variant>
      <vt:variant>
        <vt:i4>32</vt:i4>
      </vt:variant>
      <vt:variant>
        <vt:i4>0</vt:i4>
      </vt:variant>
      <vt:variant>
        <vt:i4>5</vt:i4>
      </vt:variant>
      <vt:variant>
        <vt:lpwstr/>
      </vt:variant>
      <vt:variant>
        <vt:lpwstr>_Toc255299689</vt:lpwstr>
      </vt:variant>
      <vt:variant>
        <vt:i4>1114168</vt:i4>
      </vt:variant>
      <vt:variant>
        <vt:i4>26</vt:i4>
      </vt:variant>
      <vt:variant>
        <vt:i4>0</vt:i4>
      </vt:variant>
      <vt:variant>
        <vt:i4>5</vt:i4>
      </vt:variant>
      <vt:variant>
        <vt:lpwstr/>
      </vt:variant>
      <vt:variant>
        <vt:lpwstr>_Toc255299688</vt:lpwstr>
      </vt:variant>
      <vt:variant>
        <vt:i4>1114168</vt:i4>
      </vt:variant>
      <vt:variant>
        <vt:i4>20</vt:i4>
      </vt:variant>
      <vt:variant>
        <vt:i4>0</vt:i4>
      </vt:variant>
      <vt:variant>
        <vt:i4>5</vt:i4>
      </vt:variant>
      <vt:variant>
        <vt:lpwstr/>
      </vt:variant>
      <vt:variant>
        <vt:lpwstr>_Toc255299687</vt:lpwstr>
      </vt:variant>
      <vt:variant>
        <vt:i4>1114168</vt:i4>
      </vt:variant>
      <vt:variant>
        <vt:i4>14</vt:i4>
      </vt:variant>
      <vt:variant>
        <vt:i4>0</vt:i4>
      </vt:variant>
      <vt:variant>
        <vt:i4>5</vt:i4>
      </vt:variant>
      <vt:variant>
        <vt:lpwstr/>
      </vt:variant>
      <vt:variant>
        <vt:lpwstr>_Toc255299686</vt:lpwstr>
      </vt:variant>
      <vt:variant>
        <vt:i4>1114168</vt:i4>
      </vt:variant>
      <vt:variant>
        <vt:i4>8</vt:i4>
      </vt:variant>
      <vt:variant>
        <vt:i4>0</vt:i4>
      </vt:variant>
      <vt:variant>
        <vt:i4>5</vt:i4>
      </vt:variant>
      <vt:variant>
        <vt:lpwstr/>
      </vt:variant>
      <vt:variant>
        <vt:lpwstr>_Toc255299685</vt:lpwstr>
      </vt:variant>
      <vt:variant>
        <vt:i4>1114168</vt:i4>
      </vt:variant>
      <vt:variant>
        <vt:i4>2</vt:i4>
      </vt:variant>
      <vt:variant>
        <vt:i4>0</vt:i4>
      </vt:variant>
      <vt:variant>
        <vt:i4>5</vt:i4>
      </vt:variant>
      <vt:variant>
        <vt:lpwstr/>
      </vt:variant>
      <vt:variant>
        <vt:lpwstr>_Toc255299684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Part B</dc:title>
  <dc:creator>American Institutes for Research</dc:creator>
  <cp:lastModifiedBy>J. Oliver Schak</cp:lastModifiedBy>
  <cp:revision>3</cp:revision>
  <cp:lastPrinted>2017-03-30T16:08:00Z</cp:lastPrinted>
  <dcterms:created xsi:type="dcterms:W3CDTF">2017-06-22T19:52:00Z</dcterms:created>
  <dcterms:modified xsi:type="dcterms:W3CDTF">2017-06-22T21:19:00Z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0x01010029B8571C8B60CC46BC9BE39E1E5B0697</vt:lpwstr>
  </property>
</Properties>
</file>