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bookmarkStart w:id="0" w:name="_GoBack"/>
      <w:bookmarkEnd w:id="0"/>
    </w:p>
    <w:p w:rsidR="003A234A" w:rsidRDefault="00717EAB" w:rsidP="00717EAB">
      <w:pPr>
        <w:pStyle w:val="Heading1"/>
      </w:pPr>
      <w:r>
        <w:t>Supporting Statement</w:t>
      </w:r>
    </w:p>
    <w:p w:rsidR="002F60E8" w:rsidRPr="002F60E8" w:rsidRDefault="002F60E8" w:rsidP="002F60E8">
      <w:pPr>
        <w:rPr>
          <w:b/>
        </w:rPr>
      </w:pPr>
      <w:r w:rsidRPr="002F60E8">
        <w:rPr>
          <w:b/>
        </w:rPr>
        <w:t>OMB Number 1530-0036</w:t>
      </w:r>
    </w:p>
    <w:p w:rsidR="005B532F" w:rsidRPr="008C4DA0" w:rsidRDefault="003B0D8A" w:rsidP="005B532F">
      <w:pPr>
        <w:pStyle w:val="Heading1"/>
        <w:tabs>
          <w:tab w:val="clear" w:pos="3150"/>
        </w:tabs>
        <w:ind w:left="2340" w:hanging="2430"/>
      </w:pPr>
      <w:r>
        <w:t>A.  JUSTIFICATION</w:t>
      </w:r>
      <w:r w:rsidR="006F2E10">
        <w:t xml:space="preserve">: </w:t>
      </w:r>
      <w:r w:rsidR="002F60E8">
        <w:t>FS Form</w:t>
      </w:r>
      <w:r w:rsidR="00CB6FB0">
        <w:t xml:space="preserve"> </w:t>
      </w:r>
      <w:r w:rsidR="0054584A">
        <w:t>1851</w:t>
      </w:r>
      <w:r w:rsidR="0022429F">
        <w:t xml:space="preserve">; </w:t>
      </w:r>
      <w:r w:rsidR="0022429F" w:rsidRPr="0054584A">
        <w:t>“</w:t>
      </w:r>
      <w:r w:rsidR="0054584A" w:rsidRPr="0054584A">
        <w:t xml:space="preserve">Request to </w:t>
      </w:r>
      <w:r w:rsidR="005275CC">
        <w:t>Reissue</w:t>
      </w:r>
      <w:r w:rsidR="005275CC" w:rsidRPr="0054584A">
        <w:t xml:space="preserve"> </w:t>
      </w:r>
      <w:r w:rsidR="0054584A" w:rsidRPr="0054584A">
        <w:t>United States Savings Bonds to a Personal Trust.”</w:t>
      </w:r>
    </w:p>
    <w:p w:rsidR="003B0D8A" w:rsidRDefault="003B0D8A" w:rsidP="003B0D8A">
      <w:pPr>
        <w:rPr>
          <w:b/>
          <w:bCs/>
        </w:rPr>
      </w:pP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E53071" w:rsidRDefault="00936C53" w:rsidP="00936C53">
      <w:pPr>
        <w:tabs>
          <w:tab w:val="left" w:pos="-720"/>
          <w:tab w:val="left" w:pos="0"/>
        </w:tabs>
        <w:suppressAutoHyphens/>
        <w:ind w:left="360"/>
      </w:pPr>
      <w:r>
        <w:t xml:space="preserve">The information is collected to </w:t>
      </w:r>
      <w:r w:rsidR="00E53071">
        <w:t>reissue United States Savings Bonds to a personal trust.</w:t>
      </w:r>
      <w:r w:rsidR="00BF6CDE">
        <w:t xml:space="preserve"> </w:t>
      </w:r>
      <w:r w:rsidR="00975F10" w:rsidRPr="00AB6A41">
        <w:t xml:space="preserve">This information is collected by authority of </w:t>
      </w:r>
      <w:r w:rsidR="00975F10">
        <w:t>31</w:t>
      </w:r>
      <w:r w:rsidR="00BF6CDE">
        <w:t xml:space="preserve"> </w:t>
      </w:r>
      <w:proofErr w:type="spellStart"/>
      <w:r w:rsidR="00BF6CDE">
        <w:t>U.S.C</w:t>
      </w:r>
      <w:proofErr w:type="spellEnd"/>
      <w:r w:rsidR="00BF6CDE">
        <w:t>. 3105</w:t>
      </w:r>
      <w:r w:rsidR="00975F10" w:rsidRPr="00AB6A41">
        <w:t xml:space="preserve">; and 31 </w:t>
      </w:r>
      <w:proofErr w:type="spellStart"/>
      <w:r w:rsidR="00975F10" w:rsidRPr="00AB6A41">
        <w:t>CFR</w:t>
      </w:r>
      <w:proofErr w:type="spellEnd"/>
      <w:r w:rsidR="00975F10" w:rsidRPr="00AB6A41">
        <w:t xml:space="preserve"> Part </w:t>
      </w:r>
      <w:r w:rsidR="00975F10">
        <w:t>353</w:t>
      </w:r>
      <w:r w:rsidR="00975F10" w:rsidRPr="00AB6A41">
        <w:t>.</w:t>
      </w:r>
    </w:p>
    <w:p w:rsidR="000C1C81" w:rsidRPr="009A58A8" w:rsidRDefault="000C1C81" w:rsidP="00E53071"/>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717EAB">
      <w:pPr>
        <w:autoSpaceDE w:val="0"/>
        <w:autoSpaceDN w:val="0"/>
        <w:adjustRightInd w:val="0"/>
        <w:ind w:left="360"/>
      </w:pPr>
      <w:r w:rsidRPr="00371A43">
        <w:rPr>
          <w:color w:val="000000"/>
        </w:rPr>
        <w:t xml:space="preserve">The information on the completed form is used by the Department of the Treasury, Bureau of the </w:t>
      </w:r>
      <w:r w:rsidR="00E831A1">
        <w:rPr>
          <w:color w:val="000000"/>
        </w:rPr>
        <w:t>Fiscal Service</w:t>
      </w:r>
      <w:r w:rsidRPr="00371A43">
        <w:rPr>
          <w:color w:val="000000"/>
        </w:rPr>
        <w:t xml:space="preserve"> </w:t>
      </w:r>
      <w:r w:rsidR="000C1C81" w:rsidRPr="000C1C81">
        <w:t>to iden</w:t>
      </w:r>
      <w:r w:rsidR="00465847">
        <w:t>tify the securities involved</w:t>
      </w:r>
      <w:r w:rsidR="0092488B">
        <w:t xml:space="preserve"> </w:t>
      </w:r>
      <w:r w:rsidR="00465847" w:rsidRPr="00465847">
        <w:t>and to esta</w:t>
      </w:r>
      <w:r w:rsidR="00BA110F">
        <w:t>blish the authority to reissue to a personal trust</w:t>
      </w:r>
      <w:r w:rsidR="00465847" w:rsidRPr="00465847">
        <w:t>.</w:t>
      </w:r>
      <w:r w:rsidR="00465847">
        <w:rPr>
          <w:rFonts w:ascii="Courier New" w:hAnsi="Courier New" w:cs="Courier New"/>
        </w:rPr>
        <w:t xml:space="preserve"> </w:t>
      </w:r>
      <w:r w:rsidR="000C1C81" w:rsidRPr="000C1C81">
        <w:t xml:space="preserve">Without the information, the </w:t>
      </w:r>
      <w:r w:rsidR="0092488B">
        <w:t>t</w:t>
      </w:r>
      <w:r w:rsidR="00B9221F">
        <w:t>ransaction cannot be completed.</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00E831A1">
        <w:t>Fiscal Service</w:t>
      </w:r>
      <w:r w:rsidRPr="00E24781">
        <w:t xml:space="preserve">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E831A1" w:rsidRDefault="00E831A1" w:rsidP="002D67B2">
      <w:pPr>
        <w:ind w:left="360"/>
      </w:pPr>
      <w:r>
        <w:t>The information from the form is collected for a single purpose</w:t>
      </w:r>
      <w:r w:rsidR="005275CC">
        <w:t xml:space="preserve">: </w:t>
      </w:r>
      <w:r>
        <w:t xml:space="preserve"> </w:t>
      </w:r>
      <w:r w:rsidR="002D67B2">
        <w:t>to reissue United States Savings Bonds to a personal trust</w:t>
      </w:r>
      <w:r>
        <w:t>. No other federal governmental agency collects this type of information, therefore, no duplication exists.</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2D67B2" w:rsidRDefault="002D67B2" w:rsidP="002D67B2">
      <w:pPr>
        <w:tabs>
          <w:tab w:val="left" w:pos="360"/>
        </w:tabs>
        <w:ind w:left="360"/>
        <w:rPr>
          <w:bCs/>
        </w:rPr>
      </w:pPr>
      <w:r>
        <w:rPr>
          <w:color w:val="000000"/>
        </w:rPr>
        <w:t>Information requested on the form is voluntary, however, without the use of this form, the Bureau of the Fiscal Service and its agents would not have the ability to reissue securities and identify owners and their accounts.</w:t>
      </w:r>
    </w:p>
    <w:p w:rsidR="003B0D8A" w:rsidRDefault="003B0D8A" w:rsidP="003B0D8A">
      <w:pPr>
        <w:rPr>
          <w:b/>
          <w:bCs/>
        </w:rPr>
      </w:pPr>
    </w:p>
    <w:p w:rsidR="003B0D8A" w:rsidRDefault="003579BB" w:rsidP="003B0D8A">
      <w:pPr>
        <w:rPr>
          <w:b/>
          <w:bCs/>
        </w:rPr>
      </w:pPr>
      <w:r>
        <w:rPr>
          <w:b/>
          <w:bCs/>
        </w:rPr>
        <w:t xml:space="preserve">7.  </w:t>
      </w:r>
      <w:r w:rsidR="003B0D8A">
        <w:rPr>
          <w:b/>
          <w:bCs/>
        </w:rPr>
        <w:t xml:space="preserve">Is this collection of information conducted in a manner consistent with the guidelines of 5 </w:t>
      </w:r>
      <w:proofErr w:type="spellStart"/>
      <w:r w:rsidR="003B0D8A">
        <w:rPr>
          <w:b/>
          <w:bCs/>
        </w:rPr>
        <w:t>CFR</w:t>
      </w:r>
      <w:proofErr w:type="spellEnd"/>
      <w:r w:rsidR="003B0D8A">
        <w:rPr>
          <w:b/>
          <w:bCs/>
        </w:rPr>
        <w:t xml:space="preserve">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w:t>
      </w:r>
      <w:r w:rsidRPr="005275CC">
        <w:rPr>
          <w:i/>
        </w:rPr>
        <w:t>Federal Register</w:t>
      </w:r>
      <w:r>
        <w:t xml:space="preserve"> on </w:t>
      </w:r>
      <w:r w:rsidR="002D67B2">
        <w:t>March 8, 2016</w:t>
      </w:r>
      <w:r>
        <w:t xml:space="preserve">, page </w:t>
      </w:r>
      <w:r w:rsidR="00373B5F">
        <w:t>12200</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 xml:space="preserve">What decision was made to provide any payment or gift to respondents, other than </w:t>
      </w:r>
      <w:proofErr w:type="spellStart"/>
      <w:r w:rsidR="003B0D8A">
        <w:rPr>
          <w:b/>
          <w:bCs/>
        </w:rPr>
        <w:t>reenumeration</w:t>
      </w:r>
      <w:proofErr w:type="spellEnd"/>
      <w:r w:rsidR="003B0D8A">
        <w:rPr>
          <w:b/>
          <w:bCs/>
        </w:rPr>
        <w:t xml:space="preserve"> of contractors or grantees?</w:t>
      </w:r>
    </w:p>
    <w:p w:rsidR="00593248" w:rsidRPr="00593248" w:rsidRDefault="00373B5F" w:rsidP="004C18DD">
      <w:pPr>
        <w:ind w:left="360"/>
        <w:rPr>
          <w:bCs/>
        </w:rPr>
      </w:pPr>
      <w:r w:rsidRPr="00EE524C">
        <w:t>There are no payments or gifts made to respondents.</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373B5F" w:rsidRPr="008C2624" w:rsidRDefault="00373B5F" w:rsidP="00373B5F">
      <w:pPr>
        <w:ind w:left="360"/>
        <w:rPr>
          <w:b/>
          <w:bCs/>
        </w:rPr>
      </w:pPr>
      <w:r>
        <w:t>In accordance with the Privacy Act of 1974, information furnished by the public will be kept confidential to the extent permitted by law.</w:t>
      </w:r>
    </w:p>
    <w:p w:rsidR="003B0D8A" w:rsidRDefault="003B0D8A" w:rsidP="00373B5F">
      <w:pPr>
        <w:ind w:left="360"/>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C266E0" w:rsidRDefault="002F60E8" w:rsidP="00C266E0">
      <w:pPr>
        <w:ind w:left="360"/>
        <w:rPr>
          <w:bCs/>
        </w:rPr>
      </w:pPr>
      <w:r>
        <w:rPr>
          <w:bCs/>
        </w:rPr>
        <w:t>There are no questions of a sensitive nature. Personally identifiable information (</w:t>
      </w:r>
      <w:proofErr w:type="spellStart"/>
      <w:r>
        <w:rPr>
          <w:bCs/>
        </w:rPr>
        <w:t>PII</w:t>
      </w:r>
      <w:proofErr w:type="spellEnd"/>
      <w:r>
        <w:rPr>
          <w:bCs/>
        </w:rPr>
        <w:t xml:space="preserve">) collected on this form such as name, and social security number, is necessary </w:t>
      </w:r>
      <w:r w:rsidRPr="00DF659B">
        <w:t>to support a</w:t>
      </w:r>
      <w:r>
        <w:t xml:space="preserve"> request for payment or reissue.</w:t>
      </w:r>
      <w:r>
        <w:rPr>
          <w:bCs/>
        </w:rPr>
        <w:t xml:space="preserve"> An </w:t>
      </w:r>
      <w:r>
        <w:t>applicable System of Records Notice for this information was published August 17, 2011. System of Records Name: Treasury/BPD.002 – United States Savings-Type Securities</w:t>
      </w:r>
      <w:r>
        <w:rPr>
          <w:bCs/>
        </w:rPr>
        <w:t>.</w:t>
      </w:r>
    </w:p>
    <w:p w:rsidR="00C266E0" w:rsidRDefault="00C266E0" w:rsidP="00C266E0">
      <w:pPr>
        <w:ind w:left="360"/>
        <w:rPr>
          <w:bCs/>
        </w:rPr>
      </w:pPr>
    </w:p>
    <w:p w:rsidR="00567D20" w:rsidRPr="00C266E0" w:rsidRDefault="00567D20" w:rsidP="00C266E0">
      <w:pPr>
        <w:ind w:left="360"/>
        <w:rPr>
          <w:bCs/>
        </w:rPr>
      </w:pPr>
      <w:r w:rsidRPr="00105A26">
        <w:t>The Bureau of the Fiscal Service conducts a Privacy Impact Assessment (</w:t>
      </w:r>
      <w:proofErr w:type="spellStart"/>
      <w:r w:rsidRPr="00105A26">
        <w:t>PIA</w:t>
      </w:r>
      <w:proofErr w:type="spellEnd"/>
      <w:r w:rsidRPr="00105A26">
        <w:t xml:space="preserve">) on information systems collecting personally identifiable information from the public. We do </w:t>
      </w:r>
      <w:proofErr w:type="spellStart"/>
      <w:r w:rsidRPr="00105A26">
        <w:t>PIAs</w:t>
      </w:r>
      <w:proofErr w:type="spellEnd"/>
      <w:r w:rsidRPr="00105A26">
        <w:t xml:space="preserve"> to ensure that:</w:t>
      </w:r>
    </w:p>
    <w:p w:rsidR="00567D20" w:rsidRPr="00105A26" w:rsidRDefault="00567D20" w:rsidP="00567D20">
      <w:pPr>
        <w:numPr>
          <w:ilvl w:val="0"/>
          <w:numId w:val="11"/>
        </w:numPr>
        <w:spacing w:after="100" w:afterAutospacing="1"/>
      </w:pPr>
      <w:r w:rsidRPr="00105A26">
        <w:t>we tell the public the information that we collect about them,</w:t>
      </w:r>
    </w:p>
    <w:p w:rsidR="00567D20" w:rsidRPr="00105A26" w:rsidRDefault="00567D20" w:rsidP="00567D20">
      <w:pPr>
        <w:numPr>
          <w:ilvl w:val="0"/>
          <w:numId w:val="11"/>
        </w:numPr>
        <w:spacing w:before="100" w:beforeAutospacing="1" w:after="100" w:afterAutospacing="1"/>
      </w:pPr>
      <w:r w:rsidRPr="00105A26">
        <w:t>we adequately address impacts these systems have on personal privacy,</w:t>
      </w:r>
    </w:p>
    <w:p w:rsidR="00C266E0" w:rsidRDefault="00567D20" w:rsidP="00C266E0">
      <w:pPr>
        <w:numPr>
          <w:ilvl w:val="0"/>
          <w:numId w:val="11"/>
        </w:numPr>
        <w:spacing w:before="100" w:beforeAutospacing="1" w:after="100" w:afterAutospacing="1"/>
      </w:pPr>
      <w:r w:rsidRPr="00105A26">
        <w:t>we collect only enough personal information to administer our programs, and no more</w:t>
      </w:r>
    </w:p>
    <w:p w:rsidR="00C266E0" w:rsidRDefault="00567D20" w:rsidP="00C266E0">
      <w:pPr>
        <w:spacing w:before="100" w:beforeAutospacing="1" w:after="100" w:afterAutospacing="1"/>
        <w:ind w:left="360"/>
      </w:pPr>
      <w:r w:rsidRPr="00105A26">
        <w:t xml:space="preserve">Also, </w:t>
      </w:r>
      <w:proofErr w:type="spellStart"/>
      <w:r w:rsidRPr="00105A26">
        <w:t>PIAs</w:t>
      </w:r>
      <w:proofErr w:type="spellEnd"/>
      <w:r w:rsidRPr="00105A26">
        <w:t xml:space="preserve"> confirm that we use the information for the purpose intended; that the information remains timely and accurate; that it is protected while we have it, and we hold it only for as long as we need it.</w:t>
      </w:r>
    </w:p>
    <w:p w:rsidR="003B0D8A" w:rsidRDefault="00567D20" w:rsidP="00C266E0">
      <w:pPr>
        <w:spacing w:before="100" w:beforeAutospacing="1" w:after="100" w:afterAutospacing="1"/>
        <w:ind w:left="360"/>
        <w:rPr>
          <w:b/>
          <w:bCs/>
        </w:rPr>
      </w:pPr>
      <w:r>
        <w:t xml:space="preserve">The </w:t>
      </w:r>
      <w:proofErr w:type="spellStart"/>
      <w:r>
        <w:t>PIA</w:t>
      </w:r>
      <w:proofErr w:type="spellEnd"/>
      <w:r>
        <w:t xml:space="preserve"> for the </w:t>
      </w:r>
      <w:r w:rsidR="00C266E0">
        <w:t xml:space="preserve">Savings Bond Replacement system is available at </w:t>
      </w:r>
      <w:r w:rsidRPr="00567D20">
        <w:t>https://fiscal.treasury.gov/f</w:t>
      </w:r>
      <w:r w:rsidR="00C266E0">
        <w:t>sreports/rpt/fspia/SaBRe_PIA.pdf</w:t>
      </w: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BA110F">
        <w:t>15</w:t>
      </w:r>
      <w:r w:rsidR="00B572A5">
        <w:t xml:space="preserve"> </w:t>
      </w:r>
      <w:r w:rsidR="00E06DD6" w:rsidRPr="00A37430">
        <w:t>minutes per response multiplied by the estimated number of responses (</w:t>
      </w:r>
      <w:r w:rsidR="00BA110F">
        <w:t>1</w:t>
      </w:r>
      <w:r w:rsidR="00CE7827">
        <w:t>0,6</w:t>
      </w:r>
      <w:r w:rsidR="00BA110F">
        <w:t>00</w:t>
      </w:r>
      <w:r w:rsidR="00E06DD6" w:rsidRPr="00A37430">
        <w:t>) reflects the total burden of</w:t>
      </w:r>
      <w:r w:rsidR="00371A43">
        <w:t xml:space="preserve"> </w:t>
      </w:r>
      <w:r w:rsidR="00CE7827">
        <w:t>2,650</w:t>
      </w:r>
      <w:r w:rsidR="0072099F">
        <w:t xml:space="preserve">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 xml:space="preserve">What is the estimated total annual cost burden to respondents or </w:t>
      </w:r>
      <w:proofErr w:type="spellStart"/>
      <w:r w:rsidR="003B0D8A">
        <w:rPr>
          <w:b/>
          <w:bCs/>
        </w:rPr>
        <w:t>recordkeepers</w:t>
      </w:r>
      <w:proofErr w:type="spellEnd"/>
      <w:r w:rsidR="003B0D8A">
        <w:rPr>
          <w:b/>
          <w:bCs/>
        </w:rPr>
        <w:t xml:space="preserve">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r w:rsidR="00BA110F">
        <w:rPr>
          <w:b/>
          <w:bCs/>
        </w:rPr>
        <w:t xml:space="preserve"> </w:t>
      </w:r>
    </w:p>
    <w:p w:rsidR="00E06DD6" w:rsidRPr="00A37430" w:rsidRDefault="00E06DD6" w:rsidP="002F60E8">
      <w:pPr>
        <w:autoSpaceDE w:val="0"/>
        <w:autoSpaceDN w:val="0"/>
        <w:adjustRightInd w:val="0"/>
        <w:ind w:left="36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lastRenderedPageBreak/>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proofErr w:type="gramStart"/>
      <w:r w:rsidR="00C32384">
        <w:t>1</w:t>
      </w:r>
      <w:r w:rsidR="00CE7827">
        <w:t>0,600</w:t>
      </w:r>
      <w:r w:rsidR="00C32F7B">
        <w:t>@  $</w:t>
      </w:r>
      <w:proofErr w:type="gramEnd"/>
      <w:r w:rsidR="00CE7827">
        <w:t>.05/form</w:t>
      </w:r>
      <w:r w:rsidR="00202CF4">
        <w:t xml:space="preserve">   = $   </w:t>
      </w:r>
      <w:r w:rsidR="00CE7827">
        <w:t>530</w:t>
      </w:r>
      <w:r w:rsidR="006315A9">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CE7827">
        <w:t>1</w:t>
      </w:r>
      <w:r w:rsidR="00C266E0">
        <w:t>0,600@</w:t>
      </w:r>
      <w:r w:rsidR="00CE7827">
        <w:t xml:space="preserve">   1.50/</w:t>
      </w:r>
      <w:proofErr w:type="gramStart"/>
      <w:r w:rsidR="00CE7827">
        <w:t>form  =</w:t>
      </w:r>
      <w:proofErr w:type="gramEnd"/>
      <w:r w:rsidR="00CE7827">
        <w:t xml:space="preserve">  15</w:t>
      </w:r>
      <w:r w:rsidR="00C32F7B">
        <w:t>,</w:t>
      </w:r>
      <w:r w:rsidR="00CE7827">
        <w:t>9</w:t>
      </w:r>
      <w:r w:rsidR="00C32F7B">
        <w:t>00</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004A74FE">
        <w:rPr>
          <w:u w:val="single"/>
        </w:rPr>
        <w:t xml:space="preserve">=     </w:t>
      </w:r>
      <w:r w:rsidR="00396F2C">
        <w:rPr>
          <w:u w:val="single"/>
        </w:rPr>
        <w:t>500</w:t>
      </w:r>
      <w:r w:rsidRPr="00A37430">
        <w:rPr>
          <w:u w:val="single"/>
        </w:rPr>
        <w:t>.</w:t>
      </w:r>
    </w:p>
    <w:p w:rsidR="00BA110F" w:rsidRPr="00C32F7B" w:rsidRDefault="00E06DD6" w:rsidP="00C32F7B">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572871">
        <w:t xml:space="preserve"> </w:t>
      </w:r>
      <w:r w:rsidR="00C32F7B">
        <w:t>1</w:t>
      </w:r>
      <w:r w:rsidR="00CE7827">
        <w:t>6,930</w:t>
      </w:r>
      <w:r w:rsidRPr="00A37430">
        <w:t>.</w:t>
      </w:r>
    </w:p>
    <w:p w:rsidR="003B0D8A" w:rsidRDefault="003B0D8A" w:rsidP="003B0D8A">
      <w:pPr>
        <w:rPr>
          <w:b/>
          <w:bCs/>
        </w:rPr>
      </w:pPr>
      <w:r>
        <w:rPr>
          <w:b/>
          <w:bCs/>
          <w:szCs w:val="26"/>
        </w:rPr>
        <w:tab/>
      </w:r>
    </w:p>
    <w:p w:rsidR="003B0D8A" w:rsidRDefault="003579BB" w:rsidP="003B0D8A">
      <w:pPr>
        <w:rPr>
          <w:b/>
          <w:bCs/>
        </w:rPr>
      </w:pPr>
      <w:r>
        <w:rPr>
          <w:b/>
          <w:bCs/>
        </w:rPr>
        <w:t xml:space="preserve">15.  </w:t>
      </w:r>
      <w:r w:rsidR="003B0D8A">
        <w:rPr>
          <w:b/>
          <w:bCs/>
        </w:rPr>
        <w:t>What is the reason for any program changes or adjust</w:t>
      </w:r>
      <w:r w:rsidR="003A234A">
        <w:rPr>
          <w:b/>
          <w:bCs/>
        </w:rPr>
        <w:t>ments reported</w:t>
      </w:r>
      <w:r w:rsidR="003B0D8A">
        <w:rPr>
          <w:b/>
          <w:bCs/>
        </w:rPr>
        <w:t>?</w:t>
      </w:r>
    </w:p>
    <w:p w:rsidR="00B322C0" w:rsidRDefault="00B732EF" w:rsidP="002F60E8">
      <w:pPr>
        <w:ind w:left="360"/>
      </w:pPr>
      <w:r w:rsidRPr="00C57489">
        <w:t>The</w:t>
      </w:r>
      <w:r w:rsidR="002F60E8">
        <w:t xml:space="preserve"> </w:t>
      </w:r>
      <w:r w:rsidR="00B322C0">
        <w:rPr>
          <w:bCs/>
        </w:rPr>
        <w:t>de</w:t>
      </w:r>
      <w:r w:rsidR="00B322C0" w:rsidRPr="00761099">
        <w:rPr>
          <w:bCs/>
        </w:rPr>
        <w:t xml:space="preserve">crease to the reported burden is due to an examination of forms distributed by the Bureau of the </w:t>
      </w:r>
      <w:r w:rsidR="00B322C0">
        <w:rPr>
          <w:bCs/>
        </w:rPr>
        <w:t>Fiscal Service</w:t>
      </w:r>
      <w:r w:rsidR="00B322C0" w:rsidRPr="00761099">
        <w:rPr>
          <w:bCs/>
        </w:rPr>
        <w:t xml:space="preserve"> </w:t>
      </w:r>
      <w:r w:rsidR="00B322C0">
        <w:rPr>
          <w:bCs/>
        </w:rPr>
        <w:t>or</w:t>
      </w:r>
      <w:r w:rsidR="00B322C0" w:rsidRPr="00761099">
        <w:rPr>
          <w:bCs/>
        </w:rPr>
        <w:t xml:space="preserve"> downloaded from </w:t>
      </w:r>
      <w:r w:rsidR="00B322C0">
        <w:rPr>
          <w:bCs/>
        </w:rPr>
        <w:t xml:space="preserve">the </w:t>
      </w:r>
      <w:proofErr w:type="spellStart"/>
      <w:r w:rsidR="00B322C0">
        <w:rPr>
          <w:bCs/>
        </w:rPr>
        <w:t>TreasuryDirect</w:t>
      </w:r>
      <w:proofErr w:type="spellEnd"/>
      <w:r w:rsidR="00B322C0" w:rsidRPr="00761099">
        <w:rPr>
          <w:bCs/>
        </w:rPr>
        <w:t xml:space="preserve"> website </w:t>
      </w:r>
      <w:r w:rsidR="00B322C0">
        <w:rPr>
          <w:bCs/>
        </w:rPr>
        <w:t>from the time of the previous extension</w:t>
      </w:r>
      <w:r w:rsidR="00B322C0" w:rsidRPr="00761099">
        <w:rPr>
          <w:bCs/>
        </w:rPr>
        <w:t xml:space="preserve">. </w:t>
      </w:r>
      <w:r w:rsidR="00B322C0">
        <w:rPr>
          <w:bCs/>
        </w:rPr>
        <w:t xml:space="preserve">Since December 2012, </w:t>
      </w:r>
      <w:r w:rsidR="00B322C0">
        <w:t>Series EE and I Savings Bonds are only available in electronic form unless a Series I Bond is purchased with a tax refund. The amount of requests to reissue paper bonds is proportionate to the reduced amount of paper bonds issued, thus leading to a decrease in the respondents using FS Form 1851.The decrease of 1</w:t>
      </w:r>
      <w:r w:rsidR="002F60E8">
        <w:t>,850</w:t>
      </w:r>
      <w:r w:rsidR="00B322C0">
        <w:t xml:space="preserve"> hours is an adjustment in agency estimate for </w:t>
      </w:r>
      <w:r w:rsidR="002F60E8">
        <w:t>a total of 2,650</w:t>
      </w:r>
      <w:r w:rsidR="00B322C0">
        <w:t xml:space="preserve"> burden hours requested.</w:t>
      </w:r>
    </w:p>
    <w:p w:rsidR="00B322C0" w:rsidRPr="00B732EF" w:rsidRDefault="00B322C0" w:rsidP="008B0286">
      <w:pPr>
        <w:ind w:left="360"/>
      </w:pPr>
    </w:p>
    <w:p w:rsidR="003A234A" w:rsidRDefault="003A234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2F60E8">
        <w:t>xpiration date on FS Form</w:t>
      </w:r>
      <w:r w:rsidR="00371A43">
        <w:t xml:space="preserve"> </w:t>
      </w:r>
      <w:r w:rsidR="00DC752B">
        <w:t>1</w:t>
      </w:r>
      <w:r w:rsidR="00791282">
        <w:t>851</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6">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0"/>
  </w:num>
  <w:num w:numId="4">
    <w:abstractNumId w:val="2"/>
  </w:num>
  <w:num w:numId="5">
    <w:abstractNumId w:val="7"/>
  </w:num>
  <w:num w:numId="6">
    <w:abstractNumId w:val="3"/>
  </w:num>
  <w:num w:numId="7">
    <w:abstractNumId w:val="10"/>
  </w:num>
  <w:num w:numId="8">
    <w:abstractNumId w:val="5"/>
  </w:num>
  <w:num w:numId="9">
    <w:abstractNumId w:val="6"/>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A39ED"/>
    <w:rsid w:val="000C1C81"/>
    <w:rsid w:val="000D6FF8"/>
    <w:rsid w:val="000E5C6A"/>
    <w:rsid w:val="001148AE"/>
    <w:rsid w:val="00125564"/>
    <w:rsid w:val="00150A4C"/>
    <w:rsid w:val="00176D6D"/>
    <w:rsid w:val="001853BE"/>
    <w:rsid w:val="001C5819"/>
    <w:rsid w:val="001C70FB"/>
    <w:rsid w:val="001E69AA"/>
    <w:rsid w:val="00202CF4"/>
    <w:rsid w:val="0022429F"/>
    <w:rsid w:val="00225E1B"/>
    <w:rsid w:val="0025581A"/>
    <w:rsid w:val="00255A00"/>
    <w:rsid w:val="00296077"/>
    <w:rsid w:val="002B1779"/>
    <w:rsid w:val="002C484E"/>
    <w:rsid w:val="002D67B2"/>
    <w:rsid w:val="002E5C7F"/>
    <w:rsid w:val="002F60E8"/>
    <w:rsid w:val="003579BB"/>
    <w:rsid w:val="00371A43"/>
    <w:rsid w:val="00373B5F"/>
    <w:rsid w:val="00396F2C"/>
    <w:rsid w:val="003A234A"/>
    <w:rsid w:val="003B0D8A"/>
    <w:rsid w:val="00465847"/>
    <w:rsid w:val="00465C28"/>
    <w:rsid w:val="004A74FE"/>
    <w:rsid w:val="004C18DD"/>
    <w:rsid w:val="004D430F"/>
    <w:rsid w:val="005275CC"/>
    <w:rsid w:val="0054584A"/>
    <w:rsid w:val="00567D20"/>
    <w:rsid w:val="00572871"/>
    <w:rsid w:val="0057687D"/>
    <w:rsid w:val="00593248"/>
    <w:rsid w:val="00596072"/>
    <w:rsid w:val="005B532F"/>
    <w:rsid w:val="005F12F2"/>
    <w:rsid w:val="006119E1"/>
    <w:rsid w:val="00617809"/>
    <w:rsid w:val="006315A9"/>
    <w:rsid w:val="006B1DB6"/>
    <w:rsid w:val="006C0B88"/>
    <w:rsid w:val="006F2E10"/>
    <w:rsid w:val="00717EAB"/>
    <w:rsid w:val="0072099F"/>
    <w:rsid w:val="00791282"/>
    <w:rsid w:val="007F56EC"/>
    <w:rsid w:val="008237EF"/>
    <w:rsid w:val="008452C8"/>
    <w:rsid w:val="008858E1"/>
    <w:rsid w:val="008B0286"/>
    <w:rsid w:val="008C4DA0"/>
    <w:rsid w:val="00904B19"/>
    <w:rsid w:val="00910AF8"/>
    <w:rsid w:val="0092488B"/>
    <w:rsid w:val="00936C53"/>
    <w:rsid w:val="0094076F"/>
    <w:rsid w:val="009657B0"/>
    <w:rsid w:val="00975F10"/>
    <w:rsid w:val="009A58A8"/>
    <w:rsid w:val="009D4AAC"/>
    <w:rsid w:val="00A05F2C"/>
    <w:rsid w:val="00A2447F"/>
    <w:rsid w:val="00A644E8"/>
    <w:rsid w:val="00AB0BF9"/>
    <w:rsid w:val="00AC44A5"/>
    <w:rsid w:val="00AF2FD3"/>
    <w:rsid w:val="00B11C87"/>
    <w:rsid w:val="00B322C0"/>
    <w:rsid w:val="00B42AEC"/>
    <w:rsid w:val="00B572A5"/>
    <w:rsid w:val="00B732EF"/>
    <w:rsid w:val="00B76341"/>
    <w:rsid w:val="00B9221F"/>
    <w:rsid w:val="00BA057C"/>
    <w:rsid w:val="00BA110F"/>
    <w:rsid w:val="00BA4EBF"/>
    <w:rsid w:val="00BF6CDE"/>
    <w:rsid w:val="00C266E0"/>
    <w:rsid w:val="00C32384"/>
    <w:rsid w:val="00C32F7B"/>
    <w:rsid w:val="00C575D8"/>
    <w:rsid w:val="00C96560"/>
    <w:rsid w:val="00CB60E3"/>
    <w:rsid w:val="00CB6FB0"/>
    <w:rsid w:val="00CB7917"/>
    <w:rsid w:val="00CE41AF"/>
    <w:rsid w:val="00CE7827"/>
    <w:rsid w:val="00D17F90"/>
    <w:rsid w:val="00D65747"/>
    <w:rsid w:val="00D91738"/>
    <w:rsid w:val="00DC752B"/>
    <w:rsid w:val="00E06DD6"/>
    <w:rsid w:val="00E20622"/>
    <w:rsid w:val="00E31BA6"/>
    <w:rsid w:val="00E53071"/>
    <w:rsid w:val="00E831A1"/>
    <w:rsid w:val="00E91D87"/>
    <w:rsid w:val="00EF144B"/>
    <w:rsid w:val="00F42D4B"/>
    <w:rsid w:val="00F76F0C"/>
    <w:rsid w:val="00FA3318"/>
    <w:rsid w:val="00FB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character" w:styleId="CommentReference">
    <w:name w:val="annotation reference"/>
    <w:basedOn w:val="DefaultParagraphFont"/>
    <w:uiPriority w:val="99"/>
    <w:semiHidden/>
    <w:unhideWhenUsed/>
    <w:rsid w:val="005275CC"/>
    <w:rPr>
      <w:sz w:val="16"/>
      <w:szCs w:val="16"/>
    </w:rPr>
  </w:style>
  <w:style w:type="paragraph" w:styleId="CommentText">
    <w:name w:val="annotation text"/>
    <w:basedOn w:val="Normal"/>
    <w:link w:val="CommentTextChar"/>
    <w:uiPriority w:val="99"/>
    <w:semiHidden/>
    <w:unhideWhenUsed/>
    <w:rsid w:val="005275CC"/>
    <w:rPr>
      <w:sz w:val="20"/>
      <w:szCs w:val="20"/>
    </w:rPr>
  </w:style>
  <w:style w:type="character" w:customStyle="1" w:styleId="CommentTextChar">
    <w:name w:val="Comment Text Char"/>
    <w:basedOn w:val="DefaultParagraphFont"/>
    <w:link w:val="CommentText"/>
    <w:uiPriority w:val="99"/>
    <w:semiHidden/>
    <w:rsid w:val="005275CC"/>
  </w:style>
  <w:style w:type="paragraph" w:styleId="CommentSubject">
    <w:name w:val="annotation subject"/>
    <w:basedOn w:val="CommentText"/>
    <w:next w:val="CommentText"/>
    <w:link w:val="CommentSubjectChar"/>
    <w:uiPriority w:val="99"/>
    <w:semiHidden/>
    <w:unhideWhenUsed/>
    <w:rsid w:val="005275CC"/>
    <w:rPr>
      <w:b/>
      <w:bCs/>
    </w:rPr>
  </w:style>
  <w:style w:type="character" w:customStyle="1" w:styleId="CommentSubjectChar">
    <w:name w:val="Comment Subject Char"/>
    <w:basedOn w:val="CommentTextChar"/>
    <w:link w:val="CommentSubject"/>
    <w:uiPriority w:val="99"/>
    <w:semiHidden/>
    <w:rsid w:val="005275CC"/>
    <w:rPr>
      <w:b/>
      <w:bCs/>
    </w:rPr>
  </w:style>
  <w:style w:type="paragraph" w:styleId="BalloonText">
    <w:name w:val="Balloon Text"/>
    <w:basedOn w:val="Normal"/>
    <w:link w:val="BalloonTextChar"/>
    <w:uiPriority w:val="99"/>
    <w:semiHidden/>
    <w:unhideWhenUsed/>
    <w:rsid w:val="005275CC"/>
    <w:rPr>
      <w:rFonts w:ascii="Tahoma" w:hAnsi="Tahoma" w:cs="Tahoma"/>
      <w:sz w:val="16"/>
      <w:szCs w:val="16"/>
    </w:rPr>
  </w:style>
  <w:style w:type="character" w:customStyle="1" w:styleId="BalloonTextChar">
    <w:name w:val="Balloon Text Char"/>
    <w:basedOn w:val="DefaultParagraphFont"/>
    <w:link w:val="BalloonText"/>
    <w:uiPriority w:val="99"/>
    <w:semiHidden/>
    <w:rsid w:val="005275CC"/>
    <w:rPr>
      <w:rFonts w:ascii="Tahoma" w:hAnsi="Tahoma" w:cs="Tahoma"/>
      <w:sz w:val="16"/>
      <w:szCs w:val="16"/>
    </w:rPr>
  </w:style>
  <w:style w:type="paragraph" w:styleId="NormalWeb">
    <w:name w:val="Normal (Web)"/>
    <w:basedOn w:val="Normal"/>
    <w:uiPriority w:val="99"/>
    <w:semiHidden/>
    <w:unhideWhenUsed/>
    <w:rsid w:val="00567D20"/>
    <w:pPr>
      <w:spacing w:before="100" w:beforeAutospacing="1" w:after="100" w:afterAutospacing="1"/>
    </w:pPr>
  </w:style>
  <w:style w:type="character" w:styleId="Hyperlink">
    <w:name w:val="Hyperlink"/>
    <w:basedOn w:val="DefaultParagraphFont"/>
    <w:uiPriority w:val="99"/>
    <w:unhideWhenUsed/>
    <w:rsid w:val="00567D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character" w:styleId="CommentReference">
    <w:name w:val="annotation reference"/>
    <w:basedOn w:val="DefaultParagraphFont"/>
    <w:uiPriority w:val="99"/>
    <w:semiHidden/>
    <w:unhideWhenUsed/>
    <w:rsid w:val="005275CC"/>
    <w:rPr>
      <w:sz w:val="16"/>
      <w:szCs w:val="16"/>
    </w:rPr>
  </w:style>
  <w:style w:type="paragraph" w:styleId="CommentText">
    <w:name w:val="annotation text"/>
    <w:basedOn w:val="Normal"/>
    <w:link w:val="CommentTextChar"/>
    <w:uiPriority w:val="99"/>
    <w:semiHidden/>
    <w:unhideWhenUsed/>
    <w:rsid w:val="005275CC"/>
    <w:rPr>
      <w:sz w:val="20"/>
      <w:szCs w:val="20"/>
    </w:rPr>
  </w:style>
  <w:style w:type="character" w:customStyle="1" w:styleId="CommentTextChar">
    <w:name w:val="Comment Text Char"/>
    <w:basedOn w:val="DefaultParagraphFont"/>
    <w:link w:val="CommentText"/>
    <w:uiPriority w:val="99"/>
    <w:semiHidden/>
    <w:rsid w:val="005275CC"/>
  </w:style>
  <w:style w:type="paragraph" w:styleId="CommentSubject">
    <w:name w:val="annotation subject"/>
    <w:basedOn w:val="CommentText"/>
    <w:next w:val="CommentText"/>
    <w:link w:val="CommentSubjectChar"/>
    <w:uiPriority w:val="99"/>
    <w:semiHidden/>
    <w:unhideWhenUsed/>
    <w:rsid w:val="005275CC"/>
    <w:rPr>
      <w:b/>
      <w:bCs/>
    </w:rPr>
  </w:style>
  <w:style w:type="character" w:customStyle="1" w:styleId="CommentSubjectChar">
    <w:name w:val="Comment Subject Char"/>
    <w:basedOn w:val="CommentTextChar"/>
    <w:link w:val="CommentSubject"/>
    <w:uiPriority w:val="99"/>
    <w:semiHidden/>
    <w:rsid w:val="005275CC"/>
    <w:rPr>
      <w:b/>
      <w:bCs/>
    </w:rPr>
  </w:style>
  <w:style w:type="paragraph" w:styleId="BalloonText">
    <w:name w:val="Balloon Text"/>
    <w:basedOn w:val="Normal"/>
    <w:link w:val="BalloonTextChar"/>
    <w:uiPriority w:val="99"/>
    <w:semiHidden/>
    <w:unhideWhenUsed/>
    <w:rsid w:val="005275CC"/>
    <w:rPr>
      <w:rFonts w:ascii="Tahoma" w:hAnsi="Tahoma" w:cs="Tahoma"/>
      <w:sz w:val="16"/>
      <w:szCs w:val="16"/>
    </w:rPr>
  </w:style>
  <w:style w:type="character" w:customStyle="1" w:styleId="BalloonTextChar">
    <w:name w:val="Balloon Text Char"/>
    <w:basedOn w:val="DefaultParagraphFont"/>
    <w:link w:val="BalloonText"/>
    <w:uiPriority w:val="99"/>
    <w:semiHidden/>
    <w:rsid w:val="005275CC"/>
    <w:rPr>
      <w:rFonts w:ascii="Tahoma" w:hAnsi="Tahoma" w:cs="Tahoma"/>
      <w:sz w:val="16"/>
      <w:szCs w:val="16"/>
    </w:rPr>
  </w:style>
  <w:style w:type="paragraph" w:styleId="NormalWeb">
    <w:name w:val="Normal (Web)"/>
    <w:basedOn w:val="Normal"/>
    <w:uiPriority w:val="99"/>
    <w:semiHidden/>
    <w:unhideWhenUsed/>
    <w:rsid w:val="00567D20"/>
    <w:pPr>
      <w:spacing w:before="100" w:beforeAutospacing="1" w:after="100" w:afterAutospacing="1"/>
    </w:pPr>
  </w:style>
  <w:style w:type="character" w:styleId="Hyperlink">
    <w:name w:val="Hyperlink"/>
    <w:basedOn w:val="DefaultParagraphFont"/>
    <w:uiPriority w:val="99"/>
    <w:unhideWhenUsed/>
    <w:rsid w:val="00567D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04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1183</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#1530-0036 supporting statement</vt:lpstr>
    </vt:vector>
  </TitlesOfParts>
  <Company>Department of the Treasury</Company>
  <LinksUpToDate>false</LinksUpToDate>
  <CharactersWithSpaces>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#1530-0036 supporting statement</dc:title>
  <dc:creator>Bureau of the Fiscal Service</dc:creator>
  <cp:lastModifiedBy>Bruce Sharp</cp:lastModifiedBy>
  <cp:revision>2</cp:revision>
  <cp:lastPrinted>2012-11-26T19:44:00Z</cp:lastPrinted>
  <dcterms:created xsi:type="dcterms:W3CDTF">2017-01-25T19:19:00Z</dcterms:created>
  <dcterms:modified xsi:type="dcterms:W3CDTF">2017-01-25T19:19:00Z</dcterms:modified>
</cp:coreProperties>
</file>