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73858" w14:textId="77777777" w:rsidR="00F3670F" w:rsidRPr="00235B48" w:rsidRDefault="00F3670F" w:rsidP="00235B48">
      <w:pPr>
        <w:pStyle w:val="Header"/>
        <w:widowControl/>
        <w:tabs>
          <w:tab w:val="clear" w:pos="4320"/>
          <w:tab w:val="clear" w:pos="8640"/>
        </w:tabs>
        <w:rPr>
          <w:rFonts w:ascii="Times New Roman" w:hAnsi="Times New Roman"/>
        </w:rPr>
      </w:pPr>
      <w:bookmarkStart w:id="0" w:name="QuickMark"/>
      <w:bookmarkEnd w:id="0"/>
    </w:p>
    <w:p w14:paraId="16396868" w14:textId="77777777" w:rsidR="00F3670F" w:rsidRPr="00235B48" w:rsidRDefault="00F3670F" w:rsidP="00235B48">
      <w:pPr>
        <w:widowControl/>
        <w:outlineLvl w:val="0"/>
        <w:rPr>
          <w:rFonts w:ascii="Times New Roman" w:hAnsi="Times New Roman"/>
        </w:rPr>
      </w:pPr>
      <w:r w:rsidRPr="00235B48">
        <w:rPr>
          <w:rFonts w:ascii="Times New Roman" w:hAnsi="Times New Roman"/>
        </w:rPr>
        <w:t xml:space="preserve">SUPPORTING STATEMENT FOR PAPERWORK REDUCTION ACT </w:t>
      </w:r>
      <w:r w:rsidR="00BB09C3">
        <w:rPr>
          <w:rFonts w:ascii="Times New Roman" w:hAnsi="Times New Roman"/>
        </w:rPr>
        <w:t xml:space="preserve">OF </w:t>
      </w:r>
      <w:r w:rsidRPr="00235B48">
        <w:rPr>
          <w:rFonts w:ascii="Times New Roman" w:hAnsi="Times New Roman"/>
        </w:rPr>
        <w:t>1995 SUBMISSIONS</w:t>
      </w:r>
    </w:p>
    <w:p w14:paraId="3367087E" w14:textId="77777777" w:rsidR="00747797" w:rsidRPr="00235B48" w:rsidRDefault="00747797" w:rsidP="00235B48">
      <w:pPr>
        <w:widowControl/>
        <w:rPr>
          <w:rFonts w:ascii="Times New Roman" w:hAnsi="Times New Roman"/>
        </w:rPr>
      </w:pPr>
    </w:p>
    <w:p w14:paraId="12BD91C8" w14:textId="77777777" w:rsidR="00F3670F" w:rsidRPr="00235B48" w:rsidRDefault="00F3670F" w:rsidP="00235B48">
      <w:pPr>
        <w:widowControl/>
        <w:outlineLvl w:val="0"/>
        <w:rPr>
          <w:rFonts w:ascii="Times New Roman" w:hAnsi="Times New Roman"/>
        </w:rPr>
      </w:pPr>
      <w:r w:rsidRPr="00235B48">
        <w:rPr>
          <w:rFonts w:ascii="Times New Roman" w:hAnsi="Times New Roman"/>
          <w:b/>
          <w:bCs/>
        </w:rPr>
        <w:t>A.  Justification</w:t>
      </w:r>
    </w:p>
    <w:p w14:paraId="0D8E6E7D" w14:textId="77777777" w:rsidR="00F3670F" w:rsidRPr="00235B48" w:rsidRDefault="00F3670F" w:rsidP="00235B48">
      <w:pPr>
        <w:widowControl/>
        <w:rPr>
          <w:rFonts w:ascii="Times New Roman" w:hAnsi="Times New Roman"/>
        </w:rPr>
      </w:pPr>
    </w:p>
    <w:p w14:paraId="2C317A2B" w14:textId="77777777"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128856A" w14:textId="77777777" w:rsidR="00F3670F" w:rsidRPr="00235B48" w:rsidRDefault="00F3670F" w:rsidP="00491F77">
      <w:pPr>
        <w:widowControl/>
        <w:ind w:left="720"/>
        <w:rPr>
          <w:rFonts w:ascii="Times New Roman" w:hAnsi="Times New Roman"/>
        </w:rPr>
      </w:pPr>
    </w:p>
    <w:p w14:paraId="0A92D30E" w14:textId="77777777" w:rsidR="005B099C" w:rsidRPr="0078280B" w:rsidRDefault="005B099C" w:rsidP="005B099C">
      <w:pPr>
        <w:ind w:left="720"/>
        <w:rPr>
          <w:rFonts w:ascii="Times New Roman" w:hAnsi="Times New Roman"/>
          <w:color w:val="000000"/>
        </w:rPr>
      </w:pPr>
      <w:r w:rsidRPr="0078280B">
        <w:rPr>
          <w:rFonts w:ascii="Times New Roman" w:hAnsi="Times New Roman"/>
        </w:rPr>
        <w:t xml:space="preserve">In the absence of an exemption, </w:t>
      </w:r>
      <w:r w:rsidR="00814DAB" w:rsidRPr="00814DAB">
        <w:rPr>
          <w:rFonts w:ascii="Times New Roman" w:hAnsi="Times New Roman"/>
        </w:rPr>
        <w:t xml:space="preserve">the Employee Retirement Income Security Act of 1974 </w:t>
      </w:r>
      <w:r w:rsidR="00814DAB">
        <w:rPr>
          <w:rFonts w:ascii="Times New Roman" w:hAnsi="Times New Roman"/>
        </w:rPr>
        <w:t>(</w:t>
      </w:r>
      <w:r w:rsidRPr="0078280B">
        <w:rPr>
          <w:rFonts w:ascii="Times New Roman" w:hAnsi="Times New Roman"/>
        </w:rPr>
        <w:t>ERISA</w:t>
      </w:r>
      <w:r w:rsidR="00814DAB">
        <w:rPr>
          <w:rFonts w:ascii="Times New Roman" w:hAnsi="Times New Roman"/>
        </w:rPr>
        <w:t>)</w:t>
      </w:r>
      <w:r w:rsidRPr="0078280B">
        <w:rPr>
          <w:rFonts w:ascii="Times New Roman" w:hAnsi="Times New Roman"/>
        </w:rPr>
        <w:t xml:space="preserve"> and the </w:t>
      </w:r>
      <w:r w:rsidR="00255A3C" w:rsidRPr="00255A3C">
        <w:rPr>
          <w:rFonts w:ascii="Times New Roman" w:hAnsi="Times New Roman"/>
        </w:rPr>
        <w:t>Internal Revenue Code of 1986 (Code)</w:t>
      </w:r>
      <w:r w:rsidRPr="0078280B">
        <w:rPr>
          <w:rFonts w:ascii="Times New Roman" w:hAnsi="Times New Roman"/>
        </w:rPr>
        <w:t xml:space="preserve"> generally prohibit fiduciaries from using their authority to affect or increase their own compensation.  </w:t>
      </w:r>
      <w:r w:rsidRPr="0078280B">
        <w:rPr>
          <w:rFonts w:ascii="Times New Roman" w:hAnsi="Times New Roman"/>
          <w:color w:val="000000"/>
        </w:rPr>
        <w:t>ERISA section 406(b) and Code section 4975(c)(1)(E)</w:t>
      </w:r>
      <w:r>
        <w:rPr>
          <w:rFonts w:ascii="Times New Roman" w:hAnsi="Times New Roman"/>
          <w:color w:val="000000"/>
        </w:rPr>
        <w:t xml:space="preserve">-(F) generally </w:t>
      </w:r>
      <w:r w:rsidRPr="0078280B">
        <w:rPr>
          <w:rFonts w:ascii="Times New Roman" w:hAnsi="Times New Roman"/>
          <w:color w:val="000000"/>
        </w:rPr>
        <w:t>prohibit a fiduciary from dealing with the income or assets of a plan or IRA in his or her own interest or his or her own account</w:t>
      </w:r>
      <w:r>
        <w:rPr>
          <w:rFonts w:ascii="Times New Roman" w:hAnsi="Times New Roman"/>
          <w:color w:val="000000"/>
        </w:rPr>
        <w:t xml:space="preserve"> and from receiving payments from third parties in connection with transactions involving the plan or IRA</w:t>
      </w:r>
      <w:r w:rsidRPr="0078280B">
        <w:rPr>
          <w:rFonts w:ascii="Times New Roman" w:hAnsi="Times New Roman"/>
          <w:color w:val="000000"/>
        </w:rPr>
        <w:t>.  Parallel regulations issued by the Departments of Labor and the Treasury explain that these provisions impose on fiduciaries of plans and IRAs a duty not to act on conflicts of interest that</w:t>
      </w:r>
      <w:r>
        <w:rPr>
          <w:rFonts w:ascii="Times New Roman" w:hAnsi="Times New Roman"/>
          <w:color w:val="000000"/>
        </w:rPr>
        <w:t xml:space="preserve"> may</w:t>
      </w:r>
      <w:r w:rsidRPr="0078280B">
        <w:rPr>
          <w:rFonts w:ascii="Times New Roman" w:hAnsi="Times New Roman"/>
          <w:color w:val="000000"/>
        </w:rPr>
        <w:t xml:space="preserve"> affect the fiduciary’s best judgment on behalf of the plan or IRA.  </w:t>
      </w:r>
      <w:r>
        <w:rPr>
          <w:rFonts w:ascii="Times New Roman" w:hAnsi="Times New Roman"/>
          <w:color w:val="000000"/>
        </w:rPr>
        <w:t>Under these provisions</w:t>
      </w:r>
      <w:r w:rsidRPr="0078280B">
        <w:rPr>
          <w:rFonts w:ascii="Times New Roman" w:hAnsi="Times New Roman"/>
          <w:color w:val="000000"/>
        </w:rPr>
        <w:t>, a fiduciary</w:t>
      </w:r>
      <w:r>
        <w:rPr>
          <w:rFonts w:ascii="Times New Roman" w:hAnsi="Times New Roman"/>
          <w:color w:val="000000"/>
        </w:rPr>
        <w:t xml:space="preserve"> </w:t>
      </w:r>
      <w:r w:rsidRPr="0078280B">
        <w:rPr>
          <w:rFonts w:ascii="Times New Roman" w:hAnsi="Times New Roman"/>
          <w:color w:val="000000"/>
        </w:rPr>
        <w:t>may not cause a plan or IRA to pay an additional fee to such fiduciary, or to a person in which such fiduciary has an interest that may affect the exercise of the fiduciary’s best judgment</w:t>
      </w:r>
      <w:r>
        <w:rPr>
          <w:rFonts w:ascii="Times New Roman" w:hAnsi="Times New Roman"/>
          <w:color w:val="000000"/>
        </w:rPr>
        <w:t>.</w:t>
      </w:r>
    </w:p>
    <w:p w14:paraId="3DB7859F" w14:textId="77777777" w:rsidR="005B099C" w:rsidRDefault="005B099C" w:rsidP="00491F77">
      <w:pPr>
        <w:widowControl/>
        <w:ind w:left="720"/>
        <w:rPr>
          <w:rFonts w:ascii="Times New Roman" w:hAnsi="Times New Roman"/>
        </w:rPr>
      </w:pPr>
    </w:p>
    <w:p w14:paraId="448DF951" w14:textId="672FEFDD" w:rsidR="005B099C" w:rsidRDefault="005B099C" w:rsidP="00D031D7">
      <w:pPr>
        <w:widowControl/>
        <w:ind w:left="720"/>
        <w:rPr>
          <w:rFonts w:ascii="Times New Roman" w:eastAsiaTheme="minorEastAsia" w:hAnsi="Times New Roman"/>
          <w:szCs w:val="20"/>
        </w:rPr>
      </w:pPr>
      <w:r w:rsidRPr="005B099C">
        <w:rPr>
          <w:rFonts w:ascii="Times New Roman" w:eastAsiaTheme="minorEastAsia" w:hAnsi="Times New Roman"/>
          <w:szCs w:val="20"/>
        </w:rPr>
        <w:t>In</w:t>
      </w:r>
      <w:r w:rsidR="006723EC">
        <w:rPr>
          <w:rFonts w:ascii="Times New Roman" w:eastAsiaTheme="minorEastAsia" w:hAnsi="Times New Roman"/>
          <w:szCs w:val="20"/>
        </w:rPr>
        <w:t xml:space="preserve">surance </w:t>
      </w:r>
      <w:r w:rsidR="00890242">
        <w:rPr>
          <w:rFonts w:ascii="Times New Roman" w:eastAsiaTheme="minorEastAsia" w:hAnsi="Times New Roman"/>
          <w:szCs w:val="20"/>
        </w:rPr>
        <w:t>intermediaries, often referred to as insurance m</w:t>
      </w:r>
      <w:r w:rsidR="006723EC">
        <w:rPr>
          <w:rFonts w:ascii="Times New Roman" w:eastAsiaTheme="minorEastAsia" w:hAnsi="Times New Roman"/>
          <w:szCs w:val="20"/>
        </w:rPr>
        <w:t xml:space="preserve">arketing </w:t>
      </w:r>
      <w:r w:rsidR="00890242">
        <w:rPr>
          <w:rFonts w:ascii="Times New Roman" w:eastAsiaTheme="minorEastAsia" w:hAnsi="Times New Roman"/>
          <w:szCs w:val="20"/>
        </w:rPr>
        <w:t>o</w:t>
      </w:r>
      <w:r w:rsidR="006723EC">
        <w:rPr>
          <w:rFonts w:ascii="Times New Roman" w:eastAsiaTheme="minorEastAsia" w:hAnsi="Times New Roman"/>
          <w:szCs w:val="20"/>
        </w:rPr>
        <w:t>rganizations (IMOs)</w:t>
      </w:r>
      <w:r w:rsidRPr="005B099C">
        <w:rPr>
          <w:rFonts w:ascii="Times New Roman" w:eastAsiaTheme="minorEastAsia" w:hAnsi="Times New Roman"/>
          <w:szCs w:val="20"/>
        </w:rPr>
        <w:t xml:space="preserve"> typically receive compensation for services to retirement investors in the retail market through a variety of arrangements, which would typically violate the prohibited transaction rules applicable to plan fiduciaries.  These include commissions and other payments from </w:t>
      </w:r>
      <w:r w:rsidR="00890242">
        <w:rPr>
          <w:rFonts w:ascii="Times New Roman" w:eastAsiaTheme="minorEastAsia" w:hAnsi="Times New Roman"/>
          <w:szCs w:val="20"/>
        </w:rPr>
        <w:t>insurance companies</w:t>
      </w:r>
      <w:r w:rsidRPr="005B099C">
        <w:rPr>
          <w:rFonts w:ascii="Times New Roman" w:eastAsiaTheme="minorEastAsia" w:hAnsi="Times New Roman"/>
          <w:szCs w:val="20"/>
        </w:rPr>
        <w:t>.  A fiduciary’s receipt of such payments would generally violate the prohibited transaction provisions of ERISA section 406(b) and Code section 4975(c)(1)(E) and (F) because the amount of the fiduciary’s compensation is affected by the use of its authority in providing investment advice, unless such payments meet the requirements of an exemption.</w:t>
      </w:r>
    </w:p>
    <w:p w14:paraId="15A284C6" w14:textId="77777777" w:rsidR="005B099C" w:rsidRPr="005B099C" w:rsidRDefault="005B099C" w:rsidP="00D031D7">
      <w:pPr>
        <w:widowControl/>
        <w:ind w:left="720"/>
        <w:rPr>
          <w:rFonts w:ascii="Times New Roman" w:eastAsiaTheme="minorEastAsia" w:hAnsi="Times New Roman"/>
          <w:szCs w:val="20"/>
        </w:rPr>
      </w:pPr>
    </w:p>
    <w:p w14:paraId="16CC6C6F" w14:textId="77777777" w:rsidR="00D031D7" w:rsidRPr="0078280B" w:rsidRDefault="00D031D7" w:rsidP="00D031D7">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sidRPr="0078280B">
        <w:rPr>
          <w:rFonts w:ascii="Times New Roman" w:hAnsi="Times New Roman"/>
          <w:vertAlign w:val="superscript"/>
        </w:rPr>
        <w:footnoteReference w:id="1"/>
      </w:r>
      <w:r w:rsidRPr="0078280B">
        <w:rPr>
          <w:rFonts w:ascii="Times New Roman" w:hAnsi="Times New Roman"/>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14:paraId="3B68A342" w14:textId="77777777" w:rsidR="00F50B19" w:rsidRPr="00F50B19" w:rsidRDefault="00F50B19" w:rsidP="00491F77">
      <w:pPr>
        <w:widowControl/>
        <w:ind w:left="720"/>
        <w:rPr>
          <w:rFonts w:ascii="Times New Roman" w:hAnsi="Times New Roman"/>
        </w:rPr>
      </w:pPr>
    </w:p>
    <w:p w14:paraId="384BF903" w14:textId="77777777" w:rsidR="00135D3F" w:rsidRPr="0034640D" w:rsidRDefault="00135D3F" w:rsidP="00491F77">
      <w:pPr>
        <w:ind w:left="720"/>
        <w:rPr>
          <w:rFonts w:ascii="Times New Roman" w:hAnsi="Times New Roman"/>
        </w:rPr>
      </w:pPr>
      <w:r w:rsidRPr="0034640D">
        <w:rPr>
          <w:rFonts w:ascii="Times New Roman" w:hAnsi="Times New Roman"/>
        </w:rPr>
        <w:t xml:space="preserve">The Department </w:t>
      </w:r>
      <w:r w:rsidR="00F9435E">
        <w:rPr>
          <w:rFonts w:ascii="Times New Roman" w:hAnsi="Times New Roman"/>
        </w:rPr>
        <w:t>proposes</w:t>
      </w:r>
      <w:r w:rsidRPr="0034640D">
        <w:rPr>
          <w:rFonts w:ascii="Times New Roman" w:hAnsi="Times New Roman"/>
        </w:rPr>
        <w:t xml:space="preserve"> this </w:t>
      </w:r>
      <w:r>
        <w:rPr>
          <w:rFonts w:ascii="Times New Roman" w:hAnsi="Times New Roman"/>
        </w:rPr>
        <w:t xml:space="preserve">prohibited transaction class </w:t>
      </w:r>
      <w:r w:rsidRPr="0034640D">
        <w:rPr>
          <w:rFonts w:ascii="Times New Roman" w:hAnsi="Times New Roman"/>
        </w:rPr>
        <w:t xml:space="preserve">exemption </w:t>
      </w:r>
      <w:r>
        <w:rPr>
          <w:rFonts w:ascii="Times New Roman" w:hAnsi="Times New Roman"/>
        </w:rPr>
        <w:t xml:space="preserve">(PTE) </w:t>
      </w:r>
      <w:r w:rsidRPr="0034640D">
        <w:rPr>
          <w:rFonts w:ascii="Times New Roman" w:hAnsi="Times New Roman"/>
        </w:rPr>
        <w:t xml:space="preserve">in </w:t>
      </w:r>
      <w:r w:rsidR="005A4C0E">
        <w:rPr>
          <w:rFonts w:ascii="Times New Roman" w:hAnsi="Times New Roman"/>
        </w:rPr>
        <w:t xml:space="preserve">response to feedback received from IMOs regarding </w:t>
      </w:r>
      <w:r w:rsidR="002F4663">
        <w:rPr>
          <w:rFonts w:ascii="Times New Roman" w:hAnsi="Times New Roman"/>
        </w:rPr>
        <w:t>its</w:t>
      </w:r>
      <w:r w:rsidR="00A44672">
        <w:rPr>
          <w:rFonts w:ascii="Times New Roman" w:hAnsi="Times New Roman"/>
        </w:rPr>
        <w:t xml:space="preserve"> </w:t>
      </w:r>
      <w:r w:rsidR="00884B1A" w:rsidRPr="00884B1A">
        <w:rPr>
          <w:rFonts w:ascii="Times New Roman" w:hAnsi="Times New Roman"/>
        </w:rPr>
        <w:t>final regulation defining who is a “fiduciary” of an employee benefit plan under ERISA as a result of giving investment advice to a plan or its participants or beneficiaries</w:t>
      </w:r>
      <w:r w:rsidR="00956DE9">
        <w:rPr>
          <w:rFonts w:ascii="Times New Roman" w:hAnsi="Times New Roman"/>
        </w:rPr>
        <w:t xml:space="preserve"> (Regulation)</w:t>
      </w:r>
      <w:r w:rsidR="00884B1A" w:rsidRPr="00884B1A">
        <w:rPr>
          <w:rFonts w:ascii="Times New Roman" w:hAnsi="Times New Roman"/>
        </w:rPr>
        <w:t>.  The final rule also applies to the definition of a “fiduciary” of a plan (including an individual retirement account (IRA)) under the Code.</w:t>
      </w:r>
      <w:r w:rsidR="001D039E">
        <w:rPr>
          <w:rFonts w:ascii="Times New Roman" w:hAnsi="Times New Roman"/>
        </w:rPr>
        <w:t xml:space="preserve">  </w:t>
      </w:r>
      <w:r w:rsidR="00A44672">
        <w:rPr>
          <w:rFonts w:ascii="Times New Roman" w:hAnsi="Times New Roman"/>
        </w:rPr>
        <w:t>The</w:t>
      </w:r>
      <w:r w:rsidRPr="0034640D">
        <w:rPr>
          <w:rFonts w:ascii="Times New Roman" w:hAnsi="Times New Roman"/>
        </w:rPr>
        <w:t xml:space="preserve"> </w:t>
      </w:r>
      <w:r>
        <w:rPr>
          <w:rFonts w:ascii="Times New Roman" w:hAnsi="Times New Roman"/>
        </w:rPr>
        <w:t>R</w:t>
      </w:r>
      <w:r w:rsidRPr="0034640D">
        <w:rPr>
          <w:rFonts w:ascii="Times New Roman" w:hAnsi="Times New Roman"/>
        </w:rPr>
        <w:t>egulation replace</w:t>
      </w:r>
      <w:r w:rsidR="00A44672">
        <w:rPr>
          <w:rFonts w:ascii="Times New Roman" w:hAnsi="Times New Roman"/>
        </w:rPr>
        <w:t>s</w:t>
      </w:r>
      <w:r w:rsidRPr="0034640D">
        <w:rPr>
          <w:rFonts w:ascii="Times New Roman" w:hAnsi="Times New Roman"/>
        </w:rPr>
        <w:t xml:space="preserve"> an existing regulation </w:t>
      </w:r>
      <w:r>
        <w:rPr>
          <w:rFonts w:ascii="Times New Roman" w:hAnsi="Times New Roman"/>
        </w:rPr>
        <w:t>dating to</w:t>
      </w:r>
      <w:r w:rsidRPr="0034640D">
        <w:rPr>
          <w:rFonts w:ascii="Times New Roman" w:hAnsi="Times New Roman"/>
        </w:rPr>
        <w:t xml:space="preserve"> 1975</w:t>
      </w:r>
      <w:r w:rsidR="00A44672">
        <w:rPr>
          <w:rFonts w:ascii="Times New Roman" w:hAnsi="Times New Roman"/>
        </w:rPr>
        <w:t xml:space="preserve">.  </w:t>
      </w:r>
      <w:r w:rsidR="00A44672" w:rsidRPr="00A44672">
        <w:rPr>
          <w:rFonts w:ascii="Times New Roman" w:hAnsi="Times New Roman"/>
        </w:rPr>
        <w:t>The Regulation takes into account the advent of 401(k) plans and IRAs, the dramatic increase in rollovers, and other developments that have transformed the retirement plan landscape and the associated investment market over the four decades since the existing regulation was issued.  In light of the extensive changes in retirement investment practices and relationships, the Regulation updates existing rules to distinguish more appropriately</w:t>
      </w:r>
      <w:r w:rsidRPr="0034640D">
        <w:rPr>
          <w:rFonts w:ascii="Times New Roman" w:hAnsi="Times New Roman"/>
          <w:color w:val="000000"/>
        </w:rPr>
        <w:t xml:space="preserve"> between the sorts of advice relationships that should be treated as fiduciary in nature and those that should not</w:t>
      </w:r>
      <w:r w:rsidRPr="0034640D">
        <w:rPr>
          <w:rFonts w:ascii="Times New Roman" w:hAnsi="Times New Roman"/>
        </w:rPr>
        <w:t>.</w:t>
      </w:r>
    </w:p>
    <w:p w14:paraId="559CC05B" w14:textId="77777777" w:rsidR="00135D3F" w:rsidRPr="0034640D" w:rsidRDefault="00135D3F" w:rsidP="00491F77">
      <w:pPr>
        <w:ind w:left="720"/>
        <w:rPr>
          <w:rFonts w:ascii="Times New Roman" w:hAnsi="Times New Roman"/>
        </w:rPr>
      </w:pPr>
    </w:p>
    <w:p w14:paraId="798C3BD8" w14:textId="2059E9F6" w:rsidR="001D69A5" w:rsidRDefault="00135D3F" w:rsidP="00491F77">
      <w:pPr>
        <w:ind w:left="720"/>
        <w:rPr>
          <w:rFonts w:ascii="Times New Roman" w:hAnsi="Times New Roman"/>
        </w:rPr>
      </w:pPr>
      <w:r w:rsidRPr="0034640D">
        <w:rPr>
          <w:rFonts w:ascii="Times New Roman" w:hAnsi="Times New Roman"/>
        </w:rPr>
        <w:t>Th</w:t>
      </w:r>
      <w:r w:rsidR="004612F7">
        <w:rPr>
          <w:rFonts w:ascii="Times New Roman" w:hAnsi="Times New Roman"/>
        </w:rPr>
        <w:t>e</w:t>
      </w:r>
      <w:r w:rsidRPr="0034640D">
        <w:rPr>
          <w:rFonts w:ascii="Times New Roman" w:hAnsi="Times New Roman"/>
        </w:rPr>
        <w:t xml:space="preserve"> </w:t>
      </w:r>
      <w:r w:rsidR="00890242">
        <w:rPr>
          <w:rFonts w:ascii="Times New Roman" w:hAnsi="Times New Roman"/>
        </w:rPr>
        <w:t>proposed e</w:t>
      </w:r>
      <w:r w:rsidR="00E71CC3">
        <w:rPr>
          <w:rFonts w:ascii="Times New Roman" w:hAnsi="Times New Roman"/>
        </w:rPr>
        <w:t>xemption</w:t>
      </w:r>
      <w:r w:rsidR="00A44672">
        <w:rPr>
          <w:rFonts w:ascii="Times New Roman" w:hAnsi="Times New Roman"/>
        </w:rPr>
        <w:t xml:space="preserve"> is designed</w:t>
      </w:r>
      <w:r w:rsidR="00CE5F75">
        <w:rPr>
          <w:rFonts w:ascii="Times New Roman" w:hAnsi="Times New Roman"/>
        </w:rPr>
        <w:t xml:space="preserve"> to promote the provision of investment advice that is in the best interest of retail investors such as plan participants and beneficiaries, IRA owners and small plans.  </w:t>
      </w:r>
      <w:r w:rsidR="00890242">
        <w:rPr>
          <w:rFonts w:ascii="Times New Roman" w:hAnsi="Times New Roman"/>
        </w:rPr>
        <w:t>T</w:t>
      </w:r>
      <w:r w:rsidR="00CE5F75">
        <w:rPr>
          <w:rFonts w:ascii="Times New Roman" w:hAnsi="Times New Roman"/>
        </w:rPr>
        <w:t xml:space="preserve">he exemption </w:t>
      </w:r>
      <w:r w:rsidR="00890242">
        <w:rPr>
          <w:rFonts w:ascii="Times New Roman" w:hAnsi="Times New Roman"/>
        </w:rPr>
        <w:t xml:space="preserve">would </w:t>
      </w:r>
      <w:r w:rsidRPr="0034640D">
        <w:rPr>
          <w:rFonts w:ascii="Times New Roman" w:hAnsi="Times New Roman"/>
        </w:rPr>
        <w:t xml:space="preserve">allow </w:t>
      </w:r>
      <w:r w:rsidR="00756456">
        <w:rPr>
          <w:rFonts w:ascii="Times New Roman" w:hAnsi="Times New Roman"/>
        </w:rPr>
        <w:t>IMOs</w:t>
      </w:r>
      <w:r w:rsidR="00890242">
        <w:rPr>
          <w:rFonts w:ascii="Times New Roman" w:hAnsi="Times New Roman"/>
        </w:rPr>
        <w:t>, independent insurance</w:t>
      </w:r>
      <w:r w:rsidR="00266481">
        <w:rPr>
          <w:rFonts w:ascii="Times New Roman" w:hAnsi="Times New Roman"/>
        </w:rPr>
        <w:t xml:space="preserve"> </w:t>
      </w:r>
      <w:r w:rsidR="00A44672" w:rsidRPr="00A44672">
        <w:rPr>
          <w:rFonts w:ascii="Times New Roman" w:hAnsi="Times New Roman"/>
        </w:rPr>
        <w:t xml:space="preserve">agents and </w:t>
      </w:r>
      <w:r w:rsidR="00890242">
        <w:rPr>
          <w:rFonts w:ascii="Times New Roman" w:hAnsi="Times New Roman"/>
        </w:rPr>
        <w:t>insurance companies</w:t>
      </w:r>
      <w:r w:rsidRPr="0034640D">
        <w:rPr>
          <w:rFonts w:ascii="Times New Roman" w:hAnsi="Times New Roman"/>
        </w:rPr>
        <w:t xml:space="preserve"> to receive compensation </w:t>
      </w:r>
      <w:r w:rsidR="00890242">
        <w:rPr>
          <w:rFonts w:ascii="Times New Roman" w:hAnsi="Times New Roman"/>
        </w:rPr>
        <w:t xml:space="preserve">and other consideration </w:t>
      </w:r>
      <w:r w:rsidR="00266481">
        <w:rPr>
          <w:rFonts w:ascii="Times New Roman" w:hAnsi="Times New Roman"/>
        </w:rPr>
        <w:t xml:space="preserve">in conjunction with the purchase of fixed annuities </w:t>
      </w:r>
      <w:r w:rsidRPr="0034640D">
        <w:rPr>
          <w:rFonts w:ascii="Times New Roman" w:hAnsi="Times New Roman"/>
        </w:rPr>
        <w:t xml:space="preserve">that, in the absence of an exemption, would </w:t>
      </w:r>
      <w:r w:rsidR="00A44672">
        <w:rPr>
          <w:rFonts w:ascii="Times New Roman" w:hAnsi="Times New Roman"/>
        </w:rPr>
        <w:t>not be permitted</w:t>
      </w:r>
      <w:r w:rsidRPr="0034640D">
        <w:rPr>
          <w:rFonts w:ascii="Times New Roman" w:hAnsi="Times New Roman"/>
        </w:rPr>
        <w:t xml:space="preserve"> under ERISA and the Code.  </w:t>
      </w:r>
    </w:p>
    <w:p w14:paraId="13E0D70A" w14:textId="77777777" w:rsidR="001D69A5" w:rsidRPr="001D69A5" w:rsidRDefault="001D69A5" w:rsidP="00491F77">
      <w:pPr>
        <w:widowControl/>
        <w:ind w:left="720"/>
        <w:rPr>
          <w:rFonts w:ascii="Times New Roman" w:hAnsi="Times New Roman"/>
        </w:rPr>
      </w:pPr>
    </w:p>
    <w:p w14:paraId="33A660FE" w14:textId="47AA7356" w:rsidR="00F50B19" w:rsidRDefault="00A44672" w:rsidP="00491F77">
      <w:pPr>
        <w:widowControl/>
        <w:ind w:left="720"/>
        <w:rPr>
          <w:rFonts w:ascii="Times New Roman" w:hAnsi="Times New Roman"/>
        </w:rPr>
      </w:pPr>
      <w:r w:rsidRPr="00A44672">
        <w:rPr>
          <w:rFonts w:ascii="Times New Roman" w:hAnsi="Times New Roman"/>
        </w:rPr>
        <w:t>As a condition of receiving compensation that would otherwise be prohibited</w:t>
      </w:r>
      <w:proofErr w:type="gramStart"/>
      <w:r w:rsidRPr="00A44672">
        <w:rPr>
          <w:rFonts w:ascii="Times New Roman" w:hAnsi="Times New Roman"/>
        </w:rPr>
        <w:t xml:space="preserve">, </w:t>
      </w:r>
      <w:r w:rsidR="008A1E97">
        <w:rPr>
          <w:rFonts w:ascii="Times New Roman" w:hAnsi="Times New Roman"/>
        </w:rPr>
        <w:t xml:space="preserve"> </w:t>
      </w:r>
      <w:r w:rsidRPr="00A44672">
        <w:rPr>
          <w:rFonts w:ascii="Times New Roman" w:hAnsi="Times New Roman"/>
        </w:rPr>
        <w:t>individual</w:t>
      </w:r>
      <w:proofErr w:type="gramEnd"/>
      <w:r w:rsidRPr="00A44672">
        <w:rPr>
          <w:rFonts w:ascii="Times New Roman" w:hAnsi="Times New Roman"/>
        </w:rPr>
        <w:t xml:space="preserve"> </w:t>
      </w:r>
      <w:r w:rsidR="004612F7">
        <w:rPr>
          <w:rFonts w:ascii="Times New Roman" w:hAnsi="Times New Roman"/>
        </w:rPr>
        <w:t>a</w:t>
      </w:r>
      <w:r w:rsidRPr="00A44672">
        <w:rPr>
          <w:rFonts w:ascii="Times New Roman" w:hAnsi="Times New Roman"/>
        </w:rPr>
        <w:t xml:space="preserve">dvisers and the </w:t>
      </w:r>
      <w:r w:rsidR="00625824">
        <w:rPr>
          <w:rFonts w:ascii="Times New Roman" w:hAnsi="Times New Roman"/>
        </w:rPr>
        <w:t>IMOs</w:t>
      </w:r>
      <w:r w:rsidRPr="00A44672">
        <w:rPr>
          <w:rFonts w:ascii="Times New Roman" w:hAnsi="Times New Roman"/>
        </w:rPr>
        <w:t xml:space="preserve"> </w:t>
      </w:r>
      <w:r w:rsidR="00890242">
        <w:rPr>
          <w:rFonts w:ascii="Times New Roman" w:hAnsi="Times New Roman"/>
        </w:rPr>
        <w:t xml:space="preserve">with whom they contract </w:t>
      </w:r>
      <w:r w:rsidRPr="00A44672">
        <w:rPr>
          <w:rFonts w:ascii="Times New Roman" w:hAnsi="Times New Roman"/>
        </w:rPr>
        <w:t xml:space="preserve">must adhere to conditions designed to mitigate the harmful impact of conflicts of interest.  </w:t>
      </w:r>
      <w:r w:rsidR="00890242">
        <w:rPr>
          <w:rFonts w:ascii="Times New Roman" w:hAnsi="Times New Roman"/>
        </w:rPr>
        <w:t xml:space="preserve">Among other things, the exemption would require them to </w:t>
      </w:r>
      <w:r w:rsidRPr="00A44672">
        <w:rPr>
          <w:rFonts w:ascii="Times New Roman" w:hAnsi="Times New Roman"/>
        </w:rPr>
        <w:t>adhere to basic fiduciary standards aimed at ensuring that their advice is in the best interest of their customers and take certain steps to minimize the impact of conflicts of interest.</w:t>
      </w:r>
    </w:p>
    <w:p w14:paraId="10E3B942" w14:textId="77777777" w:rsidR="00E71CC3" w:rsidRPr="00235B48" w:rsidRDefault="00E71CC3" w:rsidP="00491F77">
      <w:pPr>
        <w:widowControl/>
        <w:ind w:left="720"/>
        <w:rPr>
          <w:rFonts w:ascii="Times New Roman" w:hAnsi="Times New Roman"/>
        </w:rPr>
      </w:pPr>
    </w:p>
    <w:p w14:paraId="0B46C94F" w14:textId="77777777"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sz w:val="20"/>
          <w:szCs w:val="20"/>
        </w:rPr>
        <w:t>Indicate how, by whom, and for what purpose the information is to be used.  Except for a new collection, indicate the actual use the agency has made of the information received from the current collection.</w:t>
      </w:r>
    </w:p>
    <w:p w14:paraId="35A5953F" w14:textId="77777777" w:rsidR="00580110" w:rsidRDefault="00252E19" w:rsidP="000F7F3C">
      <w:pPr>
        <w:ind w:left="720"/>
      </w:pPr>
      <w:r w:rsidRPr="00252E19">
        <w:t xml:space="preserve"> </w:t>
      </w:r>
    </w:p>
    <w:p w14:paraId="2C5B588C" w14:textId="77777777" w:rsidR="00F21867" w:rsidRDefault="00252E19" w:rsidP="000F7F3C">
      <w:pPr>
        <w:ind w:left="720"/>
        <w:rPr>
          <w:rFonts w:ascii="Times New Roman" w:eastAsia="MS Mincho" w:hAnsi="Times New Roman"/>
        </w:rPr>
      </w:pPr>
      <w:r w:rsidRPr="00252E19">
        <w:rPr>
          <w:rFonts w:ascii="Times New Roman" w:eastAsia="MS Mincho" w:hAnsi="Times New Roman"/>
        </w:rPr>
        <w:t xml:space="preserve">As a condition of receiving compensation that would otherwise be prohibited under ERISA and the Code, </w:t>
      </w:r>
      <w:r>
        <w:rPr>
          <w:rFonts w:ascii="Times New Roman" w:eastAsia="MS Mincho" w:hAnsi="Times New Roman"/>
        </w:rPr>
        <w:t xml:space="preserve">Section II of </w:t>
      </w:r>
      <w:r w:rsidRPr="00252E19">
        <w:rPr>
          <w:rFonts w:ascii="Times New Roman" w:eastAsia="MS Mincho" w:hAnsi="Times New Roman"/>
        </w:rPr>
        <w:t xml:space="preserve">the exemption requires </w:t>
      </w:r>
      <w:r w:rsidR="009E215E">
        <w:rPr>
          <w:rFonts w:ascii="Times New Roman" w:eastAsia="MS Mincho" w:hAnsi="Times New Roman"/>
        </w:rPr>
        <w:t>IMOs</w:t>
      </w:r>
      <w:r w:rsidRPr="00252E19">
        <w:rPr>
          <w:rFonts w:ascii="Times New Roman" w:eastAsia="MS Mincho" w:hAnsi="Times New Roman"/>
        </w:rPr>
        <w:t xml:space="preserve"> to </w:t>
      </w:r>
      <w:r w:rsidR="00E71CC3">
        <w:rPr>
          <w:rFonts w:ascii="Times New Roman" w:eastAsia="MS Mincho" w:hAnsi="Times New Roman"/>
        </w:rPr>
        <w:t xml:space="preserve">provide a written </w:t>
      </w:r>
      <w:r w:rsidR="004612F7">
        <w:rPr>
          <w:rFonts w:ascii="Times New Roman" w:eastAsia="MS Mincho" w:hAnsi="Times New Roman"/>
        </w:rPr>
        <w:t>state</w:t>
      </w:r>
      <w:r w:rsidR="00E71CC3">
        <w:rPr>
          <w:rFonts w:ascii="Times New Roman" w:eastAsia="MS Mincho" w:hAnsi="Times New Roman"/>
        </w:rPr>
        <w:t>ment</w:t>
      </w:r>
      <w:r w:rsidR="004612F7">
        <w:rPr>
          <w:rFonts w:ascii="Times New Roman" w:eastAsia="MS Mincho" w:hAnsi="Times New Roman"/>
        </w:rPr>
        <w:t xml:space="preserve"> </w:t>
      </w:r>
      <w:r w:rsidR="00E71CC3">
        <w:rPr>
          <w:rFonts w:ascii="Times New Roman" w:eastAsia="MS Mincho" w:hAnsi="Times New Roman"/>
        </w:rPr>
        <w:t xml:space="preserve">of </w:t>
      </w:r>
      <w:r w:rsidRPr="00252E19">
        <w:rPr>
          <w:rFonts w:ascii="Times New Roman" w:eastAsia="MS Mincho" w:hAnsi="Times New Roman"/>
        </w:rPr>
        <w:t xml:space="preserve">their fiduciary status, and the fiduciary status of their </w:t>
      </w:r>
      <w:r w:rsidR="004612F7">
        <w:rPr>
          <w:rFonts w:ascii="Times New Roman" w:eastAsia="MS Mincho" w:hAnsi="Times New Roman"/>
        </w:rPr>
        <w:t>a</w:t>
      </w:r>
      <w:r w:rsidRPr="00252E19">
        <w:rPr>
          <w:rFonts w:ascii="Times New Roman" w:eastAsia="MS Mincho" w:hAnsi="Times New Roman"/>
        </w:rPr>
        <w:t>dvisers</w:t>
      </w:r>
      <w:r w:rsidR="00E71CC3">
        <w:rPr>
          <w:rFonts w:ascii="Times New Roman" w:eastAsia="MS Mincho" w:hAnsi="Times New Roman"/>
        </w:rPr>
        <w:t>, to retirement investors</w:t>
      </w:r>
      <w:r w:rsidRPr="00252E19">
        <w:rPr>
          <w:rFonts w:ascii="Times New Roman" w:eastAsia="MS Mincho" w:hAnsi="Times New Roman"/>
        </w:rPr>
        <w:t xml:space="preserve">.  The </w:t>
      </w:r>
      <w:r w:rsidR="009E215E">
        <w:rPr>
          <w:rFonts w:ascii="Times New Roman" w:eastAsia="MS Mincho" w:hAnsi="Times New Roman"/>
        </w:rPr>
        <w:t>IMO</w:t>
      </w:r>
      <w:r w:rsidRPr="00252E19">
        <w:rPr>
          <w:rFonts w:ascii="Times New Roman" w:eastAsia="MS Mincho" w:hAnsi="Times New Roman"/>
        </w:rPr>
        <w:t xml:space="preserve"> and </w:t>
      </w:r>
      <w:r w:rsidR="004612F7">
        <w:rPr>
          <w:rFonts w:ascii="Times New Roman" w:eastAsia="MS Mincho" w:hAnsi="Times New Roman"/>
        </w:rPr>
        <w:t>a</w:t>
      </w:r>
      <w:r w:rsidRPr="00252E19">
        <w:rPr>
          <w:rFonts w:ascii="Times New Roman" w:eastAsia="MS Mincho" w:hAnsi="Times New Roman"/>
        </w:rPr>
        <w:t>dvisers must adhere to enforceable standards of fiduciary conduct and fair dealing with respect to their advice</w:t>
      </w:r>
      <w:r w:rsidR="00426763">
        <w:rPr>
          <w:rFonts w:ascii="Times New Roman" w:eastAsia="MS Mincho" w:hAnsi="Times New Roman"/>
        </w:rPr>
        <w:t xml:space="preserve">, and must </w:t>
      </w:r>
      <w:r w:rsidR="00426763" w:rsidRPr="00426763">
        <w:rPr>
          <w:rFonts w:ascii="Times New Roman" w:eastAsia="MS Mincho" w:hAnsi="Times New Roman"/>
        </w:rPr>
        <w:t xml:space="preserve">adopt certain written </w:t>
      </w:r>
      <w:r w:rsidR="00E71CC3">
        <w:rPr>
          <w:rFonts w:ascii="Times New Roman" w:eastAsia="MS Mincho" w:hAnsi="Times New Roman"/>
        </w:rPr>
        <w:t xml:space="preserve">anti-conflict </w:t>
      </w:r>
      <w:r w:rsidR="00426763" w:rsidRPr="00426763">
        <w:rPr>
          <w:rFonts w:ascii="Times New Roman" w:eastAsia="MS Mincho" w:hAnsi="Times New Roman"/>
        </w:rPr>
        <w:t>policies and procedures</w:t>
      </w:r>
      <w:r w:rsidRPr="00252E19">
        <w:rPr>
          <w:rFonts w:ascii="Times New Roman" w:eastAsia="MS Mincho" w:hAnsi="Times New Roman"/>
        </w:rPr>
        <w:t>.  In the case of IRAs and non-ERISA plans, the exemption requires that the standards</w:t>
      </w:r>
      <w:r w:rsidR="0098252A">
        <w:rPr>
          <w:rFonts w:ascii="Times New Roman" w:eastAsia="MS Mincho" w:hAnsi="Times New Roman"/>
        </w:rPr>
        <w:t xml:space="preserve"> of fiduciary conduct</w:t>
      </w:r>
      <w:r w:rsidRPr="00252E19">
        <w:rPr>
          <w:rFonts w:ascii="Times New Roman" w:eastAsia="MS Mincho" w:hAnsi="Times New Roman"/>
        </w:rPr>
        <w:t xml:space="preserve"> be set forth in an enforceable contract with the </w:t>
      </w:r>
      <w:r w:rsidR="00E71CC3">
        <w:rPr>
          <w:rFonts w:ascii="Times New Roman" w:eastAsia="MS Mincho" w:hAnsi="Times New Roman"/>
        </w:rPr>
        <w:t>retirement investor</w:t>
      </w:r>
      <w:r w:rsidRPr="00252E19">
        <w:rPr>
          <w:rFonts w:ascii="Times New Roman" w:eastAsia="MS Mincho" w:hAnsi="Times New Roman"/>
        </w:rPr>
        <w:t xml:space="preserve">.  Under the exemption’s terms, </w:t>
      </w:r>
      <w:r w:rsidR="001534C9">
        <w:rPr>
          <w:rFonts w:ascii="Times New Roman" w:eastAsia="MS Mincho" w:hAnsi="Times New Roman"/>
        </w:rPr>
        <w:t>IMOs</w:t>
      </w:r>
      <w:r w:rsidRPr="00252E19">
        <w:rPr>
          <w:rFonts w:ascii="Times New Roman" w:eastAsia="MS Mincho" w:hAnsi="Times New Roman"/>
        </w:rPr>
        <w:t xml:space="preserve"> are not required to enter into a contract with ERISA plan investors, but they are obligated to adhere to these same standards of fiduciary conduct, which the investors can effectively enforce pursuant to </w:t>
      </w:r>
      <w:r w:rsidR="0098252A">
        <w:rPr>
          <w:rFonts w:ascii="Times New Roman" w:eastAsia="MS Mincho" w:hAnsi="Times New Roman"/>
        </w:rPr>
        <w:t>s</w:t>
      </w:r>
      <w:r w:rsidRPr="00252E19">
        <w:rPr>
          <w:rFonts w:ascii="Times New Roman" w:eastAsia="MS Mincho" w:hAnsi="Times New Roman"/>
        </w:rPr>
        <w:t>ections 502(a</w:t>
      </w:r>
      <w:proofErr w:type="gramStart"/>
      <w:r w:rsidRPr="00252E19">
        <w:rPr>
          <w:rFonts w:ascii="Times New Roman" w:eastAsia="MS Mincho" w:hAnsi="Times New Roman"/>
        </w:rPr>
        <w:t>)(</w:t>
      </w:r>
      <w:proofErr w:type="gramEnd"/>
      <w:r w:rsidRPr="00252E19">
        <w:rPr>
          <w:rFonts w:ascii="Times New Roman" w:eastAsia="MS Mincho" w:hAnsi="Times New Roman"/>
        </w:rPr>
        <w:t xml:space="preserve">2) and (3) of ERISA.  </w:t>
      </w:r>
    </w:p>
    <w:p w14:paraId="4760B159" w14:textId="77777777" w:rsidR="00E71CC3" w:rsidRDefault="00E71CC3" w:rsidP="000F7F3C">
      <w:pPr>
        <w:ind w:left="720"/>
        <w:rPr>
          <w:rFonts w:ascii="Times New Roman" w:eastAsia="MS Mincho" w:hAnsi="Times New Roman"/>
        </w:rPr>
      </w:pPr>
    </w:p>
    <w:p w14:paraId="63808FE7" w14:textId="4FB5FA35" w:rsidR="00EE53D9" w:rsidRDefault="00EE53D9" w:rsidP="000F7F3C">
      <w:pPr>
        <w:ind w:left="720"/>
        <w:rPr>
          <w:rFonts w:ascii="Times New Roman" w:eastAsia="MS Mincho" w:hAnsi="Times New Roman"/>
        </w:rPr>
      </w:pPr>
      <w:r>
        <w:rPr>
          <w:rFonts w:ascii="Times New Roman" w:eastAsia="MS Mincho" w:hAnsi="Times New Roman"/>
        </w:rPr>
        <w:t xml:space="preserve">Section II also requires the </w:t>
      </w:r>
      <w:r w:rsidR="008D174D">
        <w:rPr>
          <w:rFonts w:ascii="Times New Roman" w:eastAsia="MS Mincho" w:hAnsi="Times New Roman"/>
        </w:rPr>
        <w:t xml:space="preserve">IMO to adopt written policies and procedures reasonably and prudently designed to ensure that advisers adhere to the exemption’s standards.  As part of the policies and procedures, the IMO must designate a </w:t>
      </w:r>
      <w:r>
        <w:rPr>
          <w:rFonts w:ascii="Times New Roman" w:eastAsia="MS Mincho" w:hAnsi="Times New Roman"/>
        </w:rPr>
        <w:t>person or persons responsible for addressing material conflicts of interest and monitoring Advisers’ adherence to the Impartial Conduct Standards</w:t>
      </w:r>
      <w:r w:rsidR="008D174D">
        <w:rPr>
          <w:rFonts w:ascii="Times New Roman" w:eastAsia="MS Mincho" w:hAnsi="Times New Roman"/>
        </w:rPr>
        <w:t>,</w:t>
      </w:r>
      <w:r w:rsidR="00B70775">
        <w:rPr>
          <w:rFonts w:ascii="Times New Roman" w:eastAsia="MS Mincho" w:hAnsi="Times New Roman"/>
        </w:rPr>
        <w:t xml:space="preserve"> to approve all recommended annuity applications in writing.</w:t>
      </w:r>
    </w:p>
    <w:p w14:paraId="561D7253" w14:textId="77777777" w:rsidR="00EE53D9" w:rsidRDefault="00EE53D9" w:rsidP="000F7F3C">
      <w:pPr>
        <w:ind w:left="720"/>
        <w:rPr>
          <w:rFonts w:ascii="Times New Roman" w:eastAsia="MS Mincho" w:hAnsi="Times New Roman"/>
        </w:rPr>
      </w:pPr>
    </w:p>
    <w:p w14:paraId="42B7B916" w14:textId="77777777" w:rsidR="00300D26" w:rsidRDefault="00580110" w:rsidP="000F7F3C">
      <w:pPr>
        <w:ind w:left="720"/>
        <w:rPr>
          <w:rFonts w:ascii="Times New Roman" w:eastAsia="Calibri" w:hAnsi="Times New Roman"/>
        </w:rPr>
      </w:pPr>
      <w:r w:rsidRPr="00580110">
        <w:rPr>
          <w:rFonts w:ascii="Times New Roman" w:eastAsia="MS Mincho" w:hAnsi="Times New Roman"/>
        </w:rPr>
        <w:t xml:space="preserve">The exemption requires disclosure of </w:t>
      </w:r>
      <w:r w:rsidR="004612F7">
        <w:rPr>
          <w:rFonts w:ascii="Times New Roman" w:eastAsia="MS Mincho" w:hAnsi="Times New Roman"/>
        </w:rPr>
        <w:t>m</w:t>
      </w:r>
      <w:r w:rsidRPr="00580110">
        <w:rPr>
          <w:rFonts w:ascii="Times New Roman" w:eastAsia="MS Mincho" w:hAnsi="Times New Roman"/>
        </w:rPr>
        <w:t xml:space="preserve">aterial </w:t>
      </w:r>
      <w:r w:rsidR="004612F7">
        <w:rPr>
          <w:rFonts w:ascii="Times New Roman" w:eastAsia="MS Mincho" w:hAnsi="Times New Roman"/>
        </w:rPr>
        <w:t>c</w:t>
      </w:r>
      <w:r w:rsidRPr="00580110">
        <w:rPr>
          <w:rFonts w:ascii="Times New Roman" w:eastAsia="MS Mincho" w:hAnsi="Times New Roman"/>
        </w:rPr>
        <w:t xml:space="preserve">onflicts of </w:t>
      </w:r>
      <w:r w:rsidR="004612F7">
        <w:rPr>
          <w:rFonts w:ascii="Times New Roman" w:eastAsia="MS Mincho" w:hAnsi="Times New Roman"/>
        </w:rPr>
        <w:t>i</w:t>
      </w:r>
      <w:r w:rsidRPr="00580110">
        <w:rPr>
          <w:rFonts w:ascii="Times New Roman" w:eastAsia="MS Mincho" w:hAnsi="Times New Roman"/>
        </w:rPr>
        <w:t xml:space="preserve">nterest and basic information relating to those conflicts and the advisory relationship in Sections II and III.  The exemption requires contract disclosures </w:t>
      </w:r>
      <w:r w:rsidR="00253598">
        <w:rPr>
          <w:rFonts w:ascii="Times New Roman" w:eastAsia="MS Mincho" w:hAnsi="Times New Roman"/>
        </w:rPr>
        <w:t xml:space="preserve">and contracts </w:t>
      </w:r>
      <w:r w:rsidRPr="00580110">
        <w:rPr>
          <w:rFonts w:ascii="Times New Roman" w:eastAsia="MS Mincho" w:hAnsi="Times New Roman"/>
        </w:rPr>
        <w:t xml:space="preserve">(Section </w:t>
      </w:r>
      <w:proofErr w:type="gramStart"/>
      <w:r w:rsidRPr="00580110">
        <w:rPr>
          <w:rFonts w:ascii="Times New Roman" w:eastAsia="MS Mincho" w:hAnsi="Times New Roman"/>
        </w:rPr>
        <w:t>II(</w:t>
      </w:r>
      <w:proofErr w:type="gramEnd"/>
      <w:r w:rsidRPr="00580110">
        <w:rPr>
          <w:rFonts w:ascii="Times New Roman" w:eastAsia="MS Mincho" w:hAnsi="Times New Roman"/>
        </w:rPr>
        <w:t xml:space="preserve">e)),  pre-transaction (or point of sale) disclosures </w:t>
      </w:r>
      <w:r w:rsidR="00E254DE">
        <w:rPr>
          <w:rFonts w:ascii="Times New Roman" w:eastAsia="MS Mincho" w:hAnsi="Times New Roman"/>
        </w:rPr>
        <w:t xml:space="preserve">and annuity-specific pre-transaction disclosures </w:t>
      </w:r>
      <w:r w:rsidRPr="00580110">
        <w:rPr>
          <w:rFonts w:ascii="Times New Roman" w:eastAsia="MS Mincho" w:hAnsi="Times New Roman"/>
        </w:rPr>
        <w:t xml:space="preserve">(Section III(a)), and web-based disclosures (Section III(b)).  One of the chief aims of the disclosures is to ensure that the </w:t>
      </w:r>
      <w:r w:rsidR="004612F7">
        <w:rPr>
          <w:rFonts w:ascii="Times New Roman" w:eastAsia="MS Mincho" w:hAnsi="Times New Roman"/>
        </w:rPr>
        <w:t>r</w:t>
      </w:r>
      <w:r w:rsidRPr="00580110">
        <w:rPr>
          <w:rFonts w:ascii="Times New Roman" w:eastAsia="MS Mincho" w:hAnsi="Times New Roman"/>
        </w:rPr>
        <w:t xml:space="preserve">etirement </w:t>
      </w:r>
      <w:r w:rsidR="004612F7">
        <w:rPr>
          <w:rFonts w:ascii="Times New Roman" w:eastAsia="MS Mincho" w:hAnsi="Times New Roman"/>
        </w:rPr>
        <w:t>i</w:t>
      </w:r>
      <w:r w:rsidRPr="00580110">
        <w:rPr>
          <w:rFonts w:ascii="Times New Roman" w:eastAsia="MS Mincho" w:hAnsi="Times New Roman"/>
        </w:rPr>
        <w:t xml:space="preserve">nvestor is fairly informed of the </w:t>
      </w:r>
      <w:r w:rsidR="004612F7">
        <w:rPr>
          <w:rFonts w:ascii="Times New Roman" w:eastAsia="MS Mincho" w:hAnsi="Times New Roman"/>
        </w:rPr>
        <w:t>a</w:t>
      </w:r>
      <w:r w:rsidRPr="00580110">
        <w:rPr>
          <w:rFonts w:ascii="Times New Roman" w:eastAsia="MS Mincho" w:hAnsi="Times New Roman"/>
        </w:rPr>
        <w:t xml:space="preserve">dviser’s and </w:t>
      </w:r>
      <w:r w:rsidR="004612F7">
        <w:rPr>
          <w:rFonts w:ascii="Times New Roman" w:eastAsia="MS Mincho" w:hAnsi="Times New Roman"/>
        </w:rPr>
        <w:t>f</w:t>
      </w:r>
      <w:r w:rsidRPr="00580110">
        <w:rPr>
          <w:rFonts w:ascii="Times New Roman" w:eastAsia="MS Mincho" w:hAnsi="Times New Roman"/>
        </w:rPr>
        <w:t xml:space="preserve">inancial </w:t>
      </w:r>
      <w:r w:rsidR="004612F7">
        <w:rPr>
          <w:rFonts w:ascii="Times New Roman" w:eastAsia="MS Mincho" w:hAnsi="Times New Roman"/>
        </w:rPr>
        <w:t>i</w:t>
      </w:r>
      <w:r w:rsidRPr="00580110">
        <w:rPr>
          <w:rFonts w:ascii="Times New Roman" w:eastAsia="MS Mincho" w:hAnsi="Times New Roman"/>
        </w:rPr>
        <w:t xml:space="preserve">nstitution’s conflicts of interest.  The </w:t>
      </w:r>
      <w:r w:rsidR="00B5006D">
        <w:rPr>
          <w:rFonts w:ascii="Times New Roman" w:eastAsia="MS Mincho" w:hAnsi="Times New Roman"/>
        </w:rPr>
        <w:t>proposed</w:t>
      </w:r>
      <w:r w:rsidRPr="00580110">
        <w:rPr>
          <w:rFonts w:ascii="Times New Roman" w:eastAsia="MS Mincho" w:hAnsi="Times New Roman"/>
        </w:rPr>
        <w:t xml:space="preserve"> exemption adopts a tiered approach, generally providing for automatic disclosure of basic information on conflicts of interest and the advisory relationship, but requiring more detailed disclosure, free of charge, upon request.  </w:t>
      </w:r>
      <w:r w:rsidR="004612F7">
        <w:rPr>
          <w:rFonts w:ascii="Times New Roman" w:eastAsia="MS Mincho" w:hAnsi="Times New Roman"/>
        </w:rPr>
        <w:t>T</w:t>
      </w:r>
      <w:r w:rsidRPr="00580110">
        <w:rPr>
          <w:rFonts w:ascii="Times New Roman" w:eastAsia="MS Mincho" w:hAnsi="Times New Roman"/>
        </w:rPr>
        <w:t xml:space="preserve">he </w:t>
      </w:r>
      <w:r w:rsidR="00B5006D">
        <w:rPr>
          <w:rFonts w:ascii="Times New Roman" w:eastAsia="MS Mincho" w:hAnsi="Times New Roman"/>
        </w:rPr>
        <w:t>proposed</w:t>
      </w:r>
      <w:r w:rsidRPr="00580110">
        <w:rPr>
          <w:rFonts w:ascii="Times New Roman" w:eastAsia="MS Mincho" w:hAnsi="Times New Roman"/>
        </w:rPr>
        <w:t xml:space="preserve"> exemption requires disclosure of the information </w:t>
      </w:r>
      <w:r w:rsidR="004612F7">
        <w:rPr>
          <w:rFonts w:ascii="Times New Roman" w:eastAsia="MS Mincho" w:hAnsi="Times New Roman"/>
        </w:rPr>
        <w:t>r</w:t>
      </w:r>
      <w:r w:rsidRPr="00580110">
        <w:rPr>
          <w:rFonts w:ascii="Times New Roman" w:eastAsia="MS Mincho" w:hAnsi="Times New Roman"/>
        </w:rPr>
        <w:t xml:space="preserve">etirement </w:t>
      </w:r>
      <w:r w:rsidR="004612F7">
        <w:rPr>
          <w:rFonts w:ascii="Times New Roman" w:eastAsia="MS Mincho" w:hAnsi="Times New Roman"/>
        </w:rPr>
        <w:t>i</w:t>
      </w:r>
      <w:r w:rsidRPr="00580110">
        <w:rPr>
          <w:rFonts w:ascii="Times New Roman" w:eastAsia="MS Mincho" w:hAnsi="Times New Roman"/>
        </w:rPr>
        <w:t>nvestors need to assess conflicts of interest and compensation structures, while reducing compliance burden.</w:t>
      </w:r>
    </w:p>
    <w:p w14:paraId="1D446027" w14:textId="77777777" w:rsidR="00580110" w:rsidRDefault="00580110" w:rsidP="000F7F3C">
      <w:pPr>
        <w:ind w:left="720"/>
        <w:rPr>
          <w:rFonts w:ascii="Times New Roman" w:eastAsia="Calibri" w:hAnsi="Times New Roman"/>
        </w:rPr>
      </w:pPr>
    </w:p>
    <w:p w14:paraId="632985DE" w14:textId="0A0721C6" w:rsidR="000A13E9" w:rsidRDefault="00580110" w:rsidP="000F7F3C">
      <w:pPr>
        <w:ind w:left="720"/>
        <w:rPr>
          <w:rFonts w:ascii="Times New Roman" w:eastAsia="Calibri" w:hAnsi="Times New Roman"/>
        </w:rPr>
      </w:pPr>
      <w:r w:rsidRPr="00580110">
        <w:rPr>
          <w:rFonts w:ascii="Times New Roman" w:eastAsia="Calibri" w:hAnsi="Times New Roman"/>
        </w:rPr>
        <w:t xml:space="preserve">Section IV of the exemption applies to </w:t>
      </w:r>
      <w:r w:rsidR="001534C9">
        <w:rPr>
          <w:rFonts w:ascii="Times New Roman" w:eastAsia="Calibri" w:hAnsi="Times New Roman"/>
        </w:rPr>
        <w:t>IMOs</w:t>
      </w:r>
      <w:r w:rsidRPr="00580110">
        <w:rPr>
          <w:rFonts w:ascii="Times New Roman" w:eastAsia="Calibri" w:hAnsi="Times New Roman"/>
        </w:rPr>
        <w:t xml:space="preserve"> and </w:t>
      </w:r>
      <w:r w:rsidR="004612F7">
        <w:rPr>
          <w:rFonts w:ascii="Times New Roman" w:eastAsia="Calibri" w:hAnsi="Times New Roman"/>
        </w:rPr>
        <w:t>a</w:t>
      </w:r>
      <w:r w:rsidRPr="00580110">
        <w:rPr>
          <w:rFonts w:ascii="Times New Roman" w:eastAsia="Calibri" w:hAnsi="Times New Roman"/>
        </w:rPr>
        <w:t xml:space="preserve">dvisers that restrict recommendations, in whole or in part, to investments that are </w:t>
      </w:r>
      <w:r w:rsidR="004612F7">
        <w:rPr>
          <w:rFonts w:ascii="Times New Roman" w:eastAsia="Calibri" w:hAnsi="Times New Roman"/>
        </w:rPr>
        <w:t>p</w:t>
      </w:r>
      <w:r w:rsidRPr="00580110">
        <w:rPr>
          <w:rFonts w:ascii="Times New Roman" w:eastAsia="Calibri" w:hAnsi="Times New Roman"/>
        </w:rPr>
        <w:t xml:space="preserve">roprietary </w:t>
      </w:r>
      <w:r w:rsidR="004612F7">
        <w:rPr>
          <w:rFonts w:ascii="Times New Roman" w:eastAsia="Calibri" w:hAnsi="Times New Roman"/>
        </w:rPr>
        <w:t>p</w:t>
      </w:r>
      <w:r w:rsidRPr="00580110">
        <w:rPr>
          <w:rFonts w:ascii="Times New Roman" w:eastAsia="Calibri" w:hAnsi="Times New Roman"/>
        </w:rPr>
        <w:t xml:space="preserve">roducts or that generate </w:t>
      </w:r>
      <w:r w:rsidR="004612F7">
        <w:rPr>
          <w:rFonts w:ascii="Times New Roman" w:eastAsia="Calibri" w:hAnsi="Times New Roman"/>
        </w:rPr>
        <w:t>t</w:t>
      </w:r>
      <w:r w:rsidRPr="00580110">
        <w:rPr>
          <w:rFonts w:ascii="Times New Roman" w:eastAsia="Calibri" w:hAnsi="Times New Roman"/>
        </w:rPr>
        <w:t xml:space="preserve">hird </w:t>
      </w:r>
      <w:r w:rsidR="004612F7">
        <w:rPr>
          <w:rFonts w:ascii="Times New Roman" w:eastAsia="Calibri" w:hAnsi="Times New Roman"/>
        </w:rPr>
        <w:t>p</w:t>
      </w:r>
      <w:r w:rsidRPr="00580110">
        <w:rPr>
          <w:rFonts w:ascii="Times New Roman" w:eastAsia="Calibri" w:hAnsi="Times New Roman"/>
        </w:rPr>
        <w:t xml:space="preserve">arty </w:t>
      </w:r>
      <w:r w:rsidR="004612F7">
        <w:rPr>
          <w:rFonts w:ascii="Times New Roman" w:eastAsia="Calibri" w:hAnsi="Times New Roman"/>
        </w:rPr>
        <w:t>p</w:t>
      </w:r>
      <w:r w:rsidRPr="00580110">
        <w:rPr>
          <w:rFonts w:ascii="Times New Roman" w:eastAsia="Calibri" w:hAnsi="Times New Roman"/>
        </w:rPr>
        <w:t>ayments</w:t>
      </w:r>
      <w:r w:rsidR="009E215E">
        <w:rPr>
          <w:rFonts w:ascii="Times New Roman" w:eastAsia="Calibri" w:hAnsi="Times New Roman"/>
        </w:rPr>
        <w:t xml:space="preserve">, which the Department believes includes all IMOs </w:t>
      </w:r>
      <w:r w:rsidR="008D174D">
        <w:rPr>
          <w:rFonts w:ascii="Times New Roman" w:eastAsia="Calibri" w:hAnsi="Times New Roman"/>
        </w:rPr>
        <w:t>that will rely on the exemption</w:t>
      </w:r>
      <w:r w:rsidRPr="00580110">
        <w:rPr>
          <w:rFonts w:ascii="Times New Roman" w:eastAsia="Calibri" w:hAnsi="Times New Roman"/>
        </w:rPr>
        <w:t xml:space="preserve">.  </w:t>
      </w:r>
      <w:r w:rsidR="009E215E">
        <w:rPr>
          <w:rFonts w:ascii="Times New Roman" w:eastAsia="Calibri" w:hAnsi="Times New Roman"/>
        </w:rPr>
        <w:t>IMOs</w:t>
      </w:r>
      <w:r w:rsidR="0098252A">
        <w:rPr>
          <w:rFonts w:ascii="Times New Roman" w:eastAsia="Calibri" w:hAnsi="Times New Roman"/>
        </w:rPr>
        <w:t xml:space="preserve"> must prepare additional documentation regarding the limitations</w:t>
      </w:r>
      <w:r w:rsidR="00FC7D24">
        <w:rPr>
          <w:rFonts w:ascii="Times New Roman" w:eastAsia="Calibri" w:hAnsi="Times New Roman"/>
        </w:rPr>
        <w:t xml:space="preserve"> on investment recommendations,</w:t>
      </w:r>
      <w:r w:rsidR="0098252A">
        <w:rPr>
          <w:rFonts w:ascii="Times New Roman" w:eastAsia="Calibri" w:hAnsi="Times New Roman"/>
        </w:rPr>
        <w:t xml:space="preserve"> and </w:t>
      </w:r>
      <w:r w:rsidR="00FC7D24">
        <w:rPr>
          <w:rFonts w:ascii="Times New Roman" w:eastAsia="Calibri" w:hAnsi="Times New Roman"/>
        </w:rPr>
        <w:t>their</w:t>
      </w:r>
      <w:r w:rsidR="0098252A">
        <w:rPr>
          <w:rFonts w:ascii="Times New Roman" w:eastAsia="Calibri" w:hAnsi="Times New Roman"/>
        </w:rPr>
        <w:t xml:space="preserve"> conclusions </w:t>
      </w:r>
      <w:r w:rsidR="000A13E9">
        <w:rPr>
          <w:rFonts w:ascii="Times New Roman" w:eastAsia="Calibri" w:hAnsi="Times New Roman"/>
        </w:rPr>
        <w:t>that the limitations w</w:t>
      </w:r>
      <w:r w:rsidR="0098252A">
        <w:rPr>
          <w:rFonts w:ascii="Times New Roman" w:eastAsia="Calibri" w:hAnsi="Times New Roman"/>
        </w:rPr>
        <w:t>ill not cause the</w:t>
      </w:r>
      <w:r w:rsidR="008D174D">
        <w:rPr>
          <w:rFonts w:ascii="Times New Roman" w:eastAsia="Calibri" w:hAnsi="Times New Roman"/>
        </w:rPr>
        <w:t>m</w:t>
      </w:r>
      <w:r w:rsidR="0098252A">
        <w:rPr>
          <w:rFonts w:ascii="Times New Roman" w:eastAsia="Calibri" w:hAnsi="Times New Roman"/>
        </w:rPr>
        <w:t xml:space="preserve"> or </w:t>
      </w:r>
      <w:r w:rsidR="008D174D">
        <w:rPr>
          <w:rFonts w:ascii="Times New Roman" w:eastAsia="Calibri" w:hAnsi="Times New Roman"/>
        </w:rPr>
        <w:t>their</w:t>
      </w:r>
      <w:r w:rsidR="0098252A">
        <w:rPr>
          <w:rFonts w:ascii="Times New Roman" w:eastAsia="Calibri" w:hAnsi="Times New Roman"/>
        </w:rPr>
        <w:t xml:space="preserve"> advisers to receive compensation in excess of reasonable compensation </w:t>
      </w:r>
      <w:r w:rsidR="000A13E9">
        <w:rPr>
          <w:rFonts w:ascii="Times New Roman" w:eastAsia="Calibri" w:hAnsi="Times New Roman"/>
        </w:rPr>
        <w:t xml:space="preserve">or to recommend imprudent investments. </w:t>
      </w:r>
    </w:p>
    <w:p w14:paraId="4B017D59" w14:textId="77777777" w:rsidR="001D06E4" w:rsidRPr="00300D26" w:rsidRDefault="001D06E4" w:rsidP="000A13E9">
      <w:pPr>
        <w:ind w:left="720"/>
        <w:rPr>
          <w:rFonts w:ascii="Times New Roman" w:eastAsia="Calibri" w:hAnsi="Times New Roman"/>
        </w:rPr>
      </w:pPr>
    </w:p>
    <w:p w14:paraId="1332A829" w14:textId="0F6100B7" w:rsidR="00300D26" w:rsidRPr="00300D26" w:rsidRDefault="00106138" w:rsidP="000F7F3C">
      <w:pPr>
        <w:ind w:left="720"/>
        <w:rPr>
          <w:rFonts w:ascii="Times New Roman" w:eastAsia="Calibri" w:hAnsi="Times New Roman"/>
        </w:rPr>
      </w:pPr>
      <w:r>
        <w:rPr>
          <w:rFonts w:ascii="Times New Roman" w:eastAsia="Calibri" w:hAnsi="Times New Roman"/>
        </w:rPr>
        <w:t>B</w:t>
      </w:r>
      <w:r w:rsidR="00300D26" w:rsidRPr="00300D26">
        <w:rPr>
          <w:rFonts w:ascii="Times New Roman" w:eastAsia="Calibri" w:hAnsi="Times New Roman"/>
        </w:rPr>
        <w:t xml:space="preserve">efore the </w:t>
      </w:r>
      <w:r w:rsidR="009A139C">
        <w:rPr>
          <w:rFonts w:ascii="Times New Roman" w:eastAsia="Calibri" w:hAnsi="Times New Roman"/>
        </w:rPr>
        <w:t>IMO</w:t>
      </w:r>
      <w:r w:rsidR="00300D26" w:rsidRPr="00300D26">
        <w:rPr>
          <w:rFonts w:ascii="Times New Roman" w:eastAsia="Calibri" w:hAnsi="Times New Roman"/>
        </w:rPr>
        <w:t xml:space="preserve"> </w:t>
      </w:r>
      <w:r w:rsidR="006E7303">
        <w:rPr>
          <w:rFonts w:ascii="Times New Roman" w:eastAsia="Calibri" w:hAnsi="Times New Roman"/>
        </w:rPr>
        <w:t xml:space="preserve">receives compensation permitted under </w:t>
      </w:r>
      <w:r w:rsidR="00300D26" w:rsidRPr="00300D26">
        <w:rPr>
          <w:rFonts w:ascii="Times New Roman" w:eastAsia="Calibri" w:hAnsi="Times New Roman"/>
        </w:rPr>
        <w:t>th</w:t>
      </w:r>
      <w:r w:rsidR="009F5057">
        <w:rPr>
          <w:rFonts w:ascii="Times New Roman" w:eastAsia="Calibri" w:hAnsi="Times New Roman"/>
        </w:rPr>
        <w:t xml:space="preserve">e </w:t>
      </w:r>
      <w:r w:rsidR="00300D26" w:rsidRPr="00300D26">
        <w:rPr>
          <w:rFonts w:ascii="Times New Roman" w:eastAsia="Calibri" w:hAnsi="Times New Roman"/>
        </w:rPr>
        <w:t xml:space="preserve">PTE, Section </w:t>
      </w:r>
      <w:proofErr w:type="gramStart"/>
      <w:r w:rsidR="00300D26" w:rsidRPr="00300D26">
        <w:rPr>
          <w:rFonts w:ascii="Times New Roman" w:eastAsia="Calibri" w:hAnsi="Times New Roman"/>
        </w:rPr>
        <w:t>V(</w:t>
      </w:r>
      <w:proofErr w:type="gramEnd"/>
      <w:r w:rsidR="00300D26" w:rsidRPr="00300D26">
        <w:rPr>
          <w:rFonts w:ascii="Times New Roman" w:eastAsia="Calibri" w:hAnsi="Times New Roman"/>
        </w:rPr>
        <w:t>a) require</w:t>
      </w:r>
      <w:r w:rsidR="004612F7">
        <w:rPr>
          <w:rFonts w:ascii="Times New Roman" w:eastAsia="Calibri" w:hAnsi="Times New Roman"/>
        </w:rPr>
        <w:t>s</w:t>
      </w:r>
      <w:r w:rsidR="00300D26" w:rsidRPr="00300D26">
        <w:rPr>
          <w:rFonts w:ascii="Times New Roman" w:eastAsia="Calibri" w:hAnsi="Times New Roman"/>
        </w:rPr>
        <w:t xml:space="preserve"> </w:t>
      </w:r>
      <w:r w:rsidR="008D174D">
        <w:rPr>
          <w:rFonts w:ascii="Times New Roman" w:eastAsia="Calibri" w:hAnsi="Times New Roman"/>
        </w:rPr>
        <w:t>it</w:t>
      </w:r>
      <w:r w:rsidR="00300D26" w:rsidRPr="00300D26">
        <w:rPr>
          <w:rFonts w:ascii="Times New Roman" w:eastAsia="Calibri" w:hAnsi="Times New Roman"/>
        </w:rPr>
        <w:t xml:space="preserve"> to provide notice to the Department of its intent </w:t>
      </w:r>
      <w:r w:rsidR="00FC7D24">
        <w:rPr>
          <w:rFonts w:ascii="Times New Roman" w:eastAsia="Calibri" w:hAnsi="Times New Roman"/>
        </w:rPr>
        <w:t>to</w:t>
      </w:r>
      <w:r w:rsidR="00300D26" w:rsidRPr="00300D26">
        <w:rPr>
          <w:rFonts w:ascii="Times New Roman" w:eastAsia="Calibri" w:hAnsi="Times New Roman"/>
        </w:rPr>
        <w:t xml:space="preserve"> rel</w:t>
      </w:r>
      <w:r w:rsidR="00FC7D24">
        <w:rPr>
          <w:rFonts w:ascii="Times New Roman" w:eastAsia="Calibri" w:hAnsi="Times New Roman"/>
        </w:rPr>
        <w:t>y on</w:t>
      </w:r>
      <w:r w:rsidR="00300D26" w:rsidRPr="00300D26">
        <w:rPr>
          <w:rFonts w:ascii="Times New Roman" w:eastAsia="Calibri" w:hAnsi="Times New Roman"/>
        </w:rPr>
        <w:t xml:space="preserve"> th</w:t>
      </w:r>
      <w:r w:rsidR="009F5057">
        <w:rPr>
          <w:rFonts w:ascii="Times New Roman" w:eastAsia="Calibri" w:hAnsi="Times New Roman"/>
        </w:rPr>
        <w:t>e</w:t>
      </w:r>
      <w:r w:rsidR="00300D26" w:rsidRPr="00300D26">
        <w:rPr>
          <w:rFonts w:ascii="Times New Roman" w:eastAsia="Calibri" w:hAnsi="Times New Roman"/>
        </w:rPr>
        <w:t xml:space="preserve"> PTE.</w:t>
      </w:r>
      <w:r w:rsidR="00225667">
        <w:rPr>
          <w:rFonts w:ascii="Times New Roman" w:eastAsia="Calibri" w:hAnsi="Times New Roman"/>
        </w:rPr>
        <w:t xml:space="preserve">  </w:t>
      </w:r>
      <w:r w:rsidR="00225667" w:rsidRPr="00225667">
        <w:rPr>
          <w:rFonts w:ascii="Times New Roman" w:eastAsia="Calibri" w:hAnsi="Times New Roman"/>
        </w:rPr>
        <w:t>Under Section V(b)</w:t>
      </w:r>
      <w:r w:rsidR="007A7C8F">
        <w:rPr>
          <w:rFonts w:ascii="Times New Roman" w:eastAsia="Calibri" w:hAnsi="Times New Roman"/>
        </w:rPr>
        <w:t xml:space="preserve"> and (c) of the exemption, the </w:t>
      </w:r>
      <w:r w:rsidR="009A139C">
        <w:rPr>
          <w:rFonts w:ascii="Times New Roman" w:eastAsia="Calibri" w:hAnsi="Times New Roman"/>
        </w:rPr>
        <w:t>IMO</w:t>
      </w:r>
      <w:r w:rsidR="00225667" w:rsidRPr="00225667">
        <w:rPr>
          <w:rFonts w:ascii="Times New Roman" w:eastAsia="Calibri" w:hAnsi="Times New Roman"/>
        </w:rPr>
        <w:t xml:space="preserve"> must maintain for six years records necessary for the Department and certain other entities, including plan fiduciaries, participants, beneficiaries and IRA owners, to determine whether the conditions of the exemption have been satisfied.  These records would include, for example, records concerning the </w:t>
      </w:r>
      <w:r w:rsidR="008D174D">
        <w:rPr>
          <w:rFonts w:ascii="Times New Roman" w:eastAsia="Calibri" w:hAnsi="Times New Roman"/>
        </w:rPr>
        <w:t>IMO</w:t>
      </w:r>
      <w:r w:rsidR="00225667" w:rsidRPr="00225667">
        <w:rPr>
          <w:rFonts w:ascii="Times New Roman" w:eastAsia="Calibri" w:hAnsi="Times New Roman"/>
        </w:rPr>
        <w:t xml:space="preserve">’s </w:t>
      </w:r>
      <w:r w:rsidR="008D174D">
        <w:rPr>
          <w:rFonts w:ascii="Times New Roman" w:eastAsia="Calibri" w:hAnsi="Times New Roman"/>
        </w:rPr>
        <w:t xml:space="preserve">policies and procedures governing its </w:t>
      </w:r>
      <w:r w:rsidR="00225667" w:rsidRPr="00225667">
        <w:rPr>
          <w:rFonts w:ascii="Times New Roman" w:eastAsia="Calibri" w:hAnsi="Times New Roman"/>
        </w:rPr>
        <w:t xml:space="preserve">incentive and compensation practices for its </w:t>
      </w:r>
      <w:r w:rsidR="004612F7">
        <w:rPr>
          <w:rFonts w:ascii="Times New Roman" w:eastAsia="Calibri" w:hAnsi="Times New Roman"/>
        </w:rPr>
        <w:t>a</w:t>
      </w:r>
      <w:r w:rsidR="00225667" w:rsidRPr="00225667">
        <w:rPr>
          <w:rFonts w:ascii="Times New Roman" w:eastAsia="Calibri" w:hAnsi="Times New Roman"/>
        </w:rPr>
        <w:t>dvisers, , the documents prepared under Section IV (</w:t>
      </w:r>
      <w:r w:rsidR="004612F7">
        <w:rPr>
          <w:rFonts w:ascii="Times New Roman" w:eastAsia="Calibri" w:hAnsi="Times New Roman"/>
        </w:rPr>
        <w:t>p</w:t>
      </w:r>
      <w:r w:rsidR="00225667" w:rsidRPr="00225667">
        <w:rPr>
          <w:rFonts w:ascii="Times New Roman" w:eastAsia="Calibri" w:hAnsi="Times New Roman"/>
        </w:rPr>
        <w:t xml:space="preserve">roprietary </w:t>
      </w:r>
      <w:r w:rsidR="004612F7">
        <w:rPr>
          <w:rFonts w:ascii="Times New Roman" w:eastAsia="Calibri" w:hAnsi="Times New Roman"/>
        </w:rPr>
        <w:t>p</w:t>
      </w:r>
      <w:r w:rsidR="00225667" w:rsidRPr="00225667">
        <w:rPr>
          <w:rFonts w:ascii="Times New Roman" w:eastAsia="Calibri" w:hAnsi="Times New Roman"/>
        </w:rPr>
        <w:t xml:space="preserve">roducts and </w:t>
      </w:r>
      <w:r w:rsidR="004612F7">
        <w:rPr>
          <w:rFonts w:ascii="Times New Roman" w:eastAsia="Calibri" w:hAnsi="Times New Roman"/>
        </w:rPr>
        <w:t>t</w:t>
      </w:r>
      <w:r w:rsidR="00225667" w:rsidRPr="00225667">
        <w:rPr>
          <w:rFonts w:ascii="Times New Roman" w:eastAsia="Calibri" w:hAnsi="Times New Roman"/>
        </w:rPr>
        <w:t xml:space="preserve">hird </w:t>
      </w:r>
      <w:r w:rsidR="004612F7">
        <w:rPr>
          <w:rFonts w:ascii="Times New Roman" w:eastAsia="Calibri" w:hAnsi="Times New Roman"/>
        </w:rPr>
        <w:t>p</w:t>
      </w:r>
      <w:r w:rsidR="00225667" w:rsidRPr="00225667">
        <w:rPr>
          <w:rFonts w:ascii="Times New Roman" w:eastAsia="Calibri" w:hAnsi="Times New Roman"/>
        </w:rPr>
        <w:t xml:space="preserve">arty </w:t>
      </w:r>
      <w:r w:rsidR="004612F7">
        <w:rPr>
          <w:rFonts w:ascii="Times New Roman" w:eastAsia="Calibri" w:hAnsi="Times New Roman"/>
        </w:rPr>
        <w:t>p</w:t>
      </w:r>
      <w:r w:rsidR="00225667" w:rsidRPr="00225667">
        <w:rPr>
          <w:rFonts w:ascii="Times New Roman" w:eastAsia="Calibri" w:hAnsi="Times New Roman"/>
        </w:rPr>
        <w:t xml:space="preserve">ayments), contracts entered into with </w:t>
      </w:r>
      <w:r w:rsidR="004612F7">
        <w:rPr>
          <w:rFonts w:ascii="Times New Roman" w:eastAsia="Calibri" w:hAnsi="Times New Roman"/>
        </w:rPr>
        <w:t>r</w:t>
      </w:r>
      <w:r w:rsidR="00225667" w:rsidRPr="00225667">
        <w:rPr>
          <w:rFonts w:ascii="Times New Roman" w:eastAsia="Calibri" w:hAnsi="Times New Roman"/>
        </w:rPr>
        <w:t xml:space="preserve">etirement </w:t>
      </w:r>
      <w:r w:rsidR="004612F7">
        <w:rPr>
          <w:rFonts w:ascii="Times New Roman" w:eastAsia="Calibri" w:hAnsi="Times New Roman"/>
        </w:rPr>
        <w:t>i</w:t>
      </w:r>
      <w:r w:rsidR="00225667" w:rsidRPr="00225667">
        <w:rPr>
          <w:rFonts w:ascii="Times New Roman" w:eastAsia="Calibri" w:hAnsi="Times New Roman"/>
        </w:rPr>
        <w:t>nvestors, and disclosure documentation</w:t>
      </w:r>
      <w:r w:rsidR="00225667">
        <w:rPr>
          <w:rFonts w:ascii="Times New Roman" w:eastAsia="Calibri" w:hAnsi="Times New Roman"/>
        </w:rPr>
        <w:t>.</w:t>
      </w:r>
    </w:p>
    <w:p w14:paraId="1969E4CB" w14:textId="77777777" w:rsidR="00B16F95" w:rsidRDefault="00B16F95" w:rsidP="00B468B9">
      <w:pPr>
        <w:ind w:left="720"/>
        <w:rPr>
          <w:rFonts w:ascii="Times New Roman" w:hAnsi="Times New Roman"/>
        </w:rPr>
      </w:pPr>
    </w:p>
    <w:p w14:paraId="752FA1DB" w14:textId="7ACA20BF" w:rsidR="00EE37F8" w:rsidRDefault="00EE37F8" w:rsidP="000F7F3C">
      <w:pPr>
        <w:ind w:left="720"/>
        <w:rPr>
          <w:rFonts w:ascii="Times New Roman" w:hAnsi="Times New Roman"/>
        </w:rPr>
      </w:pPr>
      <w:r>
        <w:rPr>
          <w:rFonts w:ascii="Times New Roman" w:hAnsi="Times New Roman"/>
        </w:rPr>
        <w:t xml:space="preserve">Section </w:t>
      </w:r>
      <w:proofErr w:type="gramStart"/>
      <w:r>
        <w:rPr>
          <w:rFonts w:ascii="Times New Roman" w:hAnsi="Times New Roman"/>
        </w:rPr>
        <w:t>VIII(</w:t>
      </w:r>
      <w:proofErr w:type="gramEnd"/>
      <w:r>
        <w:rPr>
          <w:rFonts w:ascii="Times New Roman" w:hAnsi="Times New Roman"/>
        </w:rPr>
        <w:t xml:space="preserve">e)(2) requires an IMO to have its financial statements audited annually by an </w:t>
      </w:r>
      <w:r w:rsidR="00716F0E" w:rsidRPr="00716F0E">
        <w:rPr>
          <w:rFonts w:ascii="Times New Roman" w:hAnsi="Times New Roman"/>
        </w:rPr>
        <w:t>Independent certified public accountant</w:t>
      </w:r>
      <w:r w:rsidR="00716F0E">
        <w:rPr>
          <w:rFonts w:ascii="Times New Roman" w:hAnsi="Times New Roman"/>
        </w:rPr>
        <w:t xml:space="preserve">.  Section </w:t>
      </w:r>
      <w:proofErr w:type="gramStart"/>
      <w:r w:rsidR="00716F0E">
        <w:rPr>
          <w:rFonts w:ascii="Times New Roman" w:hAnsi="Times New Roman"/>
        </w:rPr>
        <w:t>III</w:t>
      </w:r>
      <w:r w:rsidR="00244025" w:rsidRPr="00244025">
        <w:rPr>
          <w:rFonts w:ascii="Times New Roman" w:hAnsi="Times New Roman"/>
        </w:rPr>
        <w:t>(</w:t>
      </w:r>
      <w:proofErr w:type="gramEnd"/>
      <w:r w:rsidR="00244025" w:rsidRPr="00244025">
        <w:rPr>
          <w:rFonts w:ascii="Times New Roman" w:hAnsi="Times New Roman"/>
        </w:rPr>
        <w:t>b)(vii)</w:t>
      </w:r>
      <w:r w:rsidR="00244025">
        <w:rPr>
          <w:rFonts w:ascii="Times New Roman" w:hAnsi="Times New Roman"/>
        </w:rPr>
        <w:t xml:space="preserve"> requires that the audited financial statements be disclosed on the IMO’s website.</w:t>
      </w:r>
    </w:p>
    <w:p w14:paraId="3F61550E" w14:textId="77777777" w:rsidR="00EE37F8" w:rsidRDefault="00EE37F8" w:rsidP="000F7F3C">
      <w:pPr>
        <w:ind w:left="720"/>
        <w:rPr>
          <w:rFonts w:ascii="Times New Roman" w:hAnsi="Times New Roman"/>
        </w:rPr>
      </w:pPr>
    </w:p>
    <w:p w14:paraId="0E7B068F" w14:textId="1E007098" w:rsidR="00106138" w:rsidRDefault="00106138" w:rsidP="000F7F3C">
      <w:pPr>
        <w:ind w:left="720"/>
        <w:rPr>
          <w:rFonts w:ascii="Times New Roman" w:eastAsia="MS Mincho" w:hAnsi="Times New Roman"/>
        </w:rPr>
      </w:pPr>
      <w:r>
        <w:rPr>
          <w:rFonts w:ascii="Times New Roman" w:hAnsi="Times New Roman"/>
        </w:rPr>
        <w:t xml:space="preserve">Finally, </w:t>
      </w:r>
      <w:r w:rsidRPr="00106138">
        <w:rPr>
          <w:rFonts w:ascii="Times New Roman" w:hAnsi="Times New Roman"/>
        </w:rPr>
        <w:t xml:space="preserve">Section IX provides a transition period under which relief from these prohibitions is available for </w:t>
      </w:r>
      <w:r w:rsidR="006E2CBF">
        <w:rPr>
          <w:rFonts w:ascii="Times New Roman" w:hAnsi="Times New Roman"/>
        </w:rPr>
        <w:t>IMOs</w:t>
      </w:r>
      <w:r w:rsidRPr="00106138">
        <w:rPr>
          <w:rFonts w:ascii="Times New Roman" w:hAnsi="Times New Roman"/>
        </w:rPr>
        <w:t xml:space="preserve"> and </w:t>
      </w:r>
      <w:r w:rsidR="004612F7">
        <w:rPr>
          <w:rFonts w:ascii="Times New Roman" w:hAnsi="Times New Roman"/>
        </w:rPr>
        <w:t>a</w:t>
      </w:r>
      <w:r w:rsidRPr="00106138">
        <w:rPr>
          <w:rFonts w:ascii="Times New Roman" w:hAnsi="Times New Roman"/>
        </w:rPr>
        <w:t xml:space="preserve">dvisers during the period between the Applicability Date </w:t>
      </w:r>
      <w:r>
        <w:rPr>
          <w:rFonts w:ascii="Times New Roman" w:hAnsi="Times New Roman"/>
        </w:rPr>
        <w:t>(</w:t>
      </w:r>
      <w:r w:rsidR="00424085">
        <w:rPr>
          <w:rFonts w:ascii="Times New Roman" w:hAnsi="Times New Roman"/>
        </w:rPr>
        <w:t>one year after</w:t>
      </w:r>
      <w:r w:rsidR="006A7BFC">
        <w:rPr>
          <w:rFonts w:ascii="Times New Roman" w:hAnsi="Times New Roman"/>
        </w:rPr>
        <w:t xml:space="preserve"> the date of publication</w:t>
      </w:r>
      <w:r>
        <w:rPr>
          <w:rFonts w:ascii="Times New Roman" w:hAnsi="Times New Roman"/>
        </w:rPr>
        <w:t xml:space="preserve">) </w:t>
      </w:r>
      <w:r w:rsidRPr="00106138">
        <w:rPr>
          <w:rFonts w:ascii="Times New Roman" w:hAnsi="Times New Roman"/>
        </w:rPr>
        <w:t xml:space="preserve">and </w:t>
      </w:r>
      <w:r w:rsidR="00C20014">
        <w:rPr>
          <w:rFonts w:ascii="Times New Roman" w:hAnsi="Times New Roman"/>
        </w:rPr>
        <w:t>August 15</w:t>
      </w:r>
      <w:r w:rsidRPr="00106138">
        <w:rPr>
          <w:rFonts w:ascii="Times New Roman" w:hAnsi="Times New Roman"/>
        </w:rPr>
        <w:t xml:space="preserve">, 2018 (the “Transition Period”).  For the Transition Period, full relief under the exemption will be available for </w:t>
      </w:r>
      <w:r w:rsidR="00C20014">
        <w:rPr>
          <w:rFonts w:ascii="Times New Roman" w:hAnsi="Times New Roman"/>
        </w:rPr>
        <w:t>IMOs</w:t>
      </w:r>
      <w:r w:rsidRPr="00106138">
        <w:rPr>
          <w:rFonts w:ascii="Times New Roman" w:hAnsi="Times New Roman"/>
        </w:rPr>
        <w:t xml:space="preserve"> and </w:t>
      </w:r>
      <w:r w:rsidR="004612F7">
        <w:rPr>
          <w:rFonts w:ascii="Times New Roman" w:hAnsi="Times New Roman"/>
        </w:rPr>
        <w:t>a</w:t>
      </w:r>
      <w:r w:rsidRPr="00106138">
        <w:rPr>
          <w:rFonts w:ascii="Times New Roman" w:hAnsi="Times New Roman"/>
        </w:rPr>
        <w:t>dvisers subject to more limited conditions</w:t>
      </w:r>
      <w:r w:rsidR="00765614">
        <w:rPr>
          <w:rFonts w:ascii="Times New Roman" w:hAnsi="Times New Roman"/>
        </w:rPr>
        <w:t xml:space="preserve">, including that the </w:t>
      </w:r>
      <w:r w:rsidR="00C20014">
        <w:rPr>
          <w:rFonts w:ascii="Times New Roman" w:hAnsi="Times New Roman"/>
        </w:rPr>
        <w:t>IMO</w:t>
      </w:r>
      <w:r w:rsidR="00C20014">
        <w:rPr>
          <w:rFonts w:ascii="Times New Roman" w:eastAsia="MS Mincho" w:hAnsi="Times New Roman"/>
        </w:rPr>
        <w:t>s</w:t>
      </w:r>
      <w:r w:rsidR="00765614" w:rsidRPr="00426763">
        <w:rPr>
          <w:rFonts w:ascii="Times New Roman" w:eastAsia="MS Mincho" w:hAnsi="Times New Roman"/>
        </w:rPr>
        <w:t xml:space="preserve"> </w:t>
      </w:r>
      <w:r w:rsidR="004612F7">
        <w:rPr>
          <w:rFonts w:ascii="Times New Roman" w:eastAsia="MS Mincho" w:hAnsi="Times New Roman"/>
        </w:rPr>
        <w:t xml:space="preserve">provide </w:t>
      </w:r>
      <w:r w:rsidR="008D174D">
        <w:rPr>
          <w:rFonts w:ascii="Times New Roman" w:eastAsia="MS Mincho" w:hAnsi="Times New Roman"/>
        </w:rPr>
        <w:t xml:space="preserve">notice to the Department of their intent to rely on the PTE and </w:t>
      </w:r>
      <w:r w:rsidR="004612F7">
        <w:rPr>
          <w:rFonts w:ascii="Times New Roman" w:eastAsia="MS Mincho" w:hAnsi="Times New Roman"/>
        </w:rPr>
        <w:t xml:space="preserve">a </w:t>
      </w:r>
      <w:r w:rsidR="004B5F9F">
        <w:rPr>
          <w:rFonts w:ascii="Times New Roman" w:eastAsia="MS Mincho" w:hAnsi="Times New Roman"/>
        </w:rPr>
        <w:t xml:space="preserve">disclosure with a </w:t>
      </w:r>
      <w:r w:rsidR="004612F7">
        <w:rPr>
          <w:rFonts w:ascii="Times New Roman" w:eastAsia="MS Mincho" w:hAnsi="Times New Roman"/>
        </w:rPr>
        <w:t>written statement of fiduciary status</w:t>
      </w:r>
      <w:r w:rsidR="002473B5">
        <w:rPr>
          <w:rFonts w:ascii="Times New Roman" w:eastAsia="MS Mincho" w:hAnsi="Times New Roman"/>
        </w:rPr>
        <w:t xml:space="preserve"> and certain other</w:t>
      </w:r>
      <w:r w:rsidR="00765614" w:rsidRPr="00426763">
        <w:rPr>
          <w:rFonts w:ascii="Times New Roman" w:eastAsia="MS Mincho" w:hAnsi="Times New Roman"/>
        </w:rPr>
        <w:t xml:space="preserve"> </w:t>
      </w:r>
      <w:r w:rsidR="004B5F9F">
        <w:rPr>
          <w:rFonts w:ascii="Times New Roman" w:eastAsia="MS Mincho" w:hAnsi="Times New Roman"/>
        </w:rPr>
        <w:t>information</w:t>
      </w:r>
      <w:r w:rsidR="00765614" w:rsidRPr="00426763">
        <w:rPr>
          <w:rFonts w:ascii="Times New Roman" w:eastAsia="MS Mincho" w:hAnsi="Times New Roman"/>
        </w:rPr>
        <w:t xml:space="preserve"> to all </w:t>
      </w:r>
      <w:r w:rsidR="002473B5">
        <w:rPr>
          <w:rFonts w:ascii="Times New Roman" w:eastAsia="MS Mincho" w:hAnsi="Times New Roman"/>
        </w:rPr>
        <w:t>r</w:t>
      </w:r>
      <w:r w:rsidR="00765614" w:rsidRPr="00426763">
        <w:rPr>
          <w:rFonts w:ascii="Times New Roman" w:eastAsia="MS Mincho" w:hAnsi="Times New Roman"/>
        </w:rPr>
        <w:t xml:space="preserve">etirement </w:t>
      </w:r>
      <w:r w:rsidR="002473B5">
        <w:rPr>
          <w:rFonts w:ascii="Times New Roman" w:eastAsia="MS Mincho" w:hAnsi="Times New Roman"/>
        </w:rPr>
        <w:t>i</w:t>
      </w:r>
      <w:r w:rsidR="00765614" w:rsidRPr="00426763">
        <w:rPr>
          <w:rFonts w:ascii="Times New Roman" w:eastAsia="MS Mincho" w:hAnsi="Times New Roman"/>
        </w:rPr>
        <w:t>nvestors (in ERISA plans, IRAs, and non-ERISA plans) prior to or at the same time as the execution of recommended transactions.</w:t>
      </w:r>
    </w:p>
    <w:p w14:paraId="20B74204" w14:textId="77777777" w:rsidR="00955128" w:rsidRDefault="00955128" w:rsidP="000F7F3C">
      <w:pPr>
        <w:ind w:left="720"/>
        <w:rPr>
          <w:rFonts w:ascii="Times New Roman" w:hAnsi="Times New Roman"/>
        </w:rPr>
      </w:pPr>
    </w:p>
    <w:p w14:paraId="316C516C" w14:textId="50F84FD0" w:rsidR="00955128" w:rsidRPr="0069643E" w:rsidRDefault="00955128" w:rsidP="00955128">
      <w:pPr>
        <w:ind w:left="720"/>
        <w:rPr>
          <w:rFonts w:ascii="Times New Roman" w:hAnsi="Times New Roman"/>
        </w:rPr>
      </w:pPr>
      <w:r>
        <w:rPr>
          <w:rFonts w:ascii="Times New Roman" w:hAnsi="Times New Roman"/>
        </w:rPr>
        <w:t xml:space="preserve">These </w:t>
      </w:r>
      <w:r w:rsidR="00F85CEE">
        <w:rPr>
          <w:rFonts w:ascii="Times New Roman" w:hAnsi="Times New Roman"/>
        </w:rPr>
        <w:t xml:space="preserve">contract, policies and procedures, </w:t>
      </w:r>
      <w:r w:rsidR="00FC7D24">
        <w:rPr>
          <w:rFonts w:ascii="Times New Roman" w:hAnsi="Times New Roman"/>
        </w:rPr>
        <w:t xml:space="preserve">and </w:t>
      </w:r>
      <w:r>
        <w:rPr>
          <w:rFonts w:ascii="Times New Roman" w:hAnsi="Times New Roman"/>
        </w:rPr>
        <w:t xml:space="preserve">disclosure </w:t>
      </w:r>
      <w:r w:rsidR="00FC7D24">
        <w:rPr>
          <w:rFonts w:ascii="Times New Roman" w:hAnsi="Times New Roman"/>
        </w:rPr>
        <w:t xml:space="preserve">requirements </w:t>
      </w:r>
      <w:r>
        <w:rPr>
          <w:rFonts w:ascii="Times New Roman" w:hAnsi="Times New Roman"/>
        </w:rPr>
        <w:t>are designed as appropriate safeguards to ensure the protection of the plan</w:t>
      </w:r>
      <w:r w:rsidR="00F85CEE">
        <w:rPr>
          <w:rFonts w:ascii="Times New Roman" w:hAnsi="Times New Roman"/>
        </w:rPr>
        <w:t xml:space="preserve"> and IRA</w:t>
      </w:r>
      <w:r>
        <w:rPr>
          <w:rFonts w:ascii="Times New Roman" w:hAnsi="Times New Roman"/>
        </w:rPr>
        <w:t xml:space="preserve"> assets involved in the transactions, which, in the absence of the class exem</w:t>
      </w:r>
      <w:r w:rsidR="00F85CEE">
        <w:rPr>
          <w:rFonts w:ascii="Times New Roman" w:hAnsi="Times New Roman"/>
        </w:rPr>
        <w:t xml:space="preserve">ption, would not be permitted. </w:t>
      </w:r>
      <w:r>
        <w:rPr>
          <w:rFonts w:ascii="Times New Roman" w:hAnsi="Times New Roman"/>
        </w:rPr>
        <w:t xml:space="preserve"> Moreover, the </w:t>
      </w:r>
      <w:r w:rsidRPr="0078280B">
        <w:rPr>
          <w:rFonts w:ascii="Times New Roman" w:hAnsi="Times New Roman"/>
        </w:rPr>
        <w:t xml:space="preserve">recordkeeping requirement is </w:t>
      </w:r>
      <w:r>
        <w:rPr>
          <w:rFonts w:ascii="Times New Roman" w:hAnsi="Times New Roman"/>
        </w:rPr>
        <w:t xml:space="preserve">intended to be protective of </w:t>
      </w:r>
      <w:r w:rsidRPr="0078280B">
        <w:rPr>
          <w:rFonts w:ascii="Times New Roman" w:hAnsi="Times New Roman"/>
        </w:rPr>
        <w:t>rights of plan participants and beneficiaries and IRA owners</w:t>
      </w:r>
      <w:r>
        <w:rPr>
          <w:rFonts w:ascii="Times New Roman" w:hAnsi="Times New Roman"/>
        </w:rPr>
        <w:t xml:space="preserve"> by ensuring </w:t>
      </w:r>
      <w:proofErr w:type="gramStart"/>
      <w:r>
        <w:rPr>
          <w:rFonts w:ascii="Times New Roman" w:hAnsi="Times New Roman"/>
        </w:rPr>
        <w:t>they</w:t>
      </w:r>
      <w:proofErr w:type="gramEnd"/>
      <w:r>
        <w:rPr>
          <w:rFonts w:ascii="Times New Roman" w:hAnsi="Times New Roman"/>
        </w:rPr>
        <w:t xml:space="preserve"> and the Department can confirm that the conditions of the exemption ha</w:t>
      </w:r>
      <w:r w:rsidR="006061E4">
        <w:rPr>
          <w:rFonts w:ascii="Times New Roman" w:hAnsi="Times New Roman"/>
        </w:rPr>
        <w:t>ve</w:t>
      </w:r>
      <w:r>
        <w:rPr>
          <w:rFonts w:ascii="Times New Roman" w:hAnsi="Times New Roman"/>
        </w:rPr>
        <w:t xml:space="preserve"> been satisfied.</w:t>
      </w:r>
    </w:p>
    <w:p w14:paraId="237C5807" w14:textId="77777777" w:rsidR="00BE3D72" w:rsidRPr="00235B48" w:rsidRDefault="00BE3D72" w:rsidP="000F7F3C">
      <w:pPr>
        <w:widowControl/>
        <w:ind w:left="720"/>
        <w:rPr>
          <w:rFonts w:ascii="Times New Roman" w:hAnsi="Times New Roman"/>
        </w:rPr>
      </w:pPr>
    </w:p>
    <w:p w14:paraId="7449DC6E" w14:textId="77777777"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3.</w:t>
      </w:r>
      <w:r w:rsidRPr="00235B48">
        <w:rPr>
          <w:rFonts w:ascii="Times New Roman" w:hAnsi="Times New Roman"/>
        </w:rPr>
        <w:tab/>
      </w:r>
      <w:r w:rsidRPr="00235B48">
        <w:rPr>
          <w:rFonts w:ascii="Times New Roman" w:hAnsi="Times New Roman"/>
          <w:i/>
          <w:i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509A6AA3" w14:textId="77777777" w:rsidR="00F3670F" w:rsidRPr="00235B48" w:rsidRDefault="00F3670F" w:rsidP="008C7AA2">
      <w:pPr>
        <w:widowControl/>
        <w:ind w:left="720"/>
        <w:rPr>
          <w:rFonts w:ascii="Times New Roman" w:hAnsi="Times New Roman"/>
        </w:rPr>
      </w:pPr>
    </w:p>
    <w:p w14:paraId="4EF9C0A9" w14:textId="77777777" w:rsidR="00F3670F" w:rsidRDefault="00747506" w:rsidP="008C7AA2">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14:paraId="5E60FE3E" w14:textId="77777777" w:rsidR="002D32A9" w:rsidRDefault="002D32A9" w:rsidP="008C7AA2">
      <w:pPr>
        <w:widowControl/>
        <w:ind w:left="720"/>
        <w:rPr>
          <w:rFonts w:ascii="Times New Roman" w:hAnsi="Times New Roman"/>
        </w:rPr>
      </w:pPr>
    </w:p>
    <w:p w14:paraId="4A066B1D" w14:textId="77777777" w:rsidR="00FC7D24" w:rsidRPr="00FB4276" w:rsidRDefault="00FC7D24" w:rsidP="00FC7D24">
      <w:pPr>
        <w:ind w:left="720"/>
        <w:rPr>
          <w:rFonts w:ascii="Times New Roman" w:hAnsi="Times New Roman"/>
        </w:rPr>
      </w:pPr>
      <w:r>
        <w:rPr>
          <w:rFonts w:ascii="Times New Roman" w:hAnsi="Times New Roman"/>
        </w:rPr>
        <w:t xml:space="preserve">As further discussed in items 12 and 13 below, the Department has taken into account that some of the disclosures and written authorizations will be delivered electronically. </w:t>
      </w:r>
    </w:p>
    <w:p w14:paraId="73480229" w14:textId="77777777" w:rsidR="00D364E8" w:rsidRDefault="003013D4" w:rsidP="008C7AA2">
      <w:pPr>
        <w:widowControl/>
        <w:ind w:left="720"/>
        <w:rPr>
          <w:rFonts w:ascii="Times New Roman" w:hAnsi="Times New Roman"/>
        </w:rPr>
      </w:pPr>
      <w:r>
        <w:rPr>
          <w:rFonts w:ascii="Times New Roman" w:hAnsi="Times New Roman"/>
        </w:rPr>
        <w:t>T</w:t>
      </w:r>
      <w:r w:rsidR="00D364E8">
        <w:rPr>
          <w:rFonts w:ascii="Times New Roman" w:hAnsi="Times New Roman"/>
        </w:rPr>
        <w:t>he exemption provides that a retirement investor’s asse</w:t>
      </w:r>
      <w:r w:rsidR="00D226F3">
        <w:rPr>
          <w:rFonts w:ascii="Times New Roman" w:hAnsi="Times New Roman"/>
        </w:rPr>
        <w:t>n</w:t>
      </w:r>
      <w:r w:rsidR="00D364E8">
        <w:rPr>
          <w:rFonts w:ascii="Times New Roman" w:hAnsi="Times New Roman"/>
        </w:rPr>
        <w:t xml:space="preserve">t to the contract may be evidenced by electronic signature and that the required disclosures may be provided electronically.  </w:t>
      </w:r>
      <w:r w:rsidR="00D226F3">
        <w:rPr>
          <w:rFonts w:ascii="Times New Roman" w:hAnsi="Times New Roman"/>
        </w:rPr>
        <w:t xml:space="preserve">All </w:t>
      </w:r>
      <w:r>
        <w:rPr>
          <w:rFonts w:ascii="Times New Roman" w:hAnsi="Times New Roman"/>
        </w:rPr>
        <w:t>f</w:t>
      </w:r>
      <w:r w:rsidR="00D226F3">
        <w:rPr>
          <w:rFonts w:ascii="Times New Roman" w:hAnsi="Times New Roman"/>
        </w:rPr>
        <w:t xml:space="preserve">inancial </w:t>
      </w:r>
      <w:r>
        <w:rPr>
          <w:rFonts w:ascii="Times New Roman" w:hAnsi="Times New Roman"/>
        </w:rPr>
        <w:t>i</w:t>
      </w:r>
      <w:r w:rsidR="00D226F3">
        <w:rPr>
          <w:rFonts w:ascii="Times New Roman" w:hAnsi="Times New Roman"/>
        </w:rPr>
        <w:t xml:space="preserve">nstitutions must </w:t>
      </w:r>
      <w:r w:rsidR="00D226F3" w:rsidRPr="00D226F3">
        <w:rPr>
          <w:rFonts w:ascii="Times New Roman" w:hAnsi="Times New Roman"/>
        </w:rPr>
        <w:t xml:space="preserve">notify the Employee Benefits Security Administration (EBSA) of the Department of Labor of </w:t>
      </w:r>
      <w:r>
        <w:rPr>
          <w:rFonts w:ascii="Times New Roman" w:hAnsi="Times New Roman"/>
        </w:rPr>
        <w:t>their</w:t>
      </w:r>
      <w:r w:rsidR="00D226F3" w:rsidRPr="00D226F3">
        <w:rPr>
          <w:rFonts w:ascii="Times New Roman" w:hAnsi="Times New Roman"/>
        </w:rPr>
        <w:t xml:space="preserve"> intention to rely on the exemption.</w:t>
      </w:r>
      <w:r w:rsidR="00D226F3">
        <w:rPr>
          <w:rFonts w:ascii="Times New Roman" w:hAnsi="Times New Roman"/>
        </w:rPr>
        <w:t xml:space="preserve">  The notice must be provided electronically. </w:t>
      </w:r>
    </w:p>
    <w:p w14:paraId="2C87DBCD" w14:textId="77777777" w:rsidR="00367BDB" w:rsidRPr="00235B48" w:rsidRDefault="00367BDB" w:rsidP="008C7AA2">
      <w:pPr>
        <w:widowControl/>
        <w:ind w:left="720"/>
        <w:rPr>
          <w:rFonts w:ascii="Times New Roman" w:hAnsi="Times New Roman"/>
        </w:rPr>
      </w:pPr>
    </w:p>
    <w:p w14:paraId="73081984" w14:textId="77777777" w:rsidR="00F3670F" w:rsidRPr="00235B48" w:rsidRDefault="00F3670F" w:rsidP="00235B48">
      <w:pPr>
        <w:widowControl/>
        <w:tabs>
          <w:tab w:val="left" w:pos="-1440"/>
        </w:tabs>
        <w:ind w:left="720" w:hanging="720"/>
        <w:rPr>
          <w:rFonts w:ascii="Times New Roman" w:hAnsi="Times New Roman"/>
          <w:sz w:val="20"/>
          <w:szCs w:val="20"/>
        </w:rPr>
      </w:pPr>
      <w:r w:rsidRPr="00235B48">
        <w:rPr>
          <w:rFonts w:ascii="Times New Roman" w:hAnsi="Times New Roman"/>
        </w:rPr>
        <w:t>4.</w:t>
      </w:r>
      <w:r w:rsidRPr="00235B48">
        <w:rPr>
          <w:rFonts w:ascii="Times New Roman" w:hAnsi="Times New Roman"/>
          <w:i/>
          <w:iCs/>
        </w:rPr>
        <w:tab/>
      </w:r>
      <w:r w:rsidRPr="00235B48">
        <w:rPr>
          <w:rFonts w:ascii="Times New Roman" w:hAnsi="Times New Roman"/>
          <w:i/>
          <w:iCs/>
          <w:sz w:val="20"/>
          <w:szCs w:val="20"/>
        </w:rPr>
        <w:t xml:space="preserve">Describe efforts to identify duplication.  Show specifically why any similar information already available cannot be used or modified for use for the purposes described in Item 2 above.  </w:t>
      </w:r>
    </w:p>
    <w:p w14:paraId="18C7D930" w14:textId="77777777" w:rsidR="00F3670F" w:rsidRPr="00235B48" w:rsidRDefault="00F3670F" w:rsidP="008C7AA2">
      <w:pPr>
        <w:widowControl/>
        <w:ind w:left="720"/>
        <w:rPr>
          <w:rFonts w:ascii="Times New Roman" w:hAnsi="Times New Roman"/>
        </w:rPr>
      </w:pPr>
    </w:p>
    <w:p w14:paraId="45E3C035" w14:textId="77777777" w:rsidR="005E5CB6" w:rsidRDefault="004D1676" w:rsidP="005A72B6">
      <w:pPr>
        <w:ind w:left="720"/>
        <w:rPr>
          <w:rFonts w:ascii="Times New Roman" w:hAnsi="Times New Roman"/>
        </w:rPr>
      </w:pPr>
      <w:r w:rsidRPr="004D1676">
        <w:rPr>
          <w:rFonts w:ascii="Times New Roman" w:hAnsi="Times New Roman"/>
        </w:rPr>
        <w:t xml:space="preserve">The </w:t>
      </w:r>
      <w:r w:rsidR="003013D4">
        <w:rPr>
          <w:rFonts w:ascii="Times New Roman" w:hAnsi="Times New Roman"/>
        </w:rPr>
        <w:t>disclosure</w:t>
      </w:r>
      <w:r w:rsidRPr="004D1676">
        <w:rPr>
          <w:rFonts w:ascii="Times New Roman" w:hAnsi="Times New Roman"/>
        </w:rPr>
        <w:t xml:space="preserve"> requirements of this class exemption are similar in some respects to the information required to be disclosed </w:t>
      </w:r>
      <w:r>
        <w:rPr>
          <w:rFonts w:ascii="Times New Roman" w:hAnsi="Times New Roman"/>
        </w:rPr>
        <w:t xml:space="preserve">by </w:t>
      </w:r>
      <w:r w:rsidR="00E8085F">
        <w:rPr>
          <w:rFonts w:ascii="Times New Roman" w:hAnsi="Times New Roman"/>
        </w:rPr>
        <w:t xml:space="preserve">PTE 2016-01 (OMB Control Number 1210-0156).  Some of the burden included in the Department’s request for 1210-0156 would be </w:t>
      </w:r>
      <w:r w:rsidR="00E8085F">
        <w:rPr>
          <w:rFonts w:ascii="Times New Roman" w:hAnsi="Times New Roman"/>
        </w:rPr>
        <w:lastRenderedPageBreak/>
        <w:t>transferred to this information collection if this proposal is finalized.</w:t>
      </w:r>
      <w:r w:rsidRPr="004D1676">
        <w:rPr>
          <w:rFonts w:ascii="Times New Roman" w:hAnsi="Times New Roman"/>
        </w:rPr>
        <w:t xml:space="preserve"> </w:t>
      </w:r>
      <w:r w:rsidR="00987A62">
        <w:rPr>
          <w:rFonts w:ascii="Times New Roman" w:hAnsi="Times New Roman"/>
        </w:rPr>
        <w:t xml:space="preserve"> </w:t>
      </w:r>
      <w:r w:rsidR="005A72B6">
        <w:rPr>
          <w:rFonts w:ascii="Times New Roman" w:hAnsi="Times New Roman"/>
        </w:rPr>
        <w:t xml:space="preserve">It is </w:t>
      </w:r>
      <w:r w:rsidR="009F4152">
        <w:rPr>
          <w:rFonts w:ascii="Times New Roman" w:hAnsi="Times New Roman"/>
        </w:rPr>
        <w:t xml:space="preserve">also </w:t>
      </w:r>
      <w:r w:rsidR="005A72B6">
        <w:rPr>
          <w:rFonts w:ascii="Times New Roman" w:hAnsi="Times New Roman"/>
        </w:rPr>
        <w:t>likely that duplication of recordkeeping requirements exist with some state and federal banking and securities laws.  However, no duplicate recordkeeping is required because entities are able to satisfy the requirements of both the exemption and of the other applicable laws through one recordkeeping arrangement.</w:t>
      </w:r>
      <w:r w:rsidR="00987A62">
        <w:rPr>
          <w:rFonts w:ascii="Times New Roman" w:hAnsi="Times New Roman"/>
        </w:rPr>
        <w:t xml:space="preserve"> </w:t>
      </w:r>
      <w:r w:rsidR="005A72B6">
        <w:rPr>
          <w:rFonts w:ascii="Times New Roman" w:hAnsi="Times New Roman"/>
        </w:rPr>
        <w:t xml:space="preserve"> </w:t>
      </w:r>
      <w:r w:rsidR="005E5CB6">
        <w:rPr>
          <w:rFonts w:ascii="Times New Roman" w:hAnsi="Times New Roman"/>
        </w:rPr>
        <w:t>The Department is not aware of any other already available information that could be used or modified for the ICRs associated with the exemption.</w:t>
      </w:r>
    </w:p>
    <w:p w14:paraId="4D518CD1" w14:textId="77777777" w:rsidR="004D1676" w:rsidRPr="00235B48" w:rsidRDefault="004D1676" w:rsidP="008C7AA2">
      <w:pPr>
        <w:widowControl/>
        <w:ind w:left="720"/>
        <w:rPr>
          <w:rFonts w:ascii="Times New Roman" w:hAnsi="Times New Roman"/>
        </w:rPr>
      </w:pPr>
    </w:p>
    <w:p w14:paraId="4C94066A" w14:textId="77777777" w:rsidR="00F3670F" w:rsidRPr="00235B48" w:rsidRDefault="00F3670F" w:rsidP="00987A62">
      <w:pPr>
        <w:widowControl/>
        <w:tabs>
          <w:tab w:val="left" w:pos="-1440"/>
        </w:tabs>
        <w:ind w:left="720" w:hanging="720"/>
        <w:rPr>
          <w:rFonts w:ascii="Times New Roman" w:hAnsi="Times New Roman"/>
          <w:i/>
          <w:iCs/>
          <w:sz w:val="20"/>
          <w:szCs w:val="20"/>
        </w:rPr>
      </w:pPr>
      <w:r w:rsidRPr="00235B48">
        <w:rPr>
          <w:rFonts w:ascii="Times New Roman" w:hAnsi="Times New Roman"/>
        </w:rPr>
        <w:t>5.</w:t>
      </w:r>
      <w:r w:rsidRPr="00235B48">
        <w:rPr>
          <w:rFonts w:ascii="Times New Roman" w:hAnsi="Times New Roman"/>
        </w:rPr>
        <w:tab/>
      </w:r>
      <w:r w:rsidRPr="00235B48">
        <w:rPr>
          <w:rFonts w:ascii="Times New Roman" w:hAnsi="Times New Roman"/>
          <w:i/>
          <w:iCs/>
          <w:sz w:val="20"/>
          <w:szCs w:val="20"/>
        </w:rPr>
        <w:t>If the collection of information impacts small businesses or other small entities</w:t>
      </w:r>
      <w:r w:rsidR="00C21EBA" w:rsidRPr="00235B48">
        <w:rPr>
          <w:rFonts w:ascii="Times New Roman" w:hAnsi="Times New Roman"/>
          <w:i/>
          <w:iCs/>
          <w:sz w:val="20"/>
          <w:szCs w:val="20"/>
        </w:rPr>
        <w:t xml:space="preserve"> </w:t>
      </w:r>
      <w:r w:rsidRPr="00235B48">
        <w:rPr>
          <w:rFonts w:ascii="Times New Roman" w:hAnsi="Times New Roman"/>
          <w:i/>
          <w:iCs/>
          <w:sz w:val="20"/>
          <w:szCs w:val="20"/>
        </w:rPr>
        <w:t>describe any methods used to minimize burden.</w:t>
      </w:r>
    </w:p>
    <w:p w14:paraId="65C6FE33" w14:textId="77777777" w:rsidR="00F3670F" w:rsidRPr="00235B48" w:rsidRDefault="00F3670F" w:rsidP="008C7AA2">
      <w:pPr>
        <w:widowControl/>
        <w:ind w:left="720"/>
        <w:rPr>
          <w:rFonts w:ascii="Times New Roman" w:hAnsi="Times New Roman"/>
        </w:rPr>
      </w:pPr>
    </w:p>
    <w:p w14:paraId="1E12E7BC" w14:textId="77777777" w:rsidR="005E5CB6" w:rsidRDefault="00B6305C" w:rsidP="005E5CB6">
      <w:pPr>
        <w:ind w:left="720"/>
        <w:rPr>
          <w:rFonts w:ascii="Times New Roman" w:hAnsi="Times New Roman"/>
        </w:rPr>
      </w:pPr>
      <w:r>
        <w:rPr>
          <w:rFonts w:ascii="Times New Roman" w:hAnsi="Times New Roman"/>
        </w:rPr>
        <w:t>The information collection</w:t>
      </w:r>
      <w:r w:rsidR="00C74980">
        <w:rPr>
          <w:rFonts w:ascii="Times New Roman" w:hAnsi="Times New Roman"/>
        </w:rPr>
        <w:t>s</w:t>
      </w:r>
      <w:r>
        <w:rPr>
          <w:rFonts w:ascii="Times New Roman" w:hAnsi="Times New Roman"/>
        </w:rPr>
        <w:t xml:space="preserve"> </w:t>
      </w:r>
      <w:r w:rsidR="001F1CB8">
        <w:rPr>
          <w:rFonts w:ascii="Times New Roman" w:hAnsi="Times New Roman"/>
        </w:rPr>
        <w:t>impose</w:t>
      </w:r>
      <w:r w:rsidR="00C74980">
        <w:rPr>
          <w:rFonts w:ascii="Times New Roman" w:hAnsi="Times New Roman"/>
        </w:rPr>
        <w:t xml:space="preserve"> </w:t>
      </w:r>
      <w:r w:rsidR="001F1CB8">
        <w:rPr>
          <w:rFonts w:ascii="Times New Roman" w:hAnsi="Times New Roman"/>
        </w:rPr>
        <w:t xml:space="preserve">the </w:t>
      </w:r>
      <w:r>
        <w:rPr>
          <w:rFonts w:ascii="Times New Roman" w:hAnsi="Times New Roman"/>
        </w:rPr>
        <w:t xml:space="preserve">minimal burden needed to protect </w:t>
      </w:r>
      <w:r w:rsidR="001F1CB8">
        <w:rPr>
          <w:rFonts w:ascii="Times New Roman" w:hAnsi="Times New Roman"/>
        </w:rPr>
        <w:t xml:space="preserve">retirement investors’ </w:t>
      </w:r>
      <w:r>
        <w:rPr>
          <w:rFonts w:ascii="Times New Roman" w:hAnsi="Times New Roman"/>
        </w:rPr>
        <w:t xml:space="preserve">assets </w:t>
      </w:r>
      <w:r w:rsidR="001F1CB8">
        <w:rPr>
          <w:rFonts w:ascii="Times New Roman" w:hAnsi="Times New Roman"/>
        </w:rPr>
        <w:t>from fee practices that are tainted by conflicts of interest.</w:t>
      </w:r>
      <w:r w:rsidR="00681902">
        <w:rPr>
          <w:rFonts w:ascii="Times New Roman" w:hAnsi="Times New Roman"/>
        </w:rPr>
        <w:t xml:space="preserve">  </w:t>
      </w:r>
      <w:r w:rsidR="001E2E5A">
        <w:rPr>
          <w:rFonts w:ascii="Times New Roman" w:hAnsi="Times New Roman"/>
        </w:rPr>
        <w:t>They are similar in nature to the information collections approved in PTE 2016-01, the Best Interest Contract Exemption, under OMB Control Number 1210-0156.</w:t>
      </w:r>
      <w:r w:rsidR="00681902">
        <w:rPr>
          <w:rFonts w:ascii="Times New Roman" w:hAnsi="Times New Roman"/>
        </w:rPr>
        <w:t xml:space="preserve">  </w:t>
      </w:r>
      <w:r w:rsidR="005E5CB6">
        <w:rPr>
          <w:rFonts w:ascii="Times New Roman" w:hAnsi="Times New Roman"/>
        </w:rPr>
        <w:t xml:space="preserve">It is necessary for the information collection to apply equally to large and small entities to ensure that participants and beneficiaries and IRA owners are protected when their plans and IRAs engage in transactions that otherwise would be prohibited under ERISA and the Code. </w:t>
      </w:r>
    </w:p>
    <w:p w14:paraId="5650DEC7" w14:textId="77777777" w:rsidR="0049266B" w:rsidRPr="00235B48" w:rsidRDefault="0049266B" w:rsidP="00356710">
      <w:pPr>
        <w:widowControl/>
        <w:rPr>
          <w:rFonts w:ascii="Times New Roman" w:hAnsi="Times New Roman"/>
        </w:rPr>
      </w:pPr>
    </w:p>
    <w:p w14:paraId="777F5D12" w14:textId="77777777" w:rsidR="00F3670F" w:rsidRPr="00235B48" w:rsidRDefault="00F3670F" w:rsidP="00235B48">
      <w:pPr>
        <w:widowControl/>
        <w:tabs>
          <w:tab w:val="left" w:pos="-1440"/>
        </w:tabs>
        <w:ind w:left="720" w:hanging="720"/>
        <w:rPr>
          <w:rFonts w:ascii="Times New Roman" w:hAnsi="Times New Roman"/>
        </w:rPr>
      </w:pPr>
      <w:r w:rsidRPr="00235B48">
        <w:rPr>
          <w:rFonts w:ascii="Times New Roman" w:hAnsi="Times New Roman"/>
        </w:rPr>
        <w:t>6.</w:t>
      </w:r>
      <w:r w:rsidRPr="00235B48">
        <w:rPr>
          <w:rFonts w:ascii="Times New Roman" w:hAnsi="Times New Roman"/>
        </w:rPr>
        <w:tab/>
      </w:r>
      <w:r w:rsidRPr="00235B48">
        <w:rPr>
          <w:rFonts w:ascii="Times New Roman" w:hAnsi="Times New Roman"/>
          <w:i/>
          <w:iCs/>
          <w:sz w:val="20"/>
          <w:szCs w:val="20"/>
        </w:rPr>
        <w:t>Describe the consequence to Federal program or policy activities if the collection is not conducted or is conducted less frequently, as well as any technical or legal obstacles to reducing burden.</w:t>
      </w:r>
    </w:p>
    <w:p w14:paraId="6C226124" w14:textId="77777777" w:rsidR="00F3670F" w:rsidRPr="00235B48" w:rsidRDefault="00F3670F" w:rsidP="008C7AA2">
      <w:pPr>
        <w:widowControl/>
        <w:ind w:left="720"/>
        <w:rPr>
          <w:rFonts w:ascii="Times New Roman" w:hAnsi="Times New Roman"/>
        </w:rPr>
      </w:pPr>
    </w:p>
    <w:p w14:paraId="7DF5879A" w14:textId="221E5B5C" w:rsidR="00F3670F" w:rsidRDefault="00AB25C5" w:rsidP="008C7AA2">
      <w:pPr>
        <w:widowControl/>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mandatory if </w:t>
      </w:r>
      <w:r w:rsidR="008E3423">
        <w:rPr>
          <w:rFonts w:ascii="Times New Roman" w:hAnsi="Times New Roman"/>
        </w:rPr>
        <w:t>IMOs</w:t>
      </w:r>
      <w:r w:rsidRPr="00AB25C5">
        <w:rPr>
          <w:rFonts w:ascii="Times New Roman" w:hAnsi="Times New Roman"/>
        </w:rPr>
        <w:t xml:space="preserve"> </w:t>
      </w:r>
      <w:r w:rsidR="00206A09">
        <w:rPr>
          <w:rFonts w:ascii="Times New Roman" w:hAnsi="Times New Roman"/>
        </w:rPr>
        <w:t xml:space="preserve">and advisers </w:t>
      </w:r>
      <w:r w:rsidR="003013D4">
        <w:rPr>
          <w:rFonts w:ascii="Times New Roman" w:hAnsi="Times New Roman"/>
        </w:rPr>
        <w:t>that</w:t>
      </w:r>
      <w:r w:rsidRPr="00AB25C5">
        <w:rPr>
          <w:rFonts w:ascii="Times New Roman" w:hAnsi="Times New Roman"/>
        </w:rPr>
        <w:t xml:space="preserve"> are fiduciaries wish to utilize the class exemption.  The frequency is dependent </w:t>
      </w:r>
      <w:r w:rsidR="00633B2B">
        <w:rPr>
          <w:rFonts w:ascii="Times New Roman" w:hAnsi="Times New Roman"/>
        </w:rPr>
        <w:t>up</w:t>
      </w:r>
      <w:r w:rsidRPr="00AB25C5">
        <w:rPr>
          <w:rFonts w:ascii="Times New Roman" w:hAnsi="Times New Roman"/>
        </w:rPr>
        <w:t>on the occurrence of such transactions, not on a predetermined time period.  This exempt</w:t>
      </w:r>
      <w:r w:rsidR="00360DC4">
        <w:rPr>
          <w:rFonts w:ascii="Times New Roman" w:hAnsi="Times New Roman"/>
        </w:rPr>
        <w:t xml:space="preserve">ion was </w:t>
      </w:r>
      <w:r w:rsidR="002E172C">
        <w:rPr>
          <w:rFonts w:ascii="Times New Roman" w:hAnsi="Times New Roman"/>
        </w:rPr>
        <w:t xml:space="preserve">designed to </w:t>
      </w:r>
      <w:r w:rsidR="008E3423">
        <w:rPr>
          <w:rFonts w:ascii="Times New Roman" w:hAnsi="Times New Roman"/>
        </w:rPr>
        <w:t xml:space="preserve">parallel the requirements of PTE 2016-01, the Best Interest Contract Exemption, with adjustments made to address the </w:t>
      </w:r>
      <w:r w:rsidR="00206A09">
        <w:rPr>
          <w:rFonts w:ascii="Times New Roman" w:hAnsi="Times New Roman"/>
        </w:rPr>
        <w:t>business models of the</w:t>
      </w:r>
      <w:r w:rsidR="008E3423">
        <w:rPr>
          <w:rFonts w:ascii="Times New Roman" w:hAnsi="Times New Roman"/>
        </w:rPr>
        <w:t xml:space="preserve"> IMOs selling fixed annuities</w:t>
      </w:r>
      <w:r w:rsidR="00C9130B">
        <w:rPr>
          <w:rFonts w:ascii="Times New Roman" w:hAnsi="Times New Roman"/>
        </w:rPr>
        <w:t xml:space="preserve">.  </w:t>
      </w:r>
    </w:p>
    <w:p w14:paraId="4F6023F1" w14:textId="77777777" w:rsidR="00356710" w:rsidRDefault="00356710" w:rsidP="008C7AA2">
      <w:pPr>
        <w:widowControl/>
        <w:ind w:left="720"/>
        <w:rPr>
          <w:rFonts w:ascii="Times New Roman" w:hAnsi="Times New Roman"/>
        </w:rPr>
      </w:pPr>
    </w:p>
    <w:p w14:paraId="364FBE47" w14:textId="77777777" w:rsidR="00356710" w:rsidRDefault="00356710" w:rsidP="008C7AA2">
      <w:pPr>
        <w:widowControl/>
        <w:ind w:left="720"/>
        <w:rPr>
          <w:rFonts w:ascii="Times New Roman" w:hAnsi="Times New Roman"/>
        </w:rPr>
      </w:pPr>
      <w:r>
        <w:rPr>
          <w:rFonts w:ascii="Times New Roman" w:hAnsi="Times New Roman"/>
        </w:rPr>
        <w:t>The contract, policies and procedures, disclosure and recordkeeping requirements are necessary to ensure that the exemption is protective of the rights of participants and beneficiaries as required under ERISA section 408(a) and Code section 4975(c</w:t>
      </w:r>
      <w:proofErr w:type="gramStart"/>
      <w:r>
        <w:rPr>
          <w:rFonts w:ascii="Times New Roman" w:hAnsi="Times New Roman"/>
        </w:rPr>
        <w:t>)(</w:t>
      </w:r>
      <w:proofErr w:type="gramEnd"/>
      <w:r>
        <w:rPr>
          <w:rFonts w:ascii="Times New Roman" w:hAnsi="Times New Roman"/>
        </w:rPr>
        <w:t>2).</w:t>
      </w:r>
    </w:p>
    <w:p w14:paraId="2C436896" w14:textId="77777777" w:rsidR="00360DC4" w:rsidRPr="00235B48" w:rsidRDefault="00360DC4" w:rsidP="008C7AA2">
      <w:pPr>
        <w:widowControl/>
        <w:ind w:left="720"/>
        <w:rPr>
          <w:rFonts w:ascii="Times New Roman" w:hAnsi="Times New Roman"/>
        </w:rPr>
      </w:pPr>
    </w:p>
    <w:p w14:paraId="310FFE36" w14:textId="77777777" w:rsidR="00F3670F" w:rsidRPr="00235B48" w:rsidRDefault="00F3670F" w:rsidP="00235B48">
      <w:pPr>
        <w:pStyle w:val="Quick1"/>
        <w:widowControl/>
        <w:numPr>
          <w:ilvl w:val="0"/>
          <w:numId w:val="2"/>
        </w:numPr>
        <w:tabs>
          <w:tab w:val="left" w:pos="-1440"/>
          <w:tab w:val="num" w:pos="720"/>
        </w:tabs>
        <w:rPr>
          <w:rFonts w:ascii="Times New Roman" w:hAnsi="Times New Roman"/>
          <w:i/>
          <w:iCs/>
          <w:sz w:val="20"/>
          <w:szCs w:val="20"/>
        </w:rPr>
      </w:pPr>
      <w:r w:rsidRPr="00235B48">
        <w:rPr>
          <w:rFonts w:ascii="Times New Roman" w:hAnsi="Times New Roman"/>
          <w:i/>
          <w:iCs/>
          <w:sz w:val="20"/>
          <w:szCs w:val="20"/>
        </w:rPr>
        <w:t>Explain any special circumstances that would cause an information collection to be conducted in a manner:</w:t>
      </w:r>
    </w:p>
    <w:p w14:paraId="4D982E8A" w14:textId="77777777" w:rsidR="00F3670F" w:rsidRPr="00235B48" w:rsidRDefault="00F3670F" w:rsidP="00235B48">
      <w:pPr>
        <w:widowControl/>
        <w:rPr>
          <w:rFonts w:ascii="Times New Roman" w:hAnsi="Times New Roman"/>
          <w:i/>
          <w:iCs/>
          <w:sz w:val="20"/>
          <w:szCs w:val="20"/>
        </w:rPr>
      </w:pPr>
    </w:p>
    <w:p w14:paraId="623E4490"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report information to the agency more often than quarterly;</w:t>
      </w:r>
    </w:p>
    <w:p w14:paraId="09D93FC0"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prepare a written response to a collection of information in fewer than 30 days after receipt of it;</w:t>
      </w:r>
    </w:p>
    <w:p w14:paraId="6E6F70C1" w14:textId="77777777" w:rsidR="00F3670F" w:rsidRPr="00235B48" w:rsidRDefault="00F3670F" w:rsidP="00235B48">
      <w:pPr>
        <w:widowControl/>
        <w:rPr>
          <w:rFonts w:ascii="Times New Roman" w:hAnsi="Times New Roman"/>
          <w:i/>
          <w:iCs/>
          <w:sz w:val="20"/>
          <w:szCs w:val="20"/>
        </w:rPr>
      </w:pPr>
    </w:p>
    <w:p w14:paraId="44458B4F"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more than an original and two copies of any document;</w:t>
      </w:r>
    </w:p>
    <w:p w14:paraId="3AFE1E75" w14:textId="77777777" w:rsidR="00F3670F" w:rsidRPr="00235B48" w:rsidRDefault="00F3670F" w:rsidP="00235B48">
      <w:pPr>
        <w:widowControl/>
        <w:rPr>
          <w:rFonts w:ascii="Times New Roman" w:hAnsi="Times New Roman"/>
          <w:i/>
          <w:iCs/>
          <w:sz w:val="20"/>
          <w:szCs w:val="20"/>
        </w:rPr>
      </w:pPr>
    </w:p>
    <w:p w14:paraId="41E3304B"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retain records, other than health, medical, government contract, grant-in-aid, or tax records for more than three years;</w:t>
      </w:r>
    </w:p>
    <w:p w14:paraId="43C07327" w14:textId="77777777" w:rsidR="00F3670F" w:rsidRPr="00235B48" w:rsidRDefault="00F3670F" w:rsidP="00235B48">
      <w:pPr>
        <w:widowControl/>
        <w:rPr>
          <w:rFonts w:ascii="Times New Roman" w:hAnsi="Times New Roman"/>
          <w:i/>
          <w:iCs/>
          <w:sz w:val="20"/>
          <w:szCs w:val="20"/>
        </w:rPr>
      </w:pPr>
    </w:p>
    <w:p w14:paraId="490E8B11"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lastRenderedPageBreak/>
        <w:t>•</w:t>
      </w:r>
      <w:r w:rsidRPr="00235B48">
        <w:rPr>
          <w:rFonts w:ascii="Times New Roman" w:hAnsi="Times New Roman"/>
          <w:i/>
          <w:iCs/>
          <w:sz w:val="20"/>
          <w:szCs w:val="20"/>
        </w:rPr>
        <w:tab/>
      </w:r>
      <w:proofErr w:type="gramStart"/>
      <w:r w:rsidRPr="00235B48">
        <w:rPr>
          <w:rFonts w:ascii="Times New Roman" w:hAnsi="Times New Roman"/>
          <w:i/>
          <w:iCs/>
          <w:sz w:val="20"/>
          <w:szCs w:val="20"/>
        </w:rPr>
        <w:t>in</w:t>
      </w:r>
      <w:proofErr w:type="gramEnd"/>
      <w:r w:rsidRPr="00235B48">
        <w:rPr>
          <w:rFonts w:ascii="Times New Roman" w:hAnsi="Times New Roman"/>
          <w:i/>
          <w:iCs/>
          <w:sz w:val="20"/>
          <w:szCs w:val="20"/>
        </w:rPr>
        <w:t xml:space="preserve"> connection with a statistical survey, that is not designed to produce valid and reliable results that can be generalized to the universe of study;</w:t>
      </w:r>
    </w:p>
    <w:p w14:paraId="4DF9D43B" w14:textId="77777777" w:rsidR="00F3670F" w:rsidRPr="00235B48" w:rsidRDefault="00F3670F" w:rsidP="00235B48">
      <w:pPr>
        <w:widowControl/>
        <w:rPr>
          <w:rFonts w:ascii="Times New Roman" w:hAnsi="Times New Roman"/>
          <w:i/>
          <w:iCs/>
          <w:sz w:val="20"/>
          <w:szCs w:val="20"/>
        </w:rPr>
      </w:pPr>
    </w:p>
    <w:p w14:paraId="044FB919"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the use of a statistical data classification that has not been reviewed and approved by OMB;</w:t>
      </w:r>
    </w:p>
    <w:p w14:paraId="017CA983" w14:textId="77777777" w:rsidR="00F3670F" w:rsidRPr="00235B48" w:rsidRDefault="00F3670F" w:rsidP="00235B48">
      <w:pPr>
        <w:widowControl/>
        <w:rPr>
          <w:rFonts w:ascii="Times New Roman" w:hAnsi="Times New Roman"/>
          <w:i/>
          <w:iCs/>
          <w:sz w:val="20"/>
          <w:szCs w:val="20"/>
        </w:rPr>
      </w:pPr>
    </w:p>
    <w:p w14:paraId="267FA743" w14:textId="77777777" w:rsidR="00F3670F" w:rsidRPr="00235B48" w:rsidRDefault="00F3670F" w:rsidP="00235B48">
      <w:pPr>
        <w:pStyle w:val="BodyTextIndent2"/>
        <w:widowControl/>
      </w:pPr>
      <w:r w:rsidRPr="00235B48">
        <w:t>•</w:t>
      </w:r>
      <w:r w:rsidRPr="00235B48">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A407050" w14:textId="77777777" w:rsidR="00F3670F" w:rsidRPr="00235B48" w:rsidRDefault="00F3670F" w:rsidP="00235B48">
      <w:pPr>
        <w:widowControl/>
        <w:rPr>
          <w:rFonts w:ascii="Times New Roman" w:hAnsi="Times New Roman"/>
          <w:i/>
          <w:iCs/>
          <w:sz w:val="20"/>
          <w:szCs w:val="20"/>
        </w:rPr>
      </w:pPr>
    </w:p>
    <w:p w14:paraId="65216A2A"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14:paraId="4DF2BF30" w14:textId="77777777" w:rsidR="00F3670F" w:rsidRPr="00235B48" w:rsidRDefault="00F3670F" w:rsidP="004F433B">
      <w:pPr>
        <w:widowControl/>
        <w:ind w:left="720"/>
        <w:rPr>
          <w:rFonts w:ascii="Times New Roman" w:hAnsi="Times New Roman"/>
        </w:rPr>
      </w:pPr>
    </w:p>
    <w:p w14:paraId="749D6236" w14:textId="2566304D" w:rsidR="004F433B" w:rsidRDefault="004F433B" w:rsidP="005A505D">
      <w:pPr>
        <w:ind w:left="720"/>
        <w:rPr>
          <w:rFonts w:ascii="Times New Roman" w:hAnsi="Times New Roman"/>
        </w:rPr>
      </w:pPr>
      <w:r>
        <w:rPr>
          <w:rFonts w:ascii="Times New Roman" w:hAnsi="Times New Roman"/>
        </w:rPr>
        <w:t xml:space="preserve">Because this exemption is </w:t>
      </w:r>
      <w:r w:rsidR="00A61A54">
        <w:rPr>
          <w:rFonts w:ascii="Times New Roman" w:hAnsi="Times New Roman"/>
        </w:rPr>
        <w:t>proposed</w:t>
      </w:r>
      <w:r>
        <w:rPr>
          <w:rFonts w:ascii="Times New Roman" w:hAnsi="Times New Roman"/>
        </w:rPr>
        <w:t xml:space="preserve"> under section 408(a) of ERISA and section 4975(c</w:t>
      </w:r>
      <w:proofErr w:type="gramStart"/>
      <w:r>
        <w:rPr>
          <w:rFonts w:ascii="Times New Roman" w:hAnsi="Times New Roman"/>
        </w:rPr>
        <w:t>)(</w:t>
      </w:r>
      <w:proofErr w:type="gramEnd"/>
      <w:r>
        <w:rPr>
          <w:rFonts w:ascii="Times New Roman" w:hAnsi="Times New Roman"/>
        </w:rPr>
        <w:t>2) of the Code, the exclusion from the three year guideline for record retention set forth in 5 CFR 1320.5 is applicable.  Furthermore, as a result of statutory recordkeeping requirements in ERISA, the Code, and other federal laws, the respondents affected by this exemption (</w:t>
      </w:r>
      <w:r w:rsidR="00A61A54">
        <w:rPr>
          <w:rFonts w:ascii="Times New Roman" w:hAnsi="Times New Roman"/>
        </w:rPr>
        <w:t>IMOs</w:t>
      </w:r>
      <w:r>
        <w:rPr>
          <w:rFonts w:ascii="Times New Roman" w:hAnsi="Times New Roman"/>
        </w:rPr>
        <w:t xml:space="preserve"> that deal with employee benefit plans</w:t>
      </w:r>
      <w:r w:rsidR="00206A09">
        <w:rPr>
          <w:rFonts w:ascii="Times New Roman" w:hAnsi="Times New Roman"/>
        </w:rPr>
        <w:t xml:space="preserve"> and IRAs</w:t>
      </w:r>
      <w:r>
        <w:rPr>
          <w:rFonts w:ascii="Times New Roman" w:hAnsi="Times New Roman"/>
        </w:rPr>
        <w:t>), for the most part, have adopted six-year recordkeeping as standard business practice in order to satisfy those separate recordkeeping requirements.</w:t>
      </w:r>
    </w:p>
    <w:p w14:paraId="54CDA049" w14:textId="77777777" w:rsidR="00CA0390" w:rsidRDefault="00CA0390" w:rsidP="005A505D">
      <w:pPr>
        <w:ind w:left="720"/>
        <w:rPr>
          <w:rFonts w:ascii="Times New Roman" w:hAnsi="Times New Roman"/>
        </w:rPr>
      </w:pPr>
    </w:p>
    <w:p w14:paraId="6F8AF54C" w14:textId="77777777" w:rsidR="00CA0390" w:rsidRDefault="00CA0390" w:rsidP="00CA0390">
      <w:pPr>
        <w:ind w:left="720"/>
        <w:rPr>
          <w:rFonts w:ascii="Times New Roman" w:hAnsi="Times New Roman"/>
        </w:rPr>
      </w:pPr>
      <w:r>
        <w:rPr>
          <w:rFonts w:ascii="Times New Roman" w:hAnsi="Times New Roman"/>
        </w:rPr>
        <w:t>Under t</w:t>
      </w:r>
      <w:r w:rsidRPr="00CA0390">
        <w:rPr>
          <w:rFonts w:ascii="Times New Roman" w:hAnsi="Times New Roman"/>
        </w:rPr>
        <w:t>he</w:t>
      </w:r>
      <w:r>
        <w:rPr>
          <w:rFonts w:ascii="Times New Roman" w:hAnsi="Times New Roman"/>
        </w:rPr>
        <w:t xml:space="preserve"> </w:t>
      </w:r>
      <w:r w:rsidR="00A341CF">
        <w:rPr>
          <w:rFonts w:ascii="Times New Roman" w:hAnsi="Times New Roman"/>
        </w:rPr>
        <w:t xml:space="preserve">recordkeeping provisions of the </w:t>
      </w:r>
      <w:r w:rsidR="00A61A54">
        <w:rPr>
          <w:rFonts w:ascii="Times New Roman" w:hAnsi="Times New Roman"/>
        </w:rPr>
        <w:t>proposed</w:t>
      </w:r>
      <w:r>
        <w:rPr>
          <w:rFonts w:ascii="Times New Roman" w:hAnsi="Times New Roman"/>
        </w:rPr>
        <w:t xml:space="preserve"> exemption, </w:t>
      </w:r>
      <w:r w:rsidR="00A61A54">
        <w:rPr>
          <w:rFonts w:ascii="Times New Roman" w:hAnsi="Times New Roman"/>
        </w:rPr>
        <w:t>IMOs</w:t>
      </w:r>
      <w:r w:rsidRPr="00CA0390">
        <w:rPr>
          <w:rFonts w:ascii="Times New Roman" w:hAnsi="Times New Roman"/>
        </w:rPr>
        <w:t xml:space="preserve"> are not required to disclose </w:t>
      </w:r>
      <w:r w:rsidR="00A341CF">
        <w:rPr>
          <w:rFonts w:ascii="Times New Roman" w:hAnsi="Times New Roman"/>
        </w:rPr>
        <w:t xml:space="preserve">records that are </w:t>
      </w:r>
      <w:r w:rsidRPr="00CA0390">
        <w:rPr>
          <w:rFonts w:ascii="Times New Roman" w:hAnsi="Times New Roman"/>
        </w:rPr>
        <w:t>privileged trade secrets or privileged commercial or financial information to</w:t>
      </w:r>
      <w:r w:rsidR="00A341CF">
        <w:rPr>
          <w:rFonts w:ascii="Times New Roman" w:hAnsi="Times New Roman"/>
        </w:rPr>
        <w:t xml:space="preserve"> plan fiduciaries, participants or beneficiaries, IRA owners, or their representatives.  However, i</w:t>
      </w:r>
      <w:r>
        <w:rPr>
          <w:rFonts w:ascii="Times New Roman" w:hAnsi="Times New Roman"/>
        </w:rPr>
        <w:t>f</w:t>
      </w:r>
      <w:r w:rsidRPr="00CA0390">
        <w:rPr>
          <w:rFonts w:ascii="Times New Roman" w:hAnsi="Times New Roman"/>
        </w:rPr>
        <w:t xml:space="preserve"> the </w:t>
      </w:r>
      <w:r w:rsidR="00A61A54">
        <w:rPr>
          <w:rFonts w:ascii="Times New Roman" w:hAnsi="Times New Roman"/>
        </w:rPr>
        <w:t>IMO</w:t>
      </w:r>
      <w:r w:rsidRPr="00CA0390">
        <w:rPr>
          <w:rFonts w:ascii="Times New Roman" w:hAnsi="Times New Roman"/>
        </w:rPr>
        <w:t xml:space="preserve"> refuse</w:t>
      </w:r>
      <w:r>
        <w:rPr>
          <w:rFonts w:ascii="Times New Roman" w:hAnsi="Times New Roman"/>
        </w:rPr>
        <w:t>s</w:t>
      </w:r>
      <w:r w:rsidRPr="00CA0390">
        <w:rPr>
          <w:rFonts w:ascii="Times New Roman" w:hAnsi="Times New Roman"/>
        </w:rPr>
        <w:t xml:space="preserve"> to disclose information on the basis that the information is exempt from disclosure, the </w:t>
      </w:r>
      <w:r w:rsidR="00A61A54">
        <w:rPr>
          <w:rFonts w:ascii="Times New Roman" w:hAnsi="Times New Roman"/>
        </w:rPr>
        <w:t>IMO</w:t>
      </w:r>
      <w:r w:rsidRPr="00CA0390">
        <w:rPr>
          <w:rFonts w:ascii="Times New Roman" w:hAnsi="Times New Roman"/>
        </w:rPr>
        <w:t xml:space="preserve"> must, by the close of the thirtieth (30th) day following the request, provide a written notice advising the requestor of the reasons for the refusal and that the Department may request such information.</w:t>
      </w:r>
    </w:p>
    <w:p w14:paraId="40F14A36" w14:textId="77777777" w:rsidR="00F3670F" w:rsidRPr="00235B48" w:rsidRDefault="00F3670F" w:rsidP="00B730EB">
      <w:pPr>
        <w:widowControl/>
        <w:ind w:left="720"/>
        <w:rPr>
          <w:rFonts w:ascii="Times New Roman" w:hAnsi="Times New Roman"/>
        </w:rPr>
      </w:pPr>
    </w:p>
    <w:p w14:paraId="03B8DF26" w14:textId="77777777"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8.</w:t>
      </w:r>
      <w:r w:rsidRPr="00235B48">
        <w:rPr>
          <w:rFonts w:ascii="Times New Roman" w:hAnsi="Times New Roman"/>
        </w:rPr>
        <w:tab/>
      </w:r>
      <w:r w:rsidRPr="00235B48">
        <w:rPr>
          <w:rFonts w:ascii="Times New Roman" w:hAnsi="Times New Roman"/>
          <w:i/>
          <w:i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6556D00" w14:textId="77777777" w:rsidR="00F3670F" w:rsidRPr="00235B48" w:rsidRDefault="00F3670F" w:rsidP="00235B48">
      <w:pPr>
        <w:widowControl/>
        <w:rPr>
          <w:rFonts w:ascii="Times New Roman" w:hAnsi="Times New Roman"/>
          <w:i/>
          <w:iCs/>
          <w:sz w:val="20"/>
          <w:szCs w:val="20"/>
        </w:rPr>
      </w:pPr>
    </w:p>
    <w:p w14:paraId="76437BAD" w14:textId="77777777" w:rsidR="00F3670F" w:rsidRPr="00235B48" w:rsidRDefault="00F3670F" w:rsidP="00235B48">
      <w:pPr>
        <w:widowControl/>
        <w:ind w:left="720"/>
        <w:rPr>
          <w:rFonts w:ascii="Times New Roman" w:hAnsi="Times New Roman"/>
          <w:i/>
          <w:iCs/>
          <w:sz w:val="20"/>
          <w:szCs w:val="20"/>
        </w:rPr>
      </w:pPr>
      <w:r w:rsidRPr="00235B48">
        <w:rPr>
          <w:rFonts w:ascii="Times New Roman" w:hAnsi="Times New Roman"/>
          <w:i/>
          <w:i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ECA485" w14:textId="77777777" w:rsidR="00F3670F" w:rsidRPr="00235B48" w:rsidRDefault="00F3670F" w:rsidP="00235B48">
      <w:pPr>
        <w:widowControl/>
        <w:rPr>
          <w:rFonts w:ascii="Times New Roman" w:hAnsi="Times New Roman"/>
          <w:i/>
          <w:iCs/>
          <w:sz w:val="20"/>
          <w:szCs w:val="20"/>
        </w:rPr>
      </w:pPr>
    </w:p>
    <w:p w14:paraId="327041C8" w14:textId="77777777" w:rsidR="00F3670F" w:rsidRPr="00235B48" w:rsidRDefault="00F3670F" w:rsidP="00235B48">
      <w:pPr>
        <w:widowControl/>
        <w:ind w:left="720"/>
        <w:rPr>
          <w:rFonts w:ascii="Times New Roman" w:hAnsi="Times New Roman"/>
          <w:i/>
          <w:iCs/>
        </w:rPr>
      </w:pPr>
      <w:r w:rsidRPr="00235B48">
        <w:rPr>
          <w:rFonts w:ascii="Times New Roman" w:hAnsi="Times New Roman"/>
          <w:i/>
          <w:i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79869BB" w14:textId="77777777" w:rsidR="00F3670F" w:rsidRPr="00235B48" w:rsidRDefault="00F3670F" w:rsidP="008C7AA2">
      <w:pPr>
        <w:widowControl/>
        <w:ind w:left="720"/>
        <w:rPr>
          <w:rFonts w:ascii="Times New Roman" w:hAnsi="Times New Roman"/>
        </w:rPr>
      </w:pPr>
    </w:p>
    <w:p w14:paraId="4D1CD6C4" w14:textId="605E4370" w:rsidR="00C21CE5" w:rsidRDefault="00C21CE5" w:rsidP="008C7AA2">
      <w:pPr>
        <w:widowControl/>
        <w:ind w:left="720"/>
        <w:rPr>
          <w:rFonts w:ascii="Times New Roman" w:hAnsi="Times New Roman"/>
        </w:rPr>
      </w:pPr>
      <w:r w:rsidRPr="00C21CE5">
        <w:rPr>
          <w:rFonts w:ascii="Times New Roman" w:hAnsi="Times New Roman"/>
        </w:rPr>
        <w:t xml:space="preserve">In accordance with 5 CFR 1320.11, the proposed exemption provides the public with </w:t>
      </w:r>
      <w:r w:rsidR="00206A09">
        <w:rPr>
          <w:rFonts w:ascii="Times New Roman" w:hAnsi="Times New Roman"/>
        </w:rPr>
        <w:t>3</w:t>
      </w:r>
      <w:r w:rsidRPr="00C21CE5">
        <w:rPr>
          <w:rFonts w:ascii="Times New Roman" w:hAnsi="Times New Roman"/>
        </w:rPr>
        <w:t>0 days to comment on the information collection and burden estimates.</w:t>
      </w:r>
    </w:p>
    <w:p w14:paraId="66680101" w14:textId="77777777" w:rsidR="00314282" w:rsidRPr="00235B48" w:rsidRDefault="00314282" w:rsidP="008C7AA2">
      <w:pPr>
        <w:widowControl/>
        <w:ind w:left="720"/>
        <w:rPr>
          <w:rFonts w:ascii="Times New Roman" w:hAnsi="Times New Roman"/>
        </w:rPr>
      </w:pPr>
    </w:p>
    <w:p w14:paraId="3EFB8178" w14:textId="77777777" w:rsidR="00F3670F" w:rsidRPr="00235B48" w:rsidRDefault="00F3670F" w:rsidP="00235B48">
      <w:pPr>
        <w:pStyle w:val="Quick1"/>
        <w:widowControl/>
        <w:numPr>
          <w:ilvl w:val="0"/>
          <w:numId w:val="3"/>
        </w:numPr>
        <w:tabs>
          <w:tab w:val="left" w:pos="-1440"/>
          <w:tab w:val="num" w:pos="720"/>
        </w:tabs>
        <w:rPr>
          <w:rFonts w:ascii="Times New Roman" w:hAnsi="Times New Roman"/>
          <w:i/>
          <w:iCs/>
        </w:rPr>
      </w:pPr>
      <w:r w:rsidRPr="00235B48">
        <w:rPr>
          <w:rFonts w:ascii="Times New Roman" w:hAnsi="Times New Roman"/>
          <w:i/>
          <w:iCs/>
          <w:sz w:val="20"/>
          <w:szCs w:val="20"/>
        </w:rPr>
        <w:t>Explain any decision to provide any payment or gift to respondents, other than remuneration of contractors or grantees.</w:t>
      </w:r>
    </w:p>
    <w:p w14:paraId="51A2A6F8" w14:textId="77777777" w:rsidR="00F3670F" w:rsidRPr="00235B48" w:rsidRDefault="00F3670F" w:rsidP="008C7AA2">
      <w:pPr>
        <w:widowControl/>
        <w:ind w:left="720"/>
        <w:rPr>
          <w:rFonts w:ascii="Times New Roman" w:hAnsi="Times New Roman"/>
        </w:rPr>
      </w:pPr>
    </w:p>
    <w:p w14:paraId="67EC51C8" w14:textId="77777777" w:rsidR="00F3670F" w:rsidRPr="00235B48" w:rsidRDefault="00F3670F" w:rsidP="008C7AA2">
      <w:pPr>
        <w:widowControl/>
        <w:ind w:left="720"/>
        <w:outlineLvl w:val="0"/>
        <w:rPr>
          <w:rFonts w:ascii="Times New Roman" w:hAnsi="Times New Roman"/>
        </w:rPr>
      </w:pPr>
      <w:r w:rsidRPr="00235B48">
        <w:rPr>
          <w:rFonts w:ascii="Times New Roman" w:hAnsi="Times New Roman"/>
        </w:rPr>
        <w:t>No payments or gifts are provided to respondents.</w:t>
      </w:r>
    </w:p>
    <w:p w14:paraId="700A4FC1" w14:textId="77777777" w:rsidR="00F3670F" w:rsidRPr="00235B48" w:rsidRDefault="00F3670F" w:rsidP="008C7AA2">
      <w:pPr>
        <w:widowControl/>
        <w:ind w:left="720"/>
        <w:rPr>
          <w:rFonts w:ascii="Times New Roman" w:hAnsi="Times New Roman"/>
        </w:rPr>
      </w:pPr>
    </w:p>
    <w:p w14:paraId="56A280BE" w14:textId="77777777"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10.</w:t>
      </w:r>
      <w:r w:rsidRPr="00235B48">
        <w:rPr>
          <w:rFonts w:ascii="Times New Roman" w:hAnsi="Times New Roman"/>
        </w:rPr>
        <w:tab/>
      </w:r>
      <w:r w:rsidRPr="00235B48">
        <w:rPr>
          <w:rFonts w:ascii="Times New Roman" w:hAnsi="Times New Roman"/>
          <w:i/>
          <w:iCs/>
          <w:sz w:val="20"/>
          <w:szCs w:val="20"/>
        </w:rPr>
        <w:t>Describe any assurance of confidentiality provided to respondents and the basis for the assurance in statute, regulation, or agency policy.</w:t>
      </w:r>
    </w:p>
    <w:p w14:paraId="3331ECF0" w14:textId="77777777" w:rsidR="00F3670F" w:rsidRPr="00235B48" w:rsidRDefault="00F3670F" w:rsidP="008C7AA2">
      <w:pPr>
        <w:widowControl/>
        <w:ind w:left="720"/>
        <w:rPr>
          <w:rFonts w:ascii="Times New Roman" w:hAnsi="Times New Roman"/>
        </w:rPr>
      </w:pPr>
    </w:p>
    <w:p w14:paraId="1D5B8CF4" w14:textId="77777777" w:rsidR="00AF6A04" w:rsidRDefault="00AF6A04" w:rsidP="008C7AA2">
      <w:pPr>
        <w:ind w:left="720"/>
        <w:rPr>
          <w:rFonts w:ascii="Times New Roman" w:hAnsi="Times New Roman"/>
        </w:rPr>
      </w:pPr>
      <w:r>
        <w:rPr>
          <w:rFonts w:ascii="Times New Roman" w:hAnsi="Times New Roman"/>
        </w:rPr>
        <w:t>No assurance of confidentiality was provided.</w:t>
      </w:r>
    </w:p>
    <w:p w14:paraId="5C3B3758" w14:textId="77777777" w:rsidR="00F3670F" w:rsidRPr="00235B48" w:rsidRDefault="00F3670F" w:rsidP="008C7AA2">
      <w:pPr>
        <w:widowControl/>
        <w:ind w:left="720"/>
        <w:rPr>
          <w:rFonts w:ascii="Times New Roman" w:hAnsi="Times New Roman"/>
        </w:rPr>
      </w:pPr>
    </w:p>
    <w:p w14:paraId="66C7087A" w14:textId="77777777"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11.</w:t>
      </w:r>
      <w:r w:rsidRPr="00235B48">
        <w:rPr>
          <w:rFonts w:ascii="Times New Roman" w:hAnsi="Times New Roman"/>
        </w:rPr>
        <w:tab/>
      </w:r>
      <w:r w:rsidRPr="00235B48">
        <w:rPr>
          <w:rFonts w:ascii="Times New Roman" w:hAnsi="Times New Roman"/>
          <w:i/>
          <w:iCs/>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C9D2488" w14:textId="77777777" w:rsidR="00F3670F" w:rsidRPr="00235B48" w:rsidRDefault="00F3670F" w:rsidP="008C7AA2">
      <w:pPr>
        <w:widowControl/>
        <w:ind w:left="720"/>
        <w:rPr>
          <w:rFonts w:ascii="Times New Roman" w:hAnsi="Times New Roman"/>
          <w:i/>
          <w:iCs/>
        </w:rPr>
      </w:pPr>
    </w:p>
    <w:p w14:paraId="338F6B0B" w14:textId="77777777" w:rsidR="00BE3D72" w:rsidRPr="00235B48" w:rsidRDefault="00B06B58" w:rsidP="008C7AA2">
      <w:pPr>
        <w:widowControl/>
        <w:ind w:left="720"/>
        <w:outlineLvl w:val="0"/>
        <w:rPr>
          <w:rFonts w:ascii="Times New Roman" w:hAnsi="Times New Roman"/>
          <w:i/>
          <w:iCs/>
        </w:rPr>
      </w:pPr>
      <w:r w:rsidRPr="00235B48">
        <w:rPr>
          <w:rFonts w:ascii="Times New Roman" w:hAnsi="Times New Roman"/>
          <w:iCs/>
        </w:rPr>
        <w:t>There are no questions of the nature described.</w:t>
      </w:r>
    </w:p>
    <w:p w14:paraId="200A65BB" w14:textId="77777777" w:rsidR="00F3670F" w:rsidRPr="00235B48" w:rsidRDefault="00F3670F" w:rsidP="008C7AA2">
      <w:pPr>
        <w:widowControl/>
        <w:ind w:left="720"/>
        <w:rPr>
          <w:rFonts w:ascii="Times New Roman" w:hAnsi="Times New Roman"/>
        </w:rPr>
      </w:pPr>
    </w:p>
    <w:p w14:paraId="49ED7D84" w14:textId="77777777"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12.</w:t>
      </w:r>
      <w:r w:rsidRPr="00235B48">
        <w:rPr>
          <w:rFonts w:ascii="Times New Roman" w:hAnsi="Times New Roman"/>
        </w:rPr>
        <w:tab/>
      </w:r>
      <w:r w:rsidRPr="00235B48">
        <w:rPr>
          <w:rFonts w:ascii="Times New Roman" w:hAnsi="Times New Roman"/>
          <w:i/>
          <w:iCs/>
          <w:sz w:val="20"/>
          <w:szCs w:val="20"/>
        </w:rPr>
        <w:t>Provide estimates of the hour burden of the collection of information.  The statement should:</w:t>
      </w:r>
    </w:p>
    <w:p w14:paraId="36F50ED7" w14:textId="77777777" w:rsidR="00F3670F" w:rsidRPr="00235B48" w:rsidRDefault="00F3670F" w:rsidP="00235B48">
      <w:pPr>
        <w:widowControl/>
        <w:rPr>
          <w:rFonts w:ascii="Times New Roman" w:hAnsi="Times New Roman"/>
          <w:i/>
          <w:iCs/>
          <w:sz w:val="20"/>
          <w:szCs w:val="20"/>
        </w:rPr>
      </w:pPr>
    </w:p>
    <w:p w14:paraId="7247186E"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C813B5C" w14:textId="77777777" w:rsidR="00F3670F" w:rsidRPr="00235B48" w:rsidRDefault="00F3670F" w:rsidP="00235B48">
      <w:pPr>
        <w:widowControl/>
        <w:rPr>
          <w:rFonts w:ascii="Times New Roman" w:hAnsi="Times New Roman"/>
          <w:i/>
          <w:iCs/>
          <w:sz w:val="20"/>
          <w:szCs w:val="20"/>
        </w:rPr>
      </w:pPr>
    </w:p>
    <w:p w14:paraId="74CEF496" w14:textId="77777777"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If this request for approval covers more than one form, provide separate hour burden estimates for each form and aggregate the hour burdens</w:t>
      </w:r>
      <w:r w:rsidR="00C21EBA" w:rsidRPr="00235B48">
        <w:rPr>
          <w:rFonts w:ascii="Times New Roman" w:hAnsi="Times New Roman"/>
          <w:i/>
          <w:iCs/>
          <w:sz w:val="20"/>
          <w:szCs w:val="20"/>
        </w:rPr>
        <w:t xml:space="preserve">. </w:t>
      </w:r>
    </w:p>
    <w:p w14:paraId="428A193A" w14:textId="77777777" w:rsidR="00F3670F" w:rsidRPr="00235B48" w:rsidRDefault="00F3670F" w:rsidP="00235B48">
      <w:pPr>
        <w:widowControl/>
        <w:rPr>
          <w:rFonts w:ascii="Times New Roman" w:hAnsi="Times New Roman"/>
          <w:i/>
          <w:iCs/>
          <w:sz w:val="20"/>
          <w:szCs w:val="20"/>
        </w:rPr>
      </w:pPr>
    </w:p>
    <w:p w14:paraId="46F68DED" w14:textId="77777777" w:rsidR="00F3670F" w:rsidRPr="00235B48" w:rsidRDefault="00F3670F" w:rsidP="00235B48">
      <w:pPr>
        <w:widowControl/>
        <w:tabs>
          <w:tab w:val="left" w:pos="-1440"/>
        </w:tabs>
        <w:ind w:left="1440" w:hanging="720"/>
        <w:rPr>
          <w:rFonts w:ascii="Times New Roman" w:hAnsi="Times New Roman"/>
          <w:i/>
          <w:iCs/>
        </w:rPr>
      </w:pPr>
      <w:r w:rsidRPr="00235B48">
        <w:rPr>
          <w:rFonts w:ascii="Times New Roman" w:hAnsi="Times New Roman"/>
          <w:i/>
          <w:iCs/>
          <w:sz w:val="20"/>
          <w:szCs w:val="20"/>
        </w:rPr>
        <w:t>•</w:t>
      </w:r>
      <w:r w:rsidRPr="00235B48">
        <w:rPr>
          <w:rFonts w:ascii="Times New Roman" w:hAnsi="Times New Roman"/>
          <w:i/>
          <w:iCs/>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BAF9E5A" w14:textId="77777777" w:rsidR="008E0D61" w:rsidRPr="00235B48" w:rsidRDefault="008E0D61" w:rsidP="008E0D61">
      <w:pPr>
        <w:widowControl/>
        <w:ind w:left="720"/>
        <w:rPr>
          <w:rFonts w:ascii="Times New Roman" w:hAnsi="Times New Roman"/>
          <w:i/>
          <w:iCs/>
        </w:rPr>
      </w:pPr>
    </w:p>
    <w:p w14:paraId="1B5ADA0F" w14:textId="770EB756" w:rsidR="009D5C27" w:rsidRDefault="009D5C27" w:rsidP="008E0D61">
      <w:pPr>
        <w:ind w:left="720"/>
        <w:rPr>
          <w:rFonts w:ascii="Times New Roman" w:eastAsia="MS Mincho" w:hAnsi="Times New Roman"/>
        </w:rPr>
      </w:pPr>
      <w:r w:rsidRPr="009D5C27">
        <w:rPr>
          <w:rFonts w:ascii="Times New Roman" w:eastAsia="MS Mincho" w:hAnsi="Times New Roman"/>
        </w:rPr>
        <w:t>As described in more detail in question</w:t>
      </w:r>
      <w:r w:rsidR="00E06F3B">
        <w:rPr>
          <w:rFonts w:ascii="Times New Roman" w:eastAsia="MS Mincho" w:hAnsi="Times New Roman"/>
        </w:rPr>
        <w:t>s 1 and</w:t>
      </w:r>
      <w:r w:rsidRPr="009D5C27">
        <w:rPr>
          <w:rFonts w:ascii="Times New Roman" w:eastAsia="MS Mincho" w:hAnsi="Times New Roman"/>
        </w:rPr>
        <w:t xml:space="preserve"> 2 above, the </w:t>
      </w:r>
      <w:r w:rsidR="00180CDE">
        <w:rPr>
          <w:rFonts w:ascii="Times New Roman" w:eastAsia="MS Mincho" w:hAnsi="Times New Roman"/>
        </w:rPr>
        <w:t>proposed</w:t>
      </w:r>
      <w:r w:rsidRPr="009D5C27">
        <w:rPr>
          <w:rFonts w:ascii="Times New Roman" w:eastAsia="MS Mincho" w:hAnsi="Times New Roman"/>
        </w:rPr>
        <w:t xml:space="preserve"> class exemption will require </w:t>
      </w:r>
      <w:r w:rsidR="00180CDE">
        <w:rPr>
          <w:rFonts w:ascii="Times New Roman" w:eastAsia="MS Mincho" w:hAnsi="Times New Roman"/>
        </w:rPr>
        <w:t>IMOs</w:t>
      </w:r>
      <w:r w:rsidRPr="009D5C27">
        <w:rPr>
          <w:rFonts w:ascii="Times New Roman" w:eastAsia="MS Mincho" w:hAnsi="Times New Roman"/>
        </w:rPr>
        <w:t xml:space="preserve">  to enter into a contractual arrangement with retirement investors regarding investments in IRAs and plans not subject to Title I of ERISA (non-ERISA plans), adopt certain written policies and procedures and make certain disclosures to retirement investors (including with respect to ERISA plans), the Department, and on the web, in order to receive relief from ERISA’s prohibited transaction rules for the receipt of compensation as a result of a </w:t>
      </w:r>
      <w:r w:rsidR="00180CDE">
        <w:rPr>
          <w:rFonts w:ascii="Times New Roman" w:eastAsia="MS Mincho" w:hAnsi="Times New Roman"/>
        </w:rPr>
        <w:t>IMO</w:t>
      </w:r>
      <w:r w:rsidRPr="009D5C27">
        <w:rPr>
          <w:rFonts w:ascii="Times New Roman" w:eastAsia="MS Mincho" w:hAnsi="Times New Roman"/>
        </w:rPr>
        <w:t xml:space="preserve">’s and its adviser’s advice (i.e., prohibited compensation).  </w:t>
      </w:r>
      <w:r w:rsidR="00180CDE">
        <w:rPr>
          <w:rFonts w:ascii="Times New Roman" w:eastAsia="MS Mincho" w:hAnsi="Times New Roman"/>
        </w:rPr>
        <w:t>IMOs</w:t>
      </w:r>
      <w:r w:rsidRPr="009D5C27">
        <w:rPr>
          <w:rFonts w:ascii="Times New Roman" w:eastAsia="MS Mincho" w:hAnsi="Times New Roman"/>
        </w:rPr>
        <w:t xml:space="preserve"> will have to prepare a written documentation regarding these limitations.  </w:t>
      </w:r>
      <w:r w:rsidR="00A97951">
        <w:rPr>
          <w:rFonts w:ascii="Times New Roman" w:eastAsia="MS Mincho" w:hAnsi="Times New Roman"/>
        </w:rPr>
        <w:t>IMOs</w:t>
      </w:r>
      <w:r w:rsidRPr="009D5C27">
        <w:rPr>
          <w:rFonts w:ascii="Times New Roman" w:eastAsia="MS Mincho" w:hAnsi="Times New Roman"/>
        </w:rPr>
        <w:t xml:space="preserve"> will be required to maintain records necessary to prove that the conditions of the exemption have been met.  In addition, the exemption provides a transition period from </w:t>
      </w:r>
      <w:r w:rsidR="00A55B21">
        <w:rPr>
          <w:rFonts w:ascii="Times New Roman" w:eastAsia="MS Mincho" w:hAnsi="Times New Roman"/>
        </w:rPr>
        <w:t>the Applicability Date until</w:t>
      </w:r>
      <w:r w:rsidRPr="009D5C27">
        <w:rPr>
          <w:rFonts w:ascii="Times New Roman" w:eastAsia="MS Mincho" w:hAnsi="Times New Roman"/>
        </w:rPr>
        <w:t xml:space="preserve"> </w:t>
      </w:r>
      <w:r w:rsidR="00DD5AD7">
        <w:rPr>
          <w:rFonts w:ascii="Times New Roman" w:eastAsia="MS Mincho" w:hAnsi="Times New Roman"/>
        </w:rPr>
        <w:t>August</w:t>
      </w:r>
      <w:r w:rsidRPr="009D5C27">
        <w:rPr>
          <w:rFonts w:ascii="Times New Roman" w:eastAsia="MS Mincho" w:hAnsi="Times New Roman"/>
        </w:rPr>
        <w:t xml:space="preserve"> 1</w:t>
      </w:r>
      <w:r w:rsidR="00206A09">
        <w:rPr>
          <w:rFonts w:ascii="Times New Roman" w:eastAsia="MS Mincho" w:hAnsi="Times New Roman"/>
        </w:rPr>
        <w:t>5</w:t>
      </w:r>
      <w:r w:rsidRPr="009D5C27">
        <w:rPr>
          <w:rFonts w:ascii="Times New Roman" w:eastAsia="MS Mincho" w:hAnsi="Times New Roman"/>
        </w:rPr>
        <w:t xml:space="preserve">, 2018.  As a condition of </w:t>
      </w:r>
      <w:r w:rsidRPr="009D5C27">
        <w:rPr>
          <w:rFonts w:ascii="Times New Roman" w:eastAsia="MS Mincho" w:hAnsi="Times New Roman"/>
        </w:rPr>
        <w:lastRenderedPageBreak/>
        <w:t xml:space="preserve">relief during the transition period, </w:t>
      </w:r>
      <w:r w:rsidR="008022D5">
        <w:rPr>
          <w:rFonts w:ascii="Times New Roman" w:eastAsia="MS Mincho" w:hAnsi="Times New Roman"/>
        </w:rPr>
        <w:t>IMOs</w:t>
      </w:r>
      <w:r w:rsidRPr="009D5C27">
        <w:rPr>
          <w:rFonts w:ascii="Times New Roman" w:eastAsia="MS Mincho" w:hAnsi="Times New Roman"/>
        </w:rPr>
        <w:t xml:space="preserve"> must </w:t>
      </w:r>
      <w:r w:rsidR="00206A09">
        <w:rPr>
          <w:rFonts w:ascii="Times New Roman" w:eastAsia="MS Mincho" w:hAnsi="Times New Roman"/>
        </w:rPr>
        <w:t xml:space="preserve">provide notice to the Department of their intent to rely on the PTE and </w:t>
      </w:r>
      <w:r w:rsidRPr="009D5C27">
        <w:rPr>
          <w:rFonts w:ascii="Times New Roman" w:eastAsia="MS Mincho" w:hAnsi="Times New Roman"/>
        </w:rPr>
        <w:t>make a disclosure (transition disclosure) to all retirement investors (in ERISA plans, IRAs, and non-ERISA plans) prior to or at the same time as the execution of recommended transactions.</w:t>
      </w:r>
    </w:p>
    <w:p w14:paraId="076C3291" w14:textId="77777777" w:rsidR="009D5C27" w:rsidRDefault="009D5C27" w:rsidP="008E0D61">
      <w:pPr>
        <w:ind w:left="720"/>
        <w:rPr>
          <w:rFonts w:ascii="Times New Roman" w:eastAsia="MS Mincho" w:hAnsi="Times New Roman"/>
        </w:rPr>
      </w:pPr>
    </w:p>
    <w:p w14:paraId="5CDC923B" w14:textId="77777777" w:rsidR="008E0D61" w:rsidRDefault="008E0D61" w:rsidP="008E0D61">
      <w:pPr>
        <w:ind w:left="720"/>
        <w:rPr>
          <w:rFonts w:ascii="Times New Roman" w:hAnsi="Times New Roman"/>
        </w:rPr>
      </w:pPr>
      <w:r>
        <w:rPr>
          <w:rFonts w:ascii="Times New Roman" w:eastAsia="MS Mincho" w:hAnsi="Times New Roman"/>
        </w:rPr>
        <w:t xml:space="preserve">Based on 2013 Form 5500 data and Internal Revenue Service Statistics of Income data, the Department estimates that the retirement market consists of approximately 44,000 defined benefit (DB) plans, 119,000 defined contribution (DC) plans that do not allow participants to direct investments, 69.9 million DC plan participants in participant-directed plans, and 54.4 million IRA investors.  </w:t>
      </w:r>
      <w:r w:rsidR="00FB276B">
        <w:rPr>
          <w:rFonts w:ascii="Times New Roman" w:hAnsi="Times New Roman"/>
        </w:rPr>
        <w:t>According to the Profit Sharing Council of America’s 58</w:t>
      </w:r>
      <w:r w:rsidR="00FB276B" w:rsidRPr="00730E1B">
        <w:rPr>
          <w:rFonts w:ascii="Times New Roman" w:hAnsi="Times New Roman"/>
          <w:vertAlign w:val="superscript"/>
        </w:rPr>
        <w:t>th</w:t>
      </w:r>
      <w:r w:rsidR="00FB276B">
        <w:rPr>
          <w:rFonts w:ascii="Times New Roman" w:hAnsi="Times New Roman"/>
        </w:rPr>
        <w:t xml:space="preserve"> Annual Survey, only 6.42 percent of DC plan participants are offered and utilize investment advice through their plans.</w:t>
      </w:r>
      <w:r w:rsidR="00170217">
        <w:rPr>
          <w:rFonts w:ascii="Times New Roman" w:hAnsi="Times New Roman"/>
        </w:rPr>
        <w:t xml:space="preserve">  Based on LIMRA data on the number of </w:t>
      </w:r>
      <w:r w:rsidR="003036FF">
        <w:rPr>
          <w:rFonts w:ascii="Times New Roman" w:hAnsi="Times New Roman"/>
        </w:rPr>
        <w:t>fixed indexed</w:t>
      </w:r>
      <w:r w:rsidR="00170217">
        <w:rPr>
          <w:rFonts w:ascii="Times New Roman" w:hAnsi="Times New Roman"/>
        </w:rPr>
        <w:t xml:space="preserve"> annuity policies sold in 2015 and the </w:t>
      </w:r>
      <w:proofErr w:type="spellStart"/>
      <w:r w:rsidR="00170217">
        <w:rPr>
          <w:rFonts w:ascii="Times New Roman" w:hAnsi="Times New Roman"/>
        </w:rPr>
        <w:t>marketshare</w:t>
      </w:r>
      <w:proofErr w:type="spellEnd"/>
      <w:r w:rsidR="00170217">
        <w:rPr>
          <w:rFonts w:ascii="Times New Roman" w:hAnsi="Times New Roman"/>
        </w:rPr>
        <w:t xml:space="preserve"> held by </w:t>
      </w:r>
      <w:r w:rsidR="00A81EE9">
        <w:rPr>
          <w:rFonts w:ascii="Times New Roman" w:hAnsi="Times New Roman"/>
        </w:rPr>
        <w:t xml:space="preserve">independent agents, </w:t>
      </w:r>
      <w:r w:rsidR="00A81EE9">
        <w:rPr>
          <w:rFonts w:ascii="Times New Roman" w:eastAsia="MS Mincho" w:hAnsi="Times New Roman"/>
        </w:rPr>
        <w:t>t</w:t>
      </w:r>
      <w:r>
        <w:rPr>
          <w:rFonts w:ascii="Times New Roman" w:hAnsi="Times New Roman"/>
        </w:rPr>
        <w:t xml:space="preserve">he Department estimates that </w:t>
      </w:r>
      <w:r w:rsidR="00A81EE9">
        <w:rPr>
          <w:rFonts w:ascii="Times New Roman" w:hAnsi="Times New Roman"/>
        </w:rPr>
        <w:t>0.32 percent of ERISA plans and 0.39 percent of IRA holders</w:t>
      </w:r>
      <w:r>
        <w:rPr>
          <w:rFonts w:ascii="Times New Roman" w:hAnsi="Times New Roman"/>
        </w:rPr>
        <w:t xml:space="preserve"> have relationships with </w:t>
      </w:r>
      <w:r w:rsidR="009315B7">
        <w:rPr>
          <w:rFonts w:ascii="Times New Roman" w:hAnsi="Times New Roman"/>
        </w:rPr>
        <w:t>IMOs</w:t>
      </w:r>
      <w:r>
        <w:rPr>
          <w:rFonts w:ascii="Times New Roman" w:hAnsi="Times New Roman"/>
        </w:rPr>
        <w:t xml:space="preserve"> that might </w:t>
      </w:r>
      <w:r w:rsidR="009D5C27">
        <w:rPr>
          <w:rFonts w:ascii="Times New Roman" w:hAnsi="Times New Roman"/>
        </w:rPr>
        <w:t>seek relief through</w:t>
      </w:r>
      <w:r>
        <w:rPr>
          <w:rFonts w:ascii="Times New Roman" w:hAnsi="Times New Roman"/>
        </w:rPr>
        <w:t xml:space="preserve"> this exemption.    Therefore, the Department estimates that approximately </w:t>
      </w:r>
      <w:r w:rsidR="00146A1E" w:rsidRPr="00146A1E">
        <w:rPr>
          <w:rFonts w:ascii="Times New Roman" w:hAnsi="Times New Roman"/>
        </w:rPr>
        <w:t xml:space="preserve">15,000 Retirement Investors </w:t>
      </w:r>
      <w:r w:rsidR="00146A1E">
        <w:rPr>
          <w:rFonts w:ascii="Times New Roman" w:hAnsi="Times New Roman"/>
        </w:rPr>
        <w:t>for</w:t>
      </w:r>
      <w:r w:rsidR="00146A1E" w:rsidRPr="00146A1E">
        <w:rPr>
          <w:rFonts w:ascii="Times New Roman" w:hAnsi="Times New Roman"/>
        </w:rPr>
        <w:t xml:space="preserve"> ERISA plans and 212,000 Retirement Investors </w:t>
      </w:r>
      <w:r w:rsidR="00146A1E">
        <w:rPr>
          <w:rFonts w:ascii="Times New Roman" w:hAnsi="Times New Roman"/>
        </w:rPr>
        <w:t>for</w:t>
      </w:r>
      <w:r w:rsidR="00146A1E" w:rsidRPr="00146A1E">
        <w:rPr>
          <w:rFonts w:ascii="Times New Roman" w:hAnsi="Times New Roman"/>
        </w:rPr>
        <w:t xml:space="preserve"> IRAs</w:t>
      </w:r>
      <w:r w:rsidR="00146A1E">
        <w:rPr>
          <w:rFonts w:ascii="Times New Roman" w:hAnsi="Times New Roman"/>
        </w:rPr>
        <w:t xml:space="preserve">, </w:t>
      </w:r>
      <w:r>
        <w:rPr>
          <w:rFonts w:ascii="Times New Roman" w:hAnsi="Times New Roman"/>
        </w:rPr>
        <w:t xml:space="preserve">and a de </w:t>
      </w:r>
      <w:proofErr w:type="spellStart"/>
      <w:r>
        <w:rPr>
          <w:rFonts w:ascii="Times New Roman" w:hAnsi="Times New Roman"/>
        </w:rPr>
        <w:t>minimis</w:t>
      </w:r>
      <w:proofErr w:type="spellEnd"/>
      <w:r>
        <w:rPr>
          <w:rFonts w:ascii="Times New Roman" w:hAnsi="Times New Roman"/>
        </w:rPr>
        <w:t xml:space="preserve"> number of </w:t>
      </w:r>
      <w:r w:rsidR="00146A1E">
        <w:rPr>
          <w:rFonts w:ascii="Times New Roman" w:hAnsi="Times New Roman"/>
        </w:rPr>
        <w:t xml:space="preserve">Investors for </w:t>
      </w:r>
      <w:r>
        <w:rPr>
          <w:rFonts w:ascii="Times New Roman" w:hAnsi="Times New Roman"/>
        </w:rPr>
        <w:t>non-ERISA plans</w:t>
      </w:r>
      <w:r w:rsidRPr="004D5A1F">
        <w:rPr>
          <w:rFonts w:ascii="Times New Roman" w:hAnsi="Times New Roman"/>
          <w:vertAlign w:val="superscript"/>
        </w:rPr>
        <w:t xml:space="preserve"> </w:t>
      </w:r>
      <w:r>
        <w:rPr>
          <w:rFonts w:ascii="Times New Roman" w:hAnsi="Times New Roman"/>
        </w:rPr>
        <w:t>will engage in transactions covered under this Exemption.</w:t>
      </w:r>
    </w:p>
    <w:p w14:paraId="14E2CC0F" w14:textId="77777777" w:rsidR="008E0D61" w:rsidRDefault="008E0D61" w:rsidP="008E0D61">
      <w:pPr>
        <w:ind w:left="720"/>
        <w:rPr>
          <w:rFonts w:ascii="Times New Roman" w:hAnsi="Times New Roman"/>
        </w:rPr>
      </w:pPr>
    </w:p>
    <w:p w14:paraId="5BBB2122" w14:textId="11A525B6" w:rsidR="008E0D61" w:rsidRPr="00D80EE0" w:rsidRDefault="008E0D61" w:rsidP="008E0D61">
      <w:pPr>
        <w:ind w:left="720"/>
        <w:rPr>
          <w:rFonts w:ascii="Times New Roman" w:eastAsia="MS Mincho" w:hAnsi="Times New Roman"/>
        </w:rPr>
      </w:pPr>
      <w:r>
        <w:rPr>
          <w:rFonts w:ascii="Times New Roman" w:hAnsi="Times New Roman"/>
        </w:rPr>
        <w:t>The Department estimates that a</w:t>
      </w:r>
      <w:r w:rsidRPr="00380BF3">
        <w:rPr>
          <w:rFonts w:ascii="Times New Roman" w:hAnsi="Times New Roman"/>
        </w:rPr>
        <w:t xml:space="preserve">pproximately </w:t>
      </w:r>
      <w:r w:rsidR="00CF41E4">
        <w:rPr>
          <w:rFonts w:ascii="Times New Roman" w:hAnsi="Times New Roman"/>
        </w:rPr>
        <w:t>19 large IMOs</w:t>
      </w:r>
      <w:r w:rsidR="000A5912">
        <w:rPr>
          <w:rFonts w:ascii="Times New Roman" w:hAnsi="Times New Roman"/>
        </w:rPr>
        <w:t xml:space="preserve"> </w:t>
      </w:r>
      <w:r w:rsidR="00CF41E4">
        <w:rPr>
          <w:rFonts w:ascii="Times New Roman" w:hAnsi="Times New Roman"/>
        </w:rPr>
        <w:t>will seek</w:t>
      </w:r>
      <w:r w:rsidR="00B70A56">
        <w:rPr>
          <w:rFonts w:ascii="Times New Roman" w:hAnsi="Times New Roman"/>
        </w:rPr>
        <w:t xml:space="preserve"> relief under this</w:t>
      </w:r>
      <w:r w:rsidRPr="00380BF3">
        <w:rPr>
          <w:rFonts w:ascii="Times New Roman" w:hAnsi="Times New Roman"/>
        </w:rPr>
        <w:t xml:space="preserve"> </w:t>
      </w:r>
      <w:r>
        <w:rPr>
          <w:rFonts w:ascii="Times New Roman" w:hAnsi="Times New Roman"/>
        </w:rPr>
        <w:t>E</w:t>
      </w:r>
      <w:r w:rsidRPr="00380BF3">
        <w:rPr>
          <w:rFonts w:ascii="Times New Roman" w:hAnsi="Times New Roman"/>
        </w:rPr>
        <w:t xml:space="preserve">xemption to engage in </w:t>
      </w:r>
      <w:r>
        <w:rPr>
          <w:rFonts w:ascii="Times New Roman" w:hAnsi="Times New Roman"/>
        </w:rPr>
        <w:t>transactions with their clients, that 28.7 percent of plans are new clients to a Financial Institution in an advisory capacity,</w:t>
      </w:r>
      <w:r w:rsidRPr="00A21814">
        <w:rPr>
          <w:rStyle w:val="FootnoteReference"/>
          <w:rFonts w:ascii="Times New Roman" w:hAnsi="Times New Roman"/>
          <w:vertAlign w:val="superscript"/>
        </w:rPr>
        <w:footnoteReference w:id="2"/>
      </w:r>
      <w:r>
        <w:rPr>
          <w:rFonts w:ascii="Times New Roman" w:hAnsi="Times New Roman"/>
        </w:rPr>
        <w:t xml:space="preserve"> and that 20 percent of IRAs are new clients to a Financial Institution in any advisory capacity annually.</w:t>
      </w:r>
      <w:r w:rsidRPr="00541BBA">
        <w:rPr>
          <w:rStyle w:val="FootnoteReference"/>
          <w:rFonts w:ascii="Times New Roman" w:hAnsi="Times New Roman"/>
          <w:vertAlign w:val="superscript"/>
        </w:rPr>
        <w:footnoteReference w:id="3"/>
      </w:r>
    </w:p>
    <w:p w14:paraId="34F2EC58" w14:textId="77777777" w:rsidR="008E0D61" w:rsidRDefault="008E0D61" w:rsidP="008E0D61">
      <w:pPr>
        <w:ind w:left="720"/>
        <w:rPr>
          <w:rFonts w:ascii="Times New Roman" w:eastAsia="MS Mincho" w:hAnsi="Times New Roman"/>
        </w:rPr>
      </w:pPr>
    </w:p>
    <w:p w14:paraId="6661C163" w14:textId="77777777" w:rsidR="00AD3B02" w:rsidRDefault="00AD3B02" w:rsidP="00AD3B02">
      <w:pPr>
        <w:ind w:left="720"/>
        <w:rPr>
          <w:rFonts w:ascii="Times New Roman" w:eastAsia="MS Mincho" w:hAnsi="Times New Roman"/>
        </w:rPr>
      </w:pPr>
      <w:r w:rsidRPr="000F21D3">
        <w:rPr>
          <w:rFonts w:ascii="Times New Roman" w:eastAsia="MS Mincho" w:hAnsi="Times New Roman"/>
        </w:rPr>
        <w:t>The Department believes that nearly all Financial Institutions will contract with outside service providers to implement the various compliance requirements of this exemption</w:t>
      </w:r>
      <w:r>
        <w:rPr>
          <w:rFonts w:ascii="Times New Roman" w:eastAsia="MS Mincho" w:hAnsi="Times New Roman"/>
        </w:rPr>
        <w:t>, and those costs are described in detail in question 13</w:t>
      </w:r>
      <w:r w:rsidRPr="000F21D3">
        <w:rPr>
          <w:rFonts w:ascii="Times New Roman" w:eastAsia="MS Mincho" w:hAnsi="Times New Roman"/>
        </w:rPr>
        <w:t xml:space="preserve">.  </w:t>
      </w:r>
      <w:r>
        <w:rPr>
          <w:rFonts w:ascii="Times New Roman" w:eastAsia="MS Mincho" w:hAnsi="Times New Roman"/>
        </w:rPr>
        <w:t>The only burden associated with these information collections that is categorized as hour burden is the time necessary for clerical staff to distribute the required disclosures</w:t>
      </w:r>
      <w:r w:rsidR="003550BF">
        <w:rPr>
          <w:rFonts w:ascii="Times New Roman" w:eastAsia="MS Mincho" w:hAnsi="Times New Roman"/>
        </w:rPr>
        <w:t xml:space="preserve"> and the time necessary for </w:t>
      </w:r>
      <w:r w:rsidR="00F7764B">
        <w:rPr>
          <w:rFonts w:ascii="Times New Roman" w:eastAsia="MS Mincho" w:hAnsi="Times New Roman"/>
        </w:rPr>
        <w:t>the head of an IMO’s compliance department to review all recommendations made by the IMO’s advisers.</w:t>
      </w:r>
    </w:p>
    <w:p w14:paraId="4F44CF80" w14:textId="77777777" w:rsidR="00AD3B02" w:rsidRDefault="00AD3B02" w:rsidP="00AD3B02">
      <w:pPr>
        <w:ind w:left="720"/>
        <w:rPr>
          <w:rFonts w:ascii="Times New Roman" w:eastAsia="MS Mincho" w:hAnsi="Times New Roman"/>
        </w:rPr>
      </w:pPr>
    </w:p>
    <w:p w14:paraId="1DD947DB" w14:textId="77777777" w:rsidR="008E0D61" w:rsidRDefault="00FB7851" w:rsidP="008E0D61">
      <w:pPr>
        <w:ind w:left="720"/>
        <w:rPr>
          <w:rFonts w:ascii="Times New Roman" w:eastAsia="MS Mincho" w:hAnsi="Times New Roman"/>
        </w:rPr>
      </w:pPr>
      <w:r>
        <w:rPr>
          <w:rFonts w:ascii="Times New Roman" w:eastAsia="MS Mincho" w:hAnsi="Times New Roman"/>
        </w:rPr>
        <w:t xml:space="preserve">Specifically, </w:t>
      </w:r>
      <w:r w:rsidR="008E0D61">
        <w:rPr>
          <w:rFonts w:ascii="Times New Roman" w:eastAsia="MS Mincho" w:hAnsi="Times New Roman"/>
        </w:rPr>
        <w:t xml:space="preserve">this exemption requires respondents to provide transition disclosures, </w:t>
      </w:r>
      <w:r w:rsidR="00275538">
        <w:rPr>
          <w:rFonts w:ascii="Times New Roman" w:eastAsia="MS Mincho" w:hAnsi="Times New Roman"/>
        </w:rPr>
        <w:t xml:space="preserve">contracts and </w:t>
      </w:r>
      <w:r w:rsidR="008E0D61">
        <w:rPr>
          <w:rFonts w:ascii="Times New Roman" w:eastAsia="MS Mincho" w:hAnsi="Times New Roman"/>
        </w:rPr>
        <w:t>contract disclosures, pre-transaction disclosures,</w:t>
      </w:r>
      <w:r w:rsidR="00805EB9" w:rsidRPr="00ED5305">
        <w:rPr>
          <w:rStyle w:val="FootnoteReference"/>
          <w:rFonts w:ascii="Times New Roman" w:eastAsia="MS Mincho" w:hAnsi="Times New Roman"/>
          <w:vertAlign w:val="superscript"/>
        </w:rPr>
        <w:footnoteReference w:id="4"/>
      </w:r>
      <w:r w:rsidR="008E0D61">
        <w:rPr>
          <w:rFonts w:ascii="Times New Roman" w:eastAsia="MS Mincho" w:hAnsi="Times New Roman"/>
        </w:rPr>
        <w:t xml:space="preserve"> </w:t>
      </w:r>
      <w:r w:rsidR="00DD68AA">
        <w:rPr>
          <w:rFonts w:ascii="Times New Roman" w:eastAsia="MS Mincho" w:hAnsi="Times New Roman"/>
        </w:rPr>
        <w:t>a notice to the Department</w:t>
      </w:r>
      <w:r w:rsidR="008E0D61">
        <w:rPr>
          <w:rFonts w:ascii="Times New Roman" w:eastAsia="MS Mincho" w:hAnsi="Times New Roman"/>
        </w:rPr>
        <w:t xml:space="preserve">, </w:t>
      </w:r>
      <w:r w:rsidR="002E4E55">
        <w:rPr>
          <w:rFonts w:ascii="Times New Roman" w:eastAsia="MS Mincho" w:hAnsi="Times New Roman"/>
        </w:rPr>
        <w:t xml:space="preserve">a web disclosure, </w:t>
      </w:r>
      <w:proofErr w:type="gramStart"/>
      <w:r w:rsidR="007367D2">
        <w:rPr>
          <w:rFonts w:ascii="Times New Roman" w:eastAsia="MS Mincho" w:hAnsi="Times New Roman"/>
        </w:rPr>
        <w:t>a</w:t>
      </w:r>
      <w:r w:rsidR="008E0D61">
        <w:rPr>
          <w:rFonts w:ascii="Times New Roman" w:eastAsia="MS Mincho" w:hAnsi="Times New Roman"/>
        </w:rPr>
        <w:t xml:space="preserve"> </w:t>
      </w:r>
      <w:r w:rsidR="00DD68AA">
        <w:rPr>
          <w:rFonts w:ascii="Times New Roman" w:eastAsia="MS Mincho" w:hAnsi="Times New Roman"/>
        </w:rPr>
        <w:t>detailed</w:t>
      </w:r>
      <w:proofErr w:type="gramEnd"/>
      <w:r w:rsidR="004F0FB6">
        <w:rPr>
          <w:rFonts w:ascii="Times New Roman" w:eastAsia="MS Mincho" w:hAnsi="Times New Roman"/>
        </w:rPr>
        <w:t xml:space="preserve"> pre-transaction</w:t>
      </w:r>
      <w:r w:rsidR="008E0D61">
        <w:rPr>
          <w:rFonts w:ascii="Times New Roman" w:eastAsia="MS Mincho" w:hAnsi="Times New Roman"/>
        </w:rPr>
        <w:t xml:space="preserve"> information on demand</w:t>
      </w:r>
      <w:r w:rsidR="007367D2">
        <w:rPr>
          <w:rFonts w:ascii="Times New Roman" w:eastAsia="MS Mincho" w:hAnsi="Times New Roman"/>
        </w:rPr>
        <w:t>, an annuity transaction disclosure</w:t>
      </w:r>
      <w:r w:rsidR="006A53AC">
        <w:rPr>
          <w:rFonts w:ascii="Times New Roman" w:eastAsia="MS Mincho" w:hAnsi="Times New Roman"/>
        </w:rPr>
        <w:t xml:space="preserve">, and it requires the head of the respondents’ compliance </w:t>
      </w:r>
      <w:r w:rsidR="006A53AC">
        <w:rPr>
          <w:rFonts w:ascii="Times New Roman" w:eastAsia="MS Mincho" w:hAnsi="Times New Roman"/>
        </w:rPr>
        <w:lastRenderedPageBreak/>
        <w:t>departments to review all recommendations covered by this exemption</w:t>
      </w:r>
      <w:r w:rsidR="008E0D61">
        <w:rPr>
          <w:rFonts w:ascii="Times New Roman" w:eastAsia="MS Mincho" w:hAnsi="Times New Roman"/>
        </w:rPr>
        <w:t xml:space="preserve">.  </w:t>
      </w:r>
    </w:p>
    <w:p w14:paraId="33A654AE" w14:textId="77777777" w:rsidR="00095B1E" w:rsidRDefault="00095B1E" w:rsidP="008E0D61">
      <w:pPr>
        <w:ind w:left="720"/>
        <w:rPr>
          <w:rFonts w:ascii="Times New Roman" w:eastAsia="MS Mincho" w:hAnsi="Times New Roman"/>
          <w:u w:val="single"/>
        </w:rPr>
      </w:pPr>
    </w:p>
    <w:p w14:paraId="0F0B72ED" w14:textId="77777777" w:rsidR="008E0D61" w:rsidRPr="00541BBA" w:rsidRDefault="008E0D61" w:rsidP="008E0D61">
      <w:pPr>
        <w:ind w:left="720"/>
        <w:rPr>
          <w:rFonts w:ascii="Times New Roman" w:eastAsia="MS Mincho" w:hAnsi="Times New Roman"/>
          <w:u w:val="single"/>
        </w:rPr>
      </w:pPr>
      <w:r>
        <w:rPr>
          <w:rFonts w:ascii="Times New Roman" w:eastAsia="MS Mincho" w:hAnsi="Times New Roman"/>
          <w:u w:val="single"/>
        </w:rPr>
        <w:t>Transition Disclosures</w:t>
      </w:r>
    </w:p>
    <w:p w14:paraId="4544AE29" w14:textId="77777777" w:rsidR="008E0D61" w:rsidRDefault="008E0D61" w:rsidP="008E0D61">
      <w:pPr>
        <w:ind w:left="720"/>
        <w:rPr>
          <w:rFonts w:ascii="Times New Roman" w:eastAsia="MS Mincho" w:hAnsi="Times New Roman"/>
        </w:rPr>
      </w:pPr>
      <w:r w:rsidRPr="00853760">
        <w:rPr>
          <w:rFonts w:ascii="Times New Roman" w:eastAsia="MS Mincho" w:hAnsi="Times New Roman"/>
        </w:rPr>
        <w:t xml:space="preserve">The Department estimates that </w:t>
      </w:r>
      <w:r w:rsidR="00D37478">
        <w:rPr>
          <w:rFonts w:ascii="Times New Roman" w:eastAsia="MS Mincho" w:hAnsi="Times New Roman"/>
        </w:rPr>
        <w:t>15,000</w:t>
      </w:r>
      <w:r w:rsidRPr="00853760">
        <w:rPr>
          <w:rFonts w:ascii="Times New Roman" w:eastAsia="MS Mincho" w:hAnsi="Times New Roman"/>
        </w:rPr>
        <w:t xml:space="preserve"> Retirement Investors with respect to ERISA plans and </w:t>
      </w:r>
      <w:r w:rsidR="00D37478">
        <w:rPr>
          <w:rFonts w:ascii="Times New Roman" w:eastAsia="MS Mincho" w:hAnsi="Times New Roman"/>
        </w:rPr>
        <w:t>212,000</w:t>
      </w:r>
      <w:r w:rsidRPr="00853760">
        <w:rPr>
          <w:rFonts w:ascii="Times New Roman" w:eastAsia="MS Mincho" w:hAnsi="Times New Roman"/>
        </w:rPr>
        <w:t xml:space="preserve"> Retirement Investors with respect to IRAs and non-ERISA plans will receive a three-page transition disclosure during the first year.  The transition disclosure will be distributed electronically to 51.8 percent of ERISA plan investors</w:t>
      </w:r>
      <w:r w:rsidRPr="00541BBA">
        <w:rPr>
          <w:rStyle w:val="FootnoteReference"/>
          <w:rFonts w:ascii="Times New Roman" w:eastAsia="MS Mincho" w:hAnsi="Times New Roman"/>
          <w:vertAlign w:val="superscript"/>
        </w:rPr>
        <w:footnoteReference w:id="5"/>
      </w:r>
      <w:r w:rsidRPr="00853760">
        <w:rPr>
          <w:rFonts w:ascii="Times New Roman" w:eastAsia="MS Mincho" w:hAnsi="Times New Roman"/>
        </w:rPr>
        <w:t xml:space="preserve"> and 44.1 percent of IRAs and non-ERISA plan investors</w:t>
      </w:r>
      <w:r w:rsidRPr="00541BBA">
        <w:rPr>
          <w:rStyle w:val="FootnoteReference"/>
          <w:rFonts w:ascii="Times New Roman" w:eastAsia="MS Mincho" w:hAnsi="Times New Roman"/>
          <w:vertAlign w:val="superscript"/>
        </w:rPr>
        <w:footnoteReference w:id="6"/>
      </w:r>
      <w:r w:rsidRPr="00853760">
        <w:rPr>
          <w:rFonts w:ascii="Times New Roman" w:eastAsia="MS Mincho" w:hAnsi="Times New Roman"/>
        </w:rPr>
        <w:t xml:space="preserve"> during the first year.  Paper disclosures will be mailed to the remaining 48.2 percent of ERISA plan investors and 55.9 percent of IRAs and non-ERISA plan investors.  </w:t>
      </w:r>
      <w:r>
        <w:rPr>
          <w:rFonts w:ascii="Times New Roman" w:eastAsia="MS Mincho" w:hAnsi="Times New Roman"/>
        </w:rPr>
        <w:t xml:space="preserve">Electronic distribution will result in de </w:t>
      </w:r>
      <w:proofErr w:type="spellStart"/>
      <w:r>
        <w:rPr>
          <w:rFonts w:ascii="Times New Roman" w:eastAsia="MS Mincho" w:hAnsi="Times New Roman"/>
        </w:rPr>
        <w:t>minimis</w:t>
      </w:r>
      <w:proofErr w:type="spellEnd"/>
      <w:r>
        <w:rPr>
          <w:rFonts w:ascii="Times New Roman" w:eastAsia="MS Mincho" w:hAnsi="Times New Roman"/>
        </w:rPr>
        <w:t xml:space="preserve"> burden.  Distribution of the </w:t>
      </w:r>
      <w:r w:rsidR="005F011C">
        <w:rPr>
          <w:rFonts w:ascii="Times New Roman" w:eastAsia="MS Mincho" w:hAnsi="Times New Roman"/>
        </w:rPr>
        <w:t>126,000</w:t>
      </w:r>
      <w:r>
        <w:rPr>
          <w:rFonts w:ascii="Times New Roman" w:eastAsia="MS Mincho" w:hAnsi="Times New Roman"/>
        </w:rPr>
        <w:t xml:space="preserve"> paper transition disclosures</w:t>
      </w:r>
      <w:r w:rsidRPr="00541BBA">
        <w:rPr>
          <w:rStyle w:val="FootnoteReference"/>
          <w:rFonts w:ascii="Times New Roman" w:eastAsia="MS Mincho" w:hAnsi="Times New Roman"/>
          <w:vertAlign w:val="superscript"/>
        </w:rPr>
        <w:footnoteReference w:id="7"/>
      </w:r>
      <w:r>
        <w:rPr>
          <w:rFonts w:ascii="Times New Roman" w:eastAsia="MS Mincho" w:hAnsi="Times New Roman"/>
        </w:rPr>
        <w:t xml:space="preserve"> </w:t>
      </w:r>
      <w:r w:rsidRPr="00853760">
        <w:rPr>
          <w:rFonts w:ascii="Times New Roman" w:eastAsia="MS Mincho" w:hAnsi="Times New Roman"/>
        </w:rPr>
        <w:t xml:space="preserve">will require two minutes of clerical time </w:t>
      </w:r>
      <w:r>
        <w:rPr>
          <w:rFonts w:ascii="Times New Roman" w:eastAsia="MS Mincho" w:hAnsi="Times New Roman"/>
        </w:rPr>
        <w:t>per disclosure, at an hourly rate of $</w:t>
      </w:r>
      <w:r w:rsidR="00B54950">
        <w:rPr>
          <w:rFonts w:ascii="Times New Roman" w:eastAsia="MS Mincho" w:hAnsi="Times New Roman"/>
        </w:rPr>
        <w:t>54.74</w:t>
      </w:r>
      <w:r>
        <w:rPr>
          <w:rFonts w:ascii="Times New Roman" w:eastAsia="MS Mincho" w:hAnsi="Times New Roman"/>
        </w:rPr>
        <w:t>,</w:t>
      </w:r>
      <w:r w:rsidR="009D06F1" w:rsidRPr="00C40304">
        <w:rPr>
          <w:rStyle w:val="FootnoteReference"/>
          <w:rFonts w:ascii="Times New Roman" w:eastAsia="MS Mincho" w:hAnsi="Times New Roman"/>
          <w:vertAlign w:val="superscript"/>
        </w:rPr>
        <w:footnoteReference w:id="8"/>
      </w:r>
      <w:r>
        <w:rPr>
          <w:rFonts w:ascii="Times New Roman" w:eastAsia="MS Mincho" w:hAnsi="Times New Roman"/>
        </w:rPr>
        <w:t xml:space="preserve"> </w:t>
      </w:r>
      <w:r w:rsidRPr="00853760">
        <w:rPr>
          <w:rFonts w:ascii="Times New Roman" w:eastAsia="MS Mincho" w:hAnsi="Times New Roman"/>
        </w:rPr>
        <w:t xml:space="preserve">to print and mail the disclosure, resulting in </w:t>
      </w:r>
      <w:r w:rsidR="00B54950">
        <w:rPr>
          <w:rFonts w:ascii="Times New Roman" w:eastAsia="MS Mincho" w:hAnsi="Times New Roman"/>
        </w:rPr>
        <w:t>4</w:t>
      </w:r>
      <w:r w:rsidRPr="00853760">
        <w:rPr>
          <w:rFonts w:ascii="Times New Roman" w:eastAsia="MS Mincho" w:hAnsi="Times New Roman"/>
        </w:rPr>
        <w:t>,000 hours</w:t>
      </w:r>
      <w:r w:rsidRPr="00541BBA">
        <w:rPr>
          <w:rStyle w:val="FootnoteReference"/>
          <w:rFonts w:ascii="Times New Roman" w:eastAsia="MS Mincho" w:hAnsi="Times New Roman"/>
          <w:vertAlign w:val="superscript"/>
        </w:rPr>
        <w:footnoteReference w:id="9"/>
      </w:r>
      <w:r w:rsidRPr="00853760">
        <w:rPr>
          <w:rFonts w:ascii="Times New Roman" w:eastAsia="MS Mincho" w:hAnsi="Times New Roman"/>
        </w:rPr>
        <w:t xml:space="preserve"> at an equivalent cost of $</w:t>
      </w:r>
      <w:r w:rsidR="00BF4644">
        <w:rPr>
          <w:rFonts w:ascii="Times New Roman" w:eastAsia="MS Mincho" w:hAnsi="Times New Roman"/>
        </w:rPr>
        <w:t>230,000</w:t>
      </w:r>
      <w:r w:rsidRPr="00853760">
        <w:rPr>
          <w:rFonts w:ascii="Times New Roman" w:eastAsia="MS Mincho" w:hAnsi="Times New Roman"/>
        </w:rPr>
        <w:t xml:space="preserve"> during the first year</w:t>
      </w:r>
      <w:r>
        <w:rPr>
          <w:rFonts w:ascii="Times New Roman" w:eastAsia="MS Mincho" w:hAnsi="Times New Roman"/>
        </w:rPr>
        <w:t xml:space="preserve"> only</w:t>
      </w:r>
      <w:r w:rsidRPr="00853760">
        <w:rPr>
          <w:rFonts w:ascii="Times New Roman" w:eastAsia="MS Mincho" w:hAnsi="Times New Roman"/>
        </w:rPr>
        <w:t>.</w:t>
      </w:r>
      <w:r w:rsidRPr="00541BBA">
        <w:rPr>
          <w:rStyle w:val="FootnoteReference"/>
          <w:rFonts w:ascii="Times New Roman" w:eastAsia="MS Mincho" w:hAnsi="Times New Roman"/>
          <w:vertAlign w:val="superscript"/>
        </w:rPr>
        <w:footnoteReference w:id="10"/>
      </w:r>
    </w:p>
    <w:p w14:paraId="76DA4058" w14:textId="77777777" w:rsidR="008E0D61" w:rsidRDefault="008E0D61" w:rsidP="008E0D61">
      <w:pPr>
        <w:ind w:left="720"/>
        <w:rPr>
          <w:rFonts w:ascii="Times New Roman" w:eastAsia="MS Mincho" w:hAnsi="Times New Roman"/>
        </w:rPr>
      </w:pPr>
    </w:p>
    <w:p w14:paraId="2DE36DED" w14:textId="77777777" w:rsidR="008E0D61" w:rsidRPr="00541BBA" w:rsidRDefault="008E0D61" w:rsidP="008E0D61">
      <w:pPr>
        <w:ind w:left="720"/>
        <w:rPr>
          <w:rFonts w:ascii="Times New Roman" w:eastAsia="MS Mincho" w:hAnsi="Times New Roman"/>
          <w:u w:val="single"/>
        </w:rPr>
      </w:pPr>
      <w:r w:rsidRPr="00541BBA">
        <w:rPr>
          <w:rFonts w:ascii="Times New Roman" w:eastAsia="MS Mincho" w:hAnsi="Times New Roman"/>
          <w:u w:val="single"/>
        </w:rPr>
        <w:t>Contract Disclosures and Contracts</w:t>
      </w:r>
    </w:p>
    <w:p w14:paraId="08FCDD9D" w14:textId="77777777" w:rsidR="008E0D61" w:rsidRDefault="008E0D61" w:rsidP="008E0D61">
      <w:pPr>
        <w:ind w:left="720"/>
        <w:rPr>
          <w:rFonts w:ascii="Times New Roman" w:eastAsia="MS Mincho" w:hAnsi="Times New Roman"/>
        </w:rPr>
      </w:pPr>
      <w:r>
        <w:rPr>
          <w:rFonts w:ascii="Times New Roman" w:eastAsia="MS Mincho" w:hAnsi="Times New Roman"/>
        </w:rPr>
        <w:t xml:space="preserve">The Department estimates that </w:t>
      </w:r>
      <w:r w:rsidR="00CD591F">
        <w:rPr>
          <w:rFonts w:ascii="Times New Roman" w:eastAsia="MS Mincho" w:hAnsi="Times New Roman"/>
        </w:rPr>
        <w:t>15,000</w:t>
      </w:r>
      <w:r w:rsidRPr="00853760">
        <w:rPr>
          <w:rFonts w:ascii="Times New Roman" w:eastAsia="MS Mincho" w:hAnsi="Times New Roman"/>
        </w:rPr>
        <w:t xml:space="preserve"> Retirement Investors with respect to ERISA plans will receive a fi</w:t>
      </w:r>
      <w:r w:rsidR="00EB5095">
        <w:rPr>
          <w:rFonts w:ascii="Times New Roman" w:eastAsia="MS Mincho" w:hAnsi="Times New Roman"/>
        </w:rPr>
        <w:t>fteen</w:t>
      </w:r>
      <w:r w:rsidRPr="00853760">
        <w:rPr>
          <w:rFonts w:ascii="Times New Roman" w:eastAsia="MS Mincho" w:hAnsi="Times New Roman"/>
        </w:rPr>
        <w:t xml:space="preserve">-page contract disclosure, and </w:t>
      </w:r>
      <w:r w:rsidR="00CD591F">
        <w:rPr>
          <w:rFonts w:ascii="Times New Roman" w:eastAsia="MS Mincho" w:hAnsi="Times New Roman"/>
        </w:rPr>
        <w:t>212,000</w:t>
      </w:r>
      <w:r w:rsidRPr="00853760">
        <w:rPr>
          <w:rFonts w:ascii="Times New Roman" w:eastAsia="MS Mincho" w:hAnsi="Times New Roman"/>
        </w:rPr>
        <w:t xml:space="preserve"> Retirement Investors with respect to IRAs and non-ERISA plans will receive a fi</w:t>
      </w:r>
      <w:r w:rsidR="00EB5095">
        <w:rPr>
          <w:rFonts w:ascii="Times New Roman" w:eastAsia="MS Mincho" w:hAnsi="Times New Roman"/>
        </w:rPr>
        <w:t>fteen</w:t>
      </w:r>
      <w:r w:rsidRPr="00853760">
        <w:rPr>
          <w:rFonts w:ascii="Times New Roman" w:eastAsia="MS Mincho" w:hAnsi="Times New Roman"/>
        </w:rPr>
        <w:t xml:space="preserve">-page contract during the first year.  In subsequent years, </w:t>
      </w:r>
      <w:r w:rsidR="005A140D">
        <w:rPr>
          <w:rFonts w:ascii="Times New Roman" w:eastAsia="MS Mincho" w:hAnsi="Times New Roman"/>
        </w:rPr>
        <w:t>4</w:t>
      </w:r>
      <w:r w:rsidRPr="00853760">
        <w:rPr>
          <w:rFonts w:ascii="Times New Roman" w:eastAsia="MS Mincho" w:hAnsi="Times New Roman"/>
        </w:rPr>
        <w:t xml:space="preserve">,000 Retirement Investors with respect to ERISA plans </w:t>
      </w:r>
      <w:r>
        <w:rPr>
          <w:rFonts w:ascii="Times New Roman" w:eastAsia="MS Mincho" w:hAnsi="Times New Roman"/>
        </w:rPr>
        <w:t>who are entering new relationships with advisers</w:t>
      </w:r>
      <w:r w:rsidRPr="00FA3A54">
        <w:rPr>
          <w:rStyle w:val="FootnoteReference"/>
          <w:rFonts w:ascii="Times New Roman" w:eastAsia="MS Mincho" w:hAnsi="Times New Roman"/>
          <w:vertAlign w:val="superscript"/>
        </w:rPr>
        <w:footnoteReference w:id="11"/>
      </w:r>
      <w:r>
        <w:rPr>
          <w:rFonts w:ascii="Times New Roman" w:eastAsia="MS Mincho" w:hAnsi="Times New Roman"/>
        </w:rPr>
        <w:t xml:space="preserve"> </w:t>
      </w:r>
      <w:r w:rsidRPr="00853760">
        <w:rPr>
          <w:rFonts w:ascii="Times New Roman" w:eastAsia="MS Mincho" w:hAnsi="Times New Roman"/>
        </w:rPr>
        <w:t>will receive a fi</w:t>
      </w:r>
      <w:r w:rsidR="00EB5095">
        <w:rPr>
          <w:rFonts w:ascii="Times New Roman" w:eastAsia="MS Mincho" w:hAnsi="Times New Roman"/>
        </w:rPr>
        <w:t>fteen</w:t>
      </w:r>
      <w:r w:rsidRPr="00853760">
        <w:rPr>
          <w:rFonts w:ascii="Times New Roman" w:eastAsia="MS Mincho" w:hAnsi="Times New Roman"/>
        </w:rPr>
        <w:t xml:space="preserve">-page contract disclosure and </w:t>
      </w:r>
      <w:r w:rsidR="005A140D">
        <w:rPr>
          <w:rFonts w:ascii="Times New Roman" w:eastAsia="MS Mincho" w:hAnsi="Times New Roman"/>
        </w:rPr>
        <w:t>42,000</w:t>
      </w:r>
      <w:r w:rsidRPr="00853760">
        <w:rPr>
          <w:rFonts w:ascii="Times New Roman" w:eastAsia="MS Mincho" w:hAnsi="Times New Roman"/>
        </w:rPr>
        <w:t xml:space="preserve"> Retirement Investors with respect to IRAs and non-ERISA plans </w:t>
      </w:r>
      <w:r>
        <w:rPr>
          <w:rFonts w:ascii="Times New Roman" w:eastAsia="MS Mincho" w:hAnsi="Times New Roman"/>
        </w:rPr>
        <w:t>who are entering new relationships with advisers</w:t>
      </w:r>
      <w:r w:rsidRPr="00206567">
        <w:rPr>
          <w:rStyle w:val="FootnoteReference"/>
          <w:rFonts w:ascii="Times New Roman" w:eastAsia="MS Mincho" w:hAnsi="Times New Roman"/>
          <w:vertAlign w:val="superscript"/>
        </w:rPr>
        <w:footnoteReference w:id="12"/>
      </w:r>
      <w:r>
        <w:rPr>
          <w:rFonts w:ascii="Times New Roman" w:eastAsia="MS Mincho" w:hAnsi="Times New Roman"/>
        </w:rPr>
        <w:t xml:space="preserve"> </w:t>
      </w:r>
      <w:r w:rsidRPr="00853760">
        <w:rPr>
          <w:rFonts w:ascii="Times New Roman" w:eastAsia="MS Mincho" w:hAnsi="Times New Roman"/>
        </w:rPr>
        <w:t>will receive a fi</w:t>
      </w:r>
      <w:r w:rsidR="00EB5095">
        <w:rPr>
          <w:rFonts w:ascii="Times New Roman" w:eastAsia="MS Mincho" w:hAnsi="Times New Roman"/>
        </w:rPr>
        <w:t>fteen</w:t>
      </w:r>
      <w:r w:rsidRPr="00853760">
        <w:rPr>
          <w:rFonts w:ascii="Times New Roman" w:eastAsia="MS Mincho" w:hAnsi="Times New Roman"/>
        </w:rPr>
        <w:t>-page contract.</w:t>
      </w:r>
    </w:p>
    <w:p w14:paraId="67CE9292" w14:textId="77777777" w:rsidR="008E0D61" w:rsidRPr="00853760" w:rsidRDefault="008E0D61" w:rsidP="008E0D61">
      <w:pPr>
        <w:ind w:left="720"/>
        <w:rPr>
          <w:rFonts w:ascii="Times New Roman" w:eastAsia="MS Mincho" w:hAnsi="Times New Roman"/>
        </w:rPr>
      </w:pPr>
    </w:p>
    <w:p w14:paraId="7AD9D044" w14:textId="77777777" w:rsidR="008E0D61" w:rsidRDefault="008E0D61" w:rsidP="008E0D61">
      <w:pPr>
        <w:ind w:left="720"/>
        <w:rPr>
          <w:rFonts w:ascii="Times New Roman" w:eastAsia="MS Mincho" w:hAnsi="Times New Roman"/>
        </w:rPr>
      </w:pPr>
      <w:r w:rsidRPr="00853760">
        <w:rPr>
          <w:rFonts w:ascii="Times New Roman" w:eastAsia="MS Mincho" w:hAnsi="Times New Roman"/>
        </w:rPr>
        <w:t xml:space="preserve">The contract disclosure will be distributed electronically to 51.8 percent of the ERISA plan investors during the first year or during any subsequent year in which the plan investor begins a new advisory relationship.  Paper contract disclosures will be mailed to 48.2 percent of ERISA plan investors.  The contract will be distributed electronically to 44.1 percent of IRAs and non-ERISA plan participants during the first year or during any subsequent year in which the investor begins a new advisory relationship.  Paper contracts will be mailed to 55.9 percent of IRAs and non-ERISA plan investors.  </w:t>
      </w:r>
      <w:r w:rsidRPr="00C63B22">
        <w:rPr>
          <w:rFonts w:ascii="Times New Roman" w:eastAsia="MS Mincho" w:hAnsi="Times New Roman"/>
        </w:rPr>
        <w:t xml:space="preserve">Electronic distribution will result in de </w:t>
      </w:r>
      <w:proofErr w:type="spellStart"/>
      <w:r w:rsidRPr="00C63B22">
        <w:rPr>
          <w:rFonts w:ascii="Times New Roman" w:eastAsia="MS Mincho" w:hAnsi="Times New Roman"/>
        </w:rPr>
        <w:t>minimis</w:t>
      </w:r>
      <w:proofErr w:type="spellEnd"/>
      <w:r w:rsidRPr="00C63B22">
        <w:rPr>
          <w:rFonts w:ascii="Times New Roman" w:eastAsia="MS Mincho" w:hAnsi="Times New Roman"/>
        </w:rPr>
        <w:t xml:space="preserve"> burden.  </w:t>
      </w:r>
      <w:r>
        <w:rPr>
          <w:rFonts w:ascii="Times New Roman" w:eastAsia="MS Mincho" w:hAnsi="Times New Roman"/>
        </w:rPr>
        <w:t xml:space="preserve">Distribution of the </w:t>
      </w:r>
      <w:r w:rsidR="00BD3F54">
        <w:rPr>
          <w:rFonts w:ascii="Times New Roman" w:eastAsia="MS Mincho" w:hAnsi="Times New Roman"/>
        </w:rPr>
        <w:t>126,000</w:t>
      </w:r>
      <w:r>
        <w:rPr>
          <w:rFonts w:ascii="Times New Roman" w:eastAsia="MS Mincho" w:hAnsi="Times New Roman"/>
        </w:rPr>
        <w:t xml:space="preserve"> paper contract disclosures and contracts during the first year</w:t>
      </w:r>
      <w:r w:rsidRPr="00541BBA">
        <w:rPr>
          <w:rStyle w:val="FootnoteReference"/>
          <w:rFonts w:ascii="Times New Roman" w:eastAsia="MS Mincho" w:hAnsi="Times New Roman"/>
          <w:vertAlign w:val="superscript"/>
        </w:rPr>
        <w:footnoteReference w:id="13"/>
      </w:r>
      <w:r>
        <w:rPr>
          <w:rFonts w:ascii="Times New Roman" w:eastAsia="MS Mincho" w:hAnsi="Times New Roman"/>
        </w:rPr>
        <w:t xml:space="preserve"> and </w:t>
      </w:r>
      <w:r w:rsidR="00BD3F54">
        <w:rPr>
          <w:rFonts w:ascii="Times New Roman" w:eastAsia="MS Mincho" w:hAnsi="Times New Roman"/>
        </w:rPr>
        <w:t>26,000</w:t>
      </w:r>
      <w:r>
        <w:rPr>
          <w:rFonts w:ascii="Times New Roman" w:eastAsia="MS Mincho" w:hAnsi="Times New Roman"/>
        </w:rPr>
        <w:t xml:space="preserve"> paper contract disclosures and contracts during subsequent years</w:t>
      </w:r>
      <w:r w:rsidRPr="00541BBA">
        <w:rPr>
          <w:rStyle w:val="FootnoteReference"/>
          <w:rFonts w:ascii="Times New Roman" w:eastAsia="MS Mincho" w:hAnsi="Times New Roman"/>
          <w:vertAlign w:val="superscript"/>
        </w:rPr>
        <w:footnoteReference w:id="14"/>
      </w:r>
      <w:r>
        <w:rPr>
          <w:rFonts w:ascii="Times New Roman" w:eastAsia="MS Mincho" w:hAnsi="Times New Roman"/>
        </w:rPr>
        <w:t xml:space="preserve"> </w:t>
      </w:r>
      <w:r w:rsidRPr="00C63B22">
        <w:rPr>
          <w:rFonts w:ascii="Times New Roman" w:eastAsia="MS Mincho" w:hAnsi="Times New Roman"/>
        </w:rPr>
        <w:t>will require two minutes of clerical time</w:t>
      </w:r>
      <w:r>
        <w:rPr>
          <w:rFonts w:ascii="Times New Roman" w:eastAsia="MS Mincho" w:hAnsi="Times New Roman"/>
        </w:rPr>
        <w:t xml:space="preserve"> per contract or disclosure,</w:t>
      </w:r>
      <w:r w:rsidRPr="00C63B22">
        <w:rPr>
          <w:rFonts w:ascii="Times New Roman" w:eastAsia="MS Mincho" w:hAnsi="Times New Roman"/>
        </w:rPr>
        <w:t xml:space="preserve"> </w:t>
      </w:r>
      <w:r>
        <w:rPr>
          <w:rFonts w:ascii="Times New Roman" w:eastAsia="MS Mincho" w:hAnsi="Times New Roman"/>
        </w:rPr>
        <w:t>at any hourly rate of $5</w:t>
      </w:r>
      <w:r w:rsidR="00A74141">
        <w:rPr>
          <w:rFonts w:ascii="Times New Roman" w:eastAsia="MS Mincho" w:hAnsi="Times New Roman"/>
        </w:rPr>
        <w:t>4.74</w:t>
      </w:r>
      <w:r>
        <w:rPr>
          <w:rFonts w:ascii="Times New Roman" w:eastAsia="MS Mincho" w:hAnsi="Times New Roman"/>
        </w:rPr>
        <w:t xml:space="preserve">, </w:t>
      </w:r>
      <w:r w:rsidRPr="00C63B22">
        <w:rPr>
          <w:rFonts w:ascii="Times New Roman" w:eastAsia="MS Mincho" w:hAnsi="Times New Roman"/>
        </w:rPr>
        <w:t xml:space="preserve">to print and mail the disclosure or contract, resulting in </w:t>
      </w:r>
      <w:r w:rsidR="00A74141">
        <w:rPr>
          <w:rFonts w:ascii="Times New Roman" w:eastAsia="MS Mincho" w:hAnsi="Times New Roman"/>
        </w:rPr>
        <w:t>4</w:t>
      </w:r>
      <w:r w:rsidRPr="00C63B22">
        <w:rPr>
          <w:rFonts w:ascii="Times New Roman" w:eastAsia="MS Mincho" w:hAnsi="Times New Roman"/>
        </w:rPr>
        <w:t>,000 hours</w:t>
      </w:r>
      <w:r w:rsidRPr="00541BBA">
        <w:rPr>
          <w:rStyle w:val="FootnoteReference"/>
          <w:rFonts w:ascii="Times New Roman" w:eastAsia="MS Mincho" w:hAnsi="Times New Roman"/>
          <w:vertAlign w:val="superscript"/>
        </w:rPr>
        <w:footnoteReference w:id="15"/>
      </w:r>
      <w:r w:rsidRPr="00C63B22">
        <w:rPr>
          <w:rFonts w:ascii="Times New Roman" w:eastAsia="MS Mincho" w:hAnsi="Times New Roman"/>
        </w:rPr>
        <w:t xml:space="preserve"> at an equivalent cost of $</w:t>
      </w:r>
      <w:r w:rsidR="00A74141">
        <w:rPr>
          <w:rFonts w:ascii="Times New Roman" w:eastAsia="MS Mincho" w:hAnsi="Times New Roman"/>
        </w:rPr>
        <w:t>230,000</w:t>
      </w:r>
      <w:r w:rsidRPr="00C63B22">
        <w:rPr>
          <w:rFonts w:ascii="Times New Roman" w:eastAsia="MS Mincho" w:hAnsi="Times New Roman"/>
        </w:rPr>
        <w:t xml:space="preserve"> during the first year</w:t>
      </w:r>
      <w:r w:rsidRPr="00541BBA">
        <w:rPr>
          <w:rStyle w:val="FootnoteReference"/>
          <w:rFonts w:ascii="Times New Roman" w:eastAsia="MS Mincho" w:hAnsi="Times New Roman"/>
          <w:vertAlign w:val="superscript"/>
        </w:rPr>
        <w:footnoteReference w:id="16"/>
      </w:r>
      <w:r w:rsidRPr="00C63B22">
        <w:rPr>
          <w:rFonts w:ascii="Times New Roman" w:eastAsia="MS Mincho" w:hAnsi="Times New Roman"/>
        </w:rPr>
        <w:t xml:space="preserve"> and </w:t>
      </w:r>
      <w:r w:rsidR="003E64D9">
        <w:rPr>
          <w:rFonts w:ascii="Times New Roman" w:eastAsia="MS Mincho" w:hAnsi="Times New Roman"/>
        </w:rPr>
        <w:t>900</w:t>
      </w:r>
      <w:r w:rsidRPr="00C63B22">
        <w:rPr>
          <w:rFonts w:ascii="Times New Roman" w:eastAsia="MS Mincho" w:hAnsi="Times New Roman"/>
        </w:rPr>
        <w:t xml:space="preserve"> hours</w:t>
      </w:r>
      <w:r w:rsidRPr="00541BBA">
        <w:rPr>
          <w:rStyle w:val="FootnoteReference"/>
          <w:rFonts w:ascii="Times New Roman" w:eastAsia="MS Mincho" w:hAnsi="Times New Roman"/>
          <w:vertAlign w:val="superscript"/>
        </w:rPr>
        <w:footnoteReference w:id="17"/>
      </w:r>
      <w:r w:rsidRPr="00C63B22">
        <w:rPr>
          <w:rFonts w:ascii="Times New Roman" w:eastAsia="MS Mincho" w:hAnsi="Times New Roman"/>
        </w:rPr>
        <w:t xml:space="preserve"> at an equivalent cost of $</w:t>
      </w:r>
      <w:r w:rsidR="003E64D9">
        <w:rPr>
          <w:rFonts w:ascii="Times New Roman" w:eastAsia="MS Mincho" w:hAnsi="Times New Roman"/>
        </w:rPr>
        <w:t>47,000</w:t>
      </w:r>
      <w:r w:rsidRPr="00C63B22">
        <w:rPr>
          <w:rFonts w:ascii="Times New Roman" w:eastAsia="MS Mincho" w:hAnsi="Times New Roman"/>
        </w:rPr>
        <w:t xml:space="preserve"> during subsequent years.</w:t>
      </w:r>
      <w:r w:rsidRPr="00541BBA">
        <w:rPr>
          <w:rStyle w:val="FootnoteReference"/>
          <w:rFonts w:ascii="Times New Roman" w:eastAsia="MS Mincho" w:hAnsi="Times New Roman"/>
          <w:vertAlign w:val="superscript"/>
        </w:rPr>
        <w:footnoteReference w:id="18"/>
      </w:r>
    </w:p>
    <w:p w14:paraId="1117A9C1" w14:textId="77777777" w:rsidR="008E0D61" w:rsidRPr="00853760" w:rsidRDefault="008E0D61" w:rsidP="008E0D61">
      <w:pPr>
        <w:ind w:left="720"/>
        <w:rPr>
          <w:rFonts w:ascii="Times New Roman" w:eastAsia="MS Mincho" w:hAnsi="Times New Roman"/>
        </w:rPr>
      </w:pPr>
    </w:p>
    <w:p w14:paraId="53D81E10" w14:textId="77777777" w:rsidR="008E0D61" w:rsidRPr="00541BBA" w:rsidRDefault="008E0D61" w:rsidP="00400920">
      <w:pPr>
        <w:ind w:left="720"/>
        <w:rPr>
          <w:rFonts w:ascii="Times New Roman" w:eastAsia="MS Mincho" w:hAnsi="Times New Roman"/>
          <w:u w:val="single"/>
        </w:rPr>
      </w:pPr>
      <w:r>
        <w:rPr>
          <w:rFonts w:ascii="Times New Roman" w:eastAsia="MS Mincho" w:hAnsi="Times New Roman"/>
          <w:u w:val="single"/>
        </w:rPr>
        <w:t>Pre-Transaction Disclosures</w:t>
      </w:r>
    </w:p>
    <w:p w14:paraId="25063A8F" w14:textId="77777777" w:rsidR="008E0D61" w:rsidRDefault="008E0D61" w:rsidP="008E0D61">
      <w:pPr>
        <w:ind w:left="720"/>
        <w:rPr>
          <w:rFonts w:ascii="Times New Roman" w:eastAsia="MS Mincho" w:hAnsi="Times New Roman"/>
        </w:rPr>
      </w:pPr>
      <w:r w:rsidRPr="00853760">
        <w:rPr>
          <w:rFonts w:ascii="Times New Roman" w:eastAsia="MS Mincho" w:hAnsi="Times New Roman"/>
        </w:rPr>
        <w:t xml:space="preserve">The Department estimates </w:t>
      </w:r>
      <w:r w:rsidR="00032BA6">
        <w:rPr>
          <w:rFonts w:ascii="Times New Roman" w:eastAsia="MS Mincho" w:hAnsi="Times New Roman"/>
        </w:rPr>
        <w:t>Retirement Investors seeking advice from IMO advisers under this exemption will engage in one transaction per year.</w:t>
      </w:r>
      <w:r w:rsidR="00F811FA">
        <w:rPr>
          <w:rFonts w:ascii="Times New Roman" w:eastAsia="MS Mincho" w:hAnsi="Times New Roman"/>
        </w:rPr>
        <w:t xml:space="preserve">  </w:t>
      </w:r>
      <w:r w:rsidR="00915397">
        <w:rPr>
          <w:rFonts w:ascii="Times New Roman" w:eastAsia="MS Mincho" w:hAnsi="Times New Roman"/>
        </w:rPr>
        <w:t xml:space="preserve">Therefore, </w:t>
      </w:r>
      <w:r w:rsidR="00032BA6">
        <w:rPr>
          <w:rFonts w:ascii="Times New Roman" w:eastAsia="MS Mincho" w:hAnsi="Times New Roman"/>
        </w:rPr>
        <w:t>IMOs</w:t>
      </w:r>
      <w:r w:rsidR="00915397">
        <w:rPr>
          <w:rFonts w:ascii="Times New Roman" w:eastAsia="MS Mincho" w:hAnsi="Times New Roman"/>
        </w:rPr>
        <w:t xml:space="preserve"> will produce </w:t>
      </w:r>
      <w:r w:rsidR="00E11151">
        <w:rPr>
          <w:rFonts w:ascii="Times New Roman" w:eastAsia="MS Mincho" w:hAnsi="Times New Roman"/>
        </w:rPr>
        <w:t>227,000</w:t>
      </w:r>
      <w:r w:rsidR="00915397">
        <w:rPr>
          <w:rFonts w:ascii="Times New Roman" w:eastAsia="MS Mincho" w:hAnsi="Times New Roman"/>
        </w:rPr>
        <w:t xml:space="preserve"> pre-transaction disclosures during the second year and all subsequent years.</w:t>
      </w:r>
      <w:r w:rsidRPr="00853760">
        <w:rPr>
          <w:rFonts w:ascii="Times New Roman" w:eastAsia="MS Mincho" w:hAnsi="Times New Roman"/>
        </w:rPr>
        <w:t xml:space="preserve">  The disclosure</w:t>
      </w:r>
      <w:r w:rsidR="006320D6">
        <w:rPr>
          <w:rFonts w:ascii="Times New Roman" w:eastAsia="MS Mincho" w:hAnsi="Times New Roman"/>
        </w:rPr>
        <w:t>s</w:t>
      </w:r>
      <w:r w:rsidRPr="00853760">
        <w:rPr>
          <w:rFonts w:ascii="Times New Roman" w:eastAsia="MS Mincho" w:hAnsi="Times New Roman"/>
        </w:rPr>
        <w:t xml:space="preserve"> will be distributed electronically to 51.8 percent of ERISA plan investors and 44.1 percent of IRA holders and non-ERISA plan investors.  Paper </w:t>
      </w:r>
      <w:r w:rsidR="00C603E8">
        <w:rPr>
          <w:rFonts w:ascii="Times New Roman" w:eastAsia="MS Mincho" w:hAnsi="Times New Roman"/>
        </w:rPr>
        <w:t>disclosures</w:t>
      </w:r>
      <w:r w:rsidRPr="00853760">
        <w:rPr>
          <w:rFonts w:ascii="Times New Roman" w:eastAsia="MS Mincho" w:hAnsi="Times New Roman"/>
        </w:rPr>
        <w:t xml:space="preserve"> will be mailed to 48.2 percent of ERISA plan investors and 55.9 percent of IRA owners and non-ERISA plan participants.  </w:t>
      </w:r>
      <w:r w:rsidRPr="00592AEB">
        <w:rPr>
          <w:rFonts w:ascii="Times New Roman" w:eastAsia="MS Mincho" w:hAnsi="Times New Roman"/>
        </w:rPr>
        <w:t xml:space="preserve">Electronic distribution will result in de </w:t>
      </w:r>
      <w:proofErr w:type="spellStart"/>
      <w:r w:rsidRPr="00592AEB">
        <w:rPr>
          <w:rFonts w:ascii="Times New Roman" w:eastAsia="MS Mincho" w:hAnsi="Times New Roman"/>
        </w:rPr>
        <w:t>minimis</w:t>
      </w:r>
      <w:proofErr w:type="spellEnd"/>
      <w:r w:rsidRPr="00592AEB">
        <w:rPr>
          <w:rFonts w:ascii="Times New Roman" w:eastAsia="MS Mincho" w:hAnsi="Times New Roman"/>
        </w:rPr>
        <w:t xml:space="preserve"> burden.  </w:t>
      </w:r>
      <w:r>
        <w:rPr>
          <w:rFonts w:ascii="Times New Roman" w:eastAsia="MS Mincho" w:hAnsi="Times New Roman"/>
        </w:rPr>
        <w:t xml:space="preserve">Distribution of the </w:t>
      </w:r>
      <w:r w:rsidR="00E11151">
        <w:rPr>
          <w:rFonts w:ascii="Times New Roman" w:eastAsia="MS Mincho" w:hAnsi="Times New Roman"/>
        </w:rPr>
        <w:t>126,000</w:t>
      </w:r>
      <w:r w:rsidR="00C603E8">
        <w:rPr>
          <w:rFonts w:ascii="Times New Roman" w:eastAsia="MS Mincho" w:hAnsi="Times New Roman"/>
        </w:rPr>
        <w:t xml:space="preserve"> paper pre-transaction disclosures</w:t>
      </w:r>
      <w:r w:rsidRPr="00AC27CD">
        <w:rPr>
          <w:rStyle w:val="FootnoteReference"/>
          <w:rFonts w:ascii="Times New Roman" w:eastAsia="MS Mincho" w:hAnsi="Times New Roman"/>
          <w:vertAlign w:val="superscript"/>
        </w:rPr>
        <w:footnoteReference w:id="19"/>
      </w:r>
      <w:r w:rsidRPr="00853760">
        <w:rPr>
          <w:rFonts w:ascii="Times New Roman" w:eastAsia="MS Mincho" w:hAnsi="Times New Roman"/>
        </w:rPr>
        <w:t xml:space="preserve"> will require two minutes of clerical time </w:t>
      </w:r>
      <w:r>
        <w:rPr>
          <w:rFonts w:ascii="Times New Roman" w:eastAsia="MS Mincho" w:hAnsi="Times New Roman"/>
        </w:rPr>
        <w:t>per disclosure, at any hourly rate of $5</w:t>
      </w:r>
      <w:r w:rsidR="006B0A93">
        <w:rPr>
          <w:rFonts w:ascii="Times New Roman" w:eastAsia="MS Mincho" w:hAnsi="Times New Roman"/>
        </w:rPr>
        <w:t>4.74</w:t>
      </w:r>
      <w:r>
        <w:rPr>
          <w:rFonts w:ascii="Times New Roman" w:eastAsia="MS Mincho" w:hAnsi="Times New Roman"/>
        </w:rPr>
        <w:t xml:space="preserve">, </w:t>
      </w:r>
      <w:r w:rsidRPr="00853760">
        <w:rPr>
          <w:rFonts w:ascii="Times New Roman" w:eastAsia="MS Mincho" w:hAnsi="Times New Roman"/>
        </w:rPr>
        <w:t xml:space="preserve">to print and mail the </w:t>
      </w:r>
      <w:r>
        <w:rPr>
          <w:rFonts w:ascii="Times New Roman" w:eastAsia="MS Mincho" w:hAnsi="Times New Roman"/>
        </w:rPr>
        <w:t>disclosure</w:t>
      </w:r>
      <w:r w:rsidRPr="00853760">
        <w:rPr>
          <w:rFonts w:ascii="Times New Roman" w:eastAsia="MS Mincho" w:hAnsi="Times New Roman"/>
        </w:rPr>
        <w:t xml:space="preserve">, resulting in </w:t>
      </w:r>
      <w:r w:rsidR="006B0A93">
        <w:rPr>
          <w:rFonts w:ascii="Times New Roman" w:eastAsia="MS Mincho" w:hAnsi="Times New Roman"/>
        </w:rPr>
        <w:t>4,000</w:t>
      </w:r>
      <w:r w:rsidRPr="00853760">
        <w:rPr>
          <w:rFonts w:ascii="Times New Roman" w:eastAsia="MS Mincho" w:hAnsi="Times New Roman"/>
        </w:rPr>
        <w:t xml:space="preserve"> hours</w:t>
      </w:r>
      <w:r w:rsidRPr="00AC27CD">
        <w:rPr>
          <w:rStyle w:val="FootnoteReference"/>
          <w:rFonts w:ascii="Times New Roman" w:eastAsia="MS Mincho" w:hAnsi="Times New Roman"/>
          <w:vertAlign w:val="superscript"/>
        </w:rPr>
        <w:footnoteReference w:id="20"/>
      </w:r>
      <w:r w:rsidRPr="00853760">
        <w:rPr>
          <w:rFonts w:ascii="Times New Roman" w:eastAsia="MS Mincho" w:hAnsi="Times New Roman"/>
        </w:rPr>
        <w:t xml:space="preserve"> at an equivalent cost of $</w:t>
      </w:r>
      <w:r w:rsidR="00523815">
        <w:rPr>
          <w:rFonts w:ascii="Times New Roman" w:eastAsia="MS Mincho" w:hAnsi="Times New Roman"/>
        </w:rPr>
        <w:t>230,000</w:t>
      </w:r>
      <w:r w:rsidRPr="00853760">
        <w:rPr>
          <w:rFonts w:ascii="Times New Roman" w:eastAsia="MS Mincho" w:hAnsi="Times New Roman"/>
        </w:rPr>
        <w:t xml:space="preserve"> annually</w:t>
      </w:r>
      <w:r w:rsidR="000161DA">
        <w:rPr>
          <w:rFonts w:ascii="Times New Roman" w:eastAsia="MS Mincho" w:hAnsi="Times New Roman"/>
        </w:rPr>
        <w:t xml:space="preserve"> beginning in the second year</w:t>
      </w:r>
      <w:r w:rsidRPr="00853760">
        <w:rPr>
          <w:rFonts w:ascii="Times New Roman" w:eastAsia="MS Mincho" w:hAnsi="Times New Roman"/>
        </w:rPr>
        <w:t>.</w:t>
      </w:r>
      <w:r w:rsidRPr="00AC27CD">
        <w:rPr>
          <w:rStyle w:val="FootnoteReference"/>
          <w:rFonts w:ascii="Times New Roman" w:eastAsia="MS Mincho" w:hAnsi="Times New Roman"/>
          <w:vertAlign w:val="superscript"/>
        </w:rPr>
        <w:footnoteReference w:id="21"/>
      </w:r>
    </w:p>
    <w:p w14:paraId="7B014541" w14:textId="77777777" w:rsidR="008E0D61" w:rsidRDefault="008E0D61" w:rsidP="008E0D61">
      <w:pPr>
        <w:ind w:left="720"/>
        <w:rPr>
          <w:rFonts w:ascii="Times New Roman" w:eastAsia="MS Mincho" w:hAnsi="Times New Roman"/>
        </w:rPr>
      </w:pPr>
    </w:p>
    <w:p w14:paraId="7ACACF7D" w14:textId="77777777" w:rsidR="00141C5D" w:rsidRDefault="00141C5D" w:rsidP="00141C5D">
      <w:pPr>
        <w:widowControl/>
        <w:ind w:left="720"/>
        <w:rPr>
          <w:rFonts w:ascii="Times New Roman" w:hAnsi="Times New Roman"/>
          <w:u w:val="single"/>
        </w:rPr>
      </w:pPr>
      <w:r>
        <w:rPr>
          <w:rFonts w:ascii="Times New Roman" w:hAnsi="Times New Roman"/>
          <w:u w:val="single"/>
        </w:rPr>
        <w:t>Notice to the Department</w:t>
      </w:r>
      <w:r w:rsidR="00E7695E">
        <w:rPr>
          <w:rFonts w:ascii="Times New Roman" w:hAnsi="Times New Roman"/>
          <w:u w:val="single"/>
        </w:rPr>
        <w:t xml:space="preserve"> and </w:t>
      </w:r>
      <w:r>
        <w:rPr>
          <w:rFonts w:ascii="Times New Roman" w:hAnsi="Times New Roman"/>
          <w:u w:val="single"/>
        </w:rPr>
        <w:t>Web Disclosure</w:t>
      </w:r>
    </w:p>
    <w:p w14:paraId="5186D86F" w14:textId="77777777" w:rsidR="00141C5D" w:rsidRPr="00635990" w:rsidRDefault="00141C5D" w:rsidP="00141C5D">
      <w:pPr>
        <w:widowControl/>
        <w:ind w:left="720"/>
        <w:rPr>
          <w:rFonts w:ascii="Times New Roman" w:hAnsi="Times New Roman"/>
        </w:rPr>
      </w:pPr>
      <w:r>
        <w:rPr>
          <w:rFonts w:ascii="Times New Roman" w:hAnsi="Times New Roman"/>
        </w:rPr>
        <w:t>All burden associated with these requirements is discussed in question 13.</w:t>
      </w:r>
    </w:p>
    <w:p w14:paraId="3D29F510" w14:textId="77777777" w:rsidR="00141C5D" w:rsidRDefault="00141C5D" w:rsidP="00141C5D">
      <w:pPr>
        <w:widowControl/>
        <w:ind w:left="720"/>
        <w:rPr>
          <w:rFonts w:ascii="Times New Roman" w:hAnsi="Times New Roman"/>
          <w:u w:val="single"/>
        </w:rPr>
      </w:pPr>
    </w:p>
    <w:p w14:paraId="0DAB3F62" w14:textId="77777777" w:rsidR="008E0D61" w:rsidRPr="00541BBA" w:rsidRDefault="00917D44" w:rsidP="008E0D61">
      <w:pPr>
        <w:ind w:left="720"/>
        <w:rPr>
          <w:rFonts w:ascii="Times New Roman" w:eastAsia="MS Mincho" w:hAnsi="Times New Roman"/>
          <w:u w:val="single"/>
        </w:rPr>
      </w:pPr>
      <w:r>
        <w:rPr>
          <w:rFonts w:ascii="Times New Roman" w:eastAsia="MS Mincho" w:hAnsi="Times New Roman"/>
          <w:u w:val="single"/>
        </w:rPr>
        <w:t xml:space="preserve">Detailed Pre-Transaction </w:t>
      </w:r>
      <w:r w:rsidR="008E0D61">
        <w:rPr>
          <w:rFonts w:ascii="Times New Roman" w:eastAsia="MS Mincho" w:hAnsi="Times New Roman"/>
          <w:u w:val="single"/>
        </w:rPr>
        <w:t xml:space="preserve">Information </w:t>
      </w:r>
      <w:proofErr w:type="gramStart"/>
      <w:r w:rsidR="008E0D61">
        <w:rPr>
          <w:rFonts w:ascii="Times New Roman" w:eastAsia="MS Mincho" w:hAnsi="Times New Roman"/>
          <w:u w:val="single"/>
        </w:rPr>
        <w:t>On</w:t>
      </w:r>
      <w:proofErr w:type="gramEnd"/>
      <w:r w:rsidR="008E0D61">
        <w:rPr>
          <w:rFonts w:ascii="Times New Roman" w:eastAsia="MS Mincho" w:hAnsi="Times New Roman"/>
          <w:u w:val="single"/>
        </w:rPr>
        <w:t xml:space="preserve"> Demand</w:t>
      </w:r>
    </w:p>
    <w:p w14:paraId="7DAB3A89" w14:textId="0E83288C" w:rsidR="008E0D61" w:rsidRDefault="008E0D61" w:rsidP="008E0D61">
      <w:pPr>
        <w:ind w:left="720"/>
        <w:rPr>
          <w:rFonts w:ascii="Times New Roman" w:eastAsia="MS Mincho" w:hAnsi="Times New Roman"/>
        </w:rPr>
      </w:pPr>
      <w:r w:rsidRPr="00853760">
        <w:rPr>
          <w:rFonts w:ascii="Times New Roman" w:eastAsia="MS Mincho" w:hAnsi="Times New Roman"/>
        </w:rPr>
        <w:t xml:space="preserve">The Department estimates that </w:t>
      </w:r>
      <w:r w:rsidR="00A12FAC">
        <w:rPr>
          <w:rFonts w:ascii="Times New Roman" w:eastAsia="MS Mincho" w:hAnsi="Times New Roman"/>
        </w:rPr>
        <w:t>IMOs</w:t>
      </w:r>
      <w:r w:rsidRPr="00853760">
        <w:rPr>
          <w:rFonts w:ascii="Times New Roman" w:eastAsia="MS Mincho" w:hAnsi="Times New Roman"/>
        </w:rPr>
        <w:t xml:space="preserve"> will receive ten requests per year for more detailed </w:t>
      </w:r>
      <w:r>
        <w:rPr>
          <w:rFonts w:ascii="Times New Roman" w:eastAsia="MS Mincho" w:hAnsi="Times New Roman"/>
        </w:rPr>
        <w:t>investment</w:t>
      </w:r>
      <w:r w:rsidRPr="00853760">
        <w:rPr>
          <w:rFonts w:ascii="Times New Roman" w:eastAsia="MS Mincho" w:hAnsi="Times New Roman"/>
        </w:rPr>
        <w:t xml:space="preserve"> information during the second year and all subsequent years.  The detailed disclosures will be distributed electronically for 51.8 percent of the ERISA plan investors and 44.1 percent of the IRA holders and non-ERISA plan participants.  The Department believes that requests for additional information will be proportionally likely with each Retirement Investor type.  Therefore, approximately </w:t>
      </w:r>
      <w:r w:rsidR="00984BB9">
        <w:rPr>
          <w:rFonts w:ascii="Times New Roman" w:eastAsia="MS Mincho" w:hAnsi="Times New Roman"/>
        </w:rPr>
        <w:t>1</w:t>
      </w:r>
      <w:r w:rsidR="00282968">
        <w:rPr>
          <w:rFonts w:ascii="Times New Roman" w:eastAsia="MS Mincho" w:hAnsi="Times New Roman"/>
        </w:rPr>
        <w:t>05</w:t>
      </w:r>
      <w:r w:rsidRPr="00853760">
        <w:rPr>
          <w:rFonts w:ascii="Times New Roman" w:eastAsia="MS Mincho" w:hAnsi="Times New Roman"/>
        </w:rPr>
        <w:t xml:space="preserve"> detailed disclosures will be distributed on paper.</w:t>
      </w:r>
      <w:r w:rsidRPr="005E3E87">
        <w:rPr>
          <w:rStyle w:val="FootnoteReference"/>
          <w:rFonts w:ascii="Times New Roman" w:eastAsia="MS Mincho" w:hAnsi="Times New Roman"/>
          <w:vertAlign w:val="superscript"/>
        </w:rPr>
        <w:footnoteReference w:id="22"/>
      </w:r>
      <w:r w:rsidRPr="00853760">
        <w:rPr>
          <w:rFonts w:ascii="Times New Roman" w:eastAsia="MS Mincho" w:hAnsi="Times New Roman"/>
        </w:rPr>
        <w:t xml:space="preserve">  </w:t>
      </w:r>
      <w:r w:rsidRPr="003E55CE">
        <w:rPr>
          <w:rFonts w:ascii="Times New Roman" w:eastAsia="MS Mincho" w:hAnsi="Times New Roman"/>
        </w:rPr>
        <w:t xml:space="preserve">Electronic distribution will result in de </w:t>
      </w:r>
      <w:proofErr w:type="spellStart"/>
      <w:r w:rsidRPr="003E55CE">
        <w:rPr>
          <w:rFonts w:ascii="Times New Roman" w:eastAsia="MS Mincho" w:hAnsi="Times New Roman"/>
        </w:rPr>
        <w:t>minimis</w:t>
      </w:r>
      <w:proofErr w:type="spellEnd"/>
      <w:r w:rsidRPr="003E55CE">
        <w:rPr>
          <w:rFonts w:ascii="Times New Roman" w:eastAsia="MS Mincho" w:hAnsi="Times New Roman"/>
        </w:rPr>
        <w:t xml:space="preserve"> burden.  </w:t>
      </w:r>
      <w:r w:rsidRPr="00853760">
        <w:rPr>
          <w:rFonts w:ascii="Times New Roman" w:eastAsia="MS Mincho" w:hAnsi="Times New Roman"/>
        </w:rPr>
        <w:t xml:space="preserve">Paper distribution will also require two minutes of clerical time to print and mail the statement, </w:t>
      </w:r>
      <w:r>
        <w:rPr>
          <w:rFonts w:ascii="Times New Roman" w:eastAsia="MS Mincho" w:hAnsi="Times New Roman"/>
        </w:rPr>
        <w:t>at any hourly rate of $5</w:t>
      </w:r>
      <w:r w:rsidR="00EB1A85">
        <w:rPr>
          <w:rFonts w:ascii="Times New Roman" w:eastAsia="MS Mincho" w:hAnsi="Times New Roman"/>
        </w:rPr>
        <w:t>4.74</w:t>
      </w:r>
      <w:r>
        <w:rPr>
          <w:rFonts w:ascii="Times New Roman" w:eastAsia="MS Mincho" w:hAnsi="Times New Roman"/>
        </w:rPr>
        <w:t xml:space="preserve">, </w:t>
      </w:r>
      <w:r w:rsidRPr="00853760">
        <w:rPr>
          <w:rFonts w:ascii="Times New Roman" w:eastAsia="MS Mincho" w:hAnsi="Times New Roman"/>
        </w:rPr>
        <w:t xml:space="preserve">resulting in </w:t>
      </w:r>
      <w:r w:rsidR="00EB57DC">
        <w:rPr>
          <w:rFonts w:ascii="Times New Roman" w:eastAsia="MS Mincho" w:hAnsi="Times New Roman"/>
        </w:rPr>
        <w:t>4</w:t>
      </w:r>
      <w:r w:rsidRPr="00853760">
        <w:rPr>
          <w:rFonts w:ascii="Times New Roman" w:eastAsia="MS Mincho" w:hAnsi="Times New Roman"/>
        </w:rPr>
        <w:t xml:space="preserve"> hours</w:t>
      </w:r>
      <w:r w:rsidRPr="002E3A96">
        <w:rPr>
          <w:rStyle w:val="FootnoteReference"/>
          <w:rFonts w:ascii="Times New Roman" w:eastAsia="MS Mincho" w:hAnsi="Times New Roman"/>
          <w:vertAlign w:val="superscript"/>
        </w:rPr>
        <w:footnoteReference w:id="23"/>
      </w:r>
      <w:r w:rsidRPr="00853760">
        <w:rPr>
          <w:rFonts w:ascii="Times New Roman" w:eastAsia="MS Mincho" w:hAnsi="Times New Roman"/>
        </w:rPr>
        <w:t xml:space="preserve"> at an equivalent cost of $</w:t>
      </w:r>
      <w:r w:rsidR="00282968">
        <w:rPr>
          <w:rFonts w:ascii="Times New Roman" w:eastAsia="MS Mincho" w:hAnsi="Times New Roman"/>
        </w:rPr>
        <w:t>192</w:t>
      </w:r>
      <w:r w:rsidRPr="00853760">
        <w:rPr>
          <w:rFonts w:ascii="Times New Roman" w:eastAsia="MS Mincho" w:hAnsi="Times New Roman"/>
        </w:rPr>
        <w:t xml:space="preserve"> annually</w:t>
      </w:r>
      <w:r w:rsidR="00D05089">
        <w:rPr>
          <w:rFonts w:ascii="Times New Roman" w:eastAsia="MS Mincho" w:hAnsi="Times New Roman"/>
        </w:rPr>
        <w:t xml:space="preserve"> beginning in the second year</w:t>
      </w:r>
      <w:r w:rsidRPr="00853760">
        <w:rPr>
          <w:rFonts w:ascii="Times New Roman" w:eastAsia="MS Mincho" w:hAnsi="Times New Roman"/>
        </w:rPr>
        <w:t>.</w:t>
      </w:r>
      <w:r w:rsidRPr="002E3A96">
        <w:rPr>
          <w:rStyle w:val="FootnoteReference"/>
          <w:rFonts w:ascii="Times New Roman" w:eastAsia="MS Mincho" w:hAnsi="Times New Roman"/>
          <w:vertAlign w:val="superscript"/>
        </w:rPr>
        <w:footnoteReference w:id="24"/>
      </w:r>
    </w:p>
    <w:p w14:paraId="2CF192DB" w14:textId="77777777" w:rsidR="008E0D61" w:rsidRPr="00D9717F" w:rsidRDefault="008E0D61" w:rsidP="008E0D61">
      <w:pPr>
        <w:widowControl/>
        <w:ind w:left="720"/>
        <w:rPr>
          <w:rFonts w:ascii="Times New Roman" w:hAnsi="Times New Roman"/>
        </w:rPr>
      </w:pPr>
    </w:p>
    <w:p w14:paraId="4A9BA36A" w14:textId="77777777" w:rsidR="00EF1A07" w:rsidRDefault="00EF1A07" w:rsidP="008E0D61">
      <w:pPr>
        <w:widowControl/>
        <w:ind w:left="720"/>
        <w:rPr>
          <w:rFonts w:ascii="Times New Roman" w:hAnsi="Times New Roman"/>
          <w:u w:val="single"/>
        </w:rPr>
      </w:pPr>
      <w:r>
        <w:rPr>
          <w:rFonts w:ascii="Times New Roman" w:hAnsi="Times New Roman"/>
          <w:u w:val="single"/>
        </w:rPr>
        <w:t>Annuity Transaction Disclosure</w:t>
      </w:r>
    </w:p>
    <w:p w14:paraId="4FD8FAC4" w14:textId="77777777" w:rsidR="00F06693" w:rsidRDefault="009C16E7" w:rsidP="00F06693">
      <w:pPr>
        <w:ind w:left="720"/>
        <w:rPr>
          <w:rFonts w:ascii="Times New Roman" w:eastAsia="MS Mincho" w:hAnsi="Times New Roman"/>
        </w:rPr>
      </w:pPr>
      <w:r>
        <w:rPr>
          <w:rFonts w:ascii="Times New Roman" w:eastAsia="MS Mincho" w:hAnsi="Times New Roman"/>
        </w:rPr>
        <w:t>As discussed previously, t</w:t>
      </w:r>
      <w:r w:rsidR="00795141" w:rsidRPr="00853760">
        <w:rPr>
          <w:rFonts w:ascii="Times New Roman" w:eastAsia="MS Mincho" w:hAnsi="Times New Roman"/>
        </w:rPr>
        <w:t xml:space="preserve">he Department estimates </w:t>
      </w:r>
      <w:r w:rsidR="00795141">
        <w:rPr>
          <w:rFonts w:ascii="Times New Roman" w:eastAsia="MS Mincho" w:hAnsi="Times New Roman"/>
        </w:rPr>
        <w:t xml:space="preserve">Retirement Investors seeking advice from IMO advisers under this exemption will engage in one transaction per year.  Therefore, IMOs will produce 227,000 </w:t>
      </w:r>
      <w:r>
        <w:rPr>
          <w:rFonts w:ascii="Times New Roman" w:eastAsia="MS Mincho" w:hAnsi="Times New Roman"/>
        </w:rPr>
        <w:t xml:space="preserve">annuity </w:t>
      </w:r>
      <w:r w:rsidR="00795141">
        <w:rPr>
          <w:rFonts w:ascii="Times New Roman" w:eastAsia="MS Mincho" w:hAnsi="Times New Roman"/>
        </w:rPr>
        <w:t>transaction disclosures during the second year and all subsequent years.</w:t>
      </w:r>
      <w:r w:rsidR="00795141" w:rsidRPr="00853760">
        <w:rPr>
          <w:rFonts w:ascii="Times New Roman" w:eastAsia="MS Mincho" w:hAnsi="Times New Roman"/>
        </w:rPr>
        <w:t xml:space="preserve">  The disclosure</w:t>
      </w:r>
      <w:r w:rsidR="00795141">
        <w:rPr>
          <w:rFonts w:ascii="Times New Roman" w:eastAsia="MS Mincho" w:hAnsi="Times New Roman"/>
        </w:rPr>
        <w:t>s</w:t>
      </w:r>
      <w:r w:rsidR="00795141" w:rsidRPr="00853760">
        <w:rPr>
          <w:rFonts w:ascii="Times New Roman" w:eastAsia="MS Mincho" w:hAnsi="Times New Roman"/>
        </w:rPr>
        <w:t xml:space="preserve"> will be distributed electronically to 51.8 percent of ERISA plan investors and 44.1 percent of IRA holders and non-ERISA plan investors.  Paper </w:t>
      </w:r>
      <w:r w:rsidR="00795141">
        <w:rPr>
          <w:rFonts w:ascii="Times New Roman" w:eastAsia="MS Mincho" w:hAnsi="Times New Roman"/>
        </w:rPr>
        <w:t>disclosures</w:t>
      </w:r>
      <w:r w:rsidR="00795141" w:rsidRPr="00853760">
        <w:rPr>
          <w:rFonts w:ascii="Times New Roman" w:eastAsia="MS Mincho" w:hAnsi="Times New Roman"/>
        </w:rPr>
        <w:t xml:space="preserve"> will be mailed to 48.2 percent of ERISA plan investors and 55.9 percent of IRA owners and non-ERISA plan participants.  </w:t>
      </w:r>
      <w:r w:rsidR="00795141" w:rsidRPr="00592AEB">
        <w:rPr>
          <w:rFonts w:ascii="Times New Roman" w:eastAsia="MS Mincho" w:hAnsi="Times New Roman"/>
        </w:rPr>
        <w:t xml:space="preserve">Electronic distribution will result in de </w:t>
      </w:r>
      <w:proofErr w:type="spellStart"/>
      <w:r w:rsidR="00795141" w:rsidRPr="00592AEB">
        <w:rPr>
          <w:rFonts w:ascii="Times New Roman" w:eastAsia="MS Mincho" w:hAnsi="Times New Roman"/>
        </w:rPr>
        <w:t>minimis</w:t>
      </w:r>
      <w:proofErr w:type="spellEnd"/>
      <w:r w:rsidR="00795141" w:rsidRPr="00592AEB">
        <w:rPr>
          <w:rFonts w:ascii="Times New Roman" w:eastAsia="MS Mincho" w:hAnsi="Times New Roman"/>
        </w:rPr>
        <w:t xml:space="preserve"> burden.  </w:t>
      </w:r>
      <w:r w:rsidR="00795141">
        <w:rPr>
          <w:rFonts w:ascii="Times New Roman" w:eastAsia="MS Mincho" w:hAnsi="Times New Roman"/>
        </w:rPr>
        <w:t xml:space="preserve">Distribution of the 126,000 paper </w:t>
      </w:r>
      <w:r>
        <w:rPr>
          <w:rFonts w:ascii="Times New Roman" w:eastAsia="MS Mincho" w:hAnsi="Times New Roman"/>
        </w:rPr>
        <w:t xml:space="preserve">annuity </w:t>
      </w:r>
      <w:r w:rsidR="00795141">
        <w:rPr>
          <w:rFonts w:ascii="Times New Roman" w:eastAsia="MS Mincho" w:hAnsi="Times New Roman"/>
        </w:rPr>
        <w:t>transaction disclosures</w:t>
      </w:r>
      <w:r w:rsidR="00795141" w:rsidRPr="00AC27CD">
        <w:rPr>
          <w:rStyle w:val="FootnoteReference"/>
          <w:rFonts w:ascii="Times New Roman" w:eastAsia="MS Mincho" w:hAnsi="Times New Roman"/>
          <w:vertAlign w:val="superscript"/>
        </w:rPr>
        <w:footnoteReference w:id="25"/>
      </w:r>
      <w:r w:rsidR="00795141" w:rsidRPr="00853760">
        <w:rPr>
          <w:rFonts w:ascii="Times New Roman" w:eastAsia="MS Mincho" w:hAnsi="Times New Roman"/>
        </w:rPr>
        <w:t xml:space="preserve"> will require two minutes of clerical time </w:t>
      </w:r>
      <w:r w:rsidR="00795141">
        <w:rPr>
          <w:rFonts w:ascii="Times New Roman" w:eastAsia="MS Mincho" w:hAnsi="Times New Roman"/>
        </w:rPr>
        <w:t xml:space="preserve">per disclosure, at any hourly rate of $54.74, </w:t>
      </w:r>
      <w:r w:rsidR="00795141" w:rsidRPr="00853760">
        <w:rPr>
          <w:rFonts w:ascii="Times New Roman" w:eastAsia="MS Mincho" w:hAnsi="Times New Roman"/>
        </w:rPr>
        <w:t xml:space="preserve">to print and mail the </w:t>
      </w:r>
      <w:r w:rsidR="00795141">
        <w:rPr>
          <w:rFonts w:ascii="Times New Roman" w:eastAsia="MS Mincho" w:hAnsi="Times New Roman"/>
        </w:rPr>
        <w:t>disclosure</w:t>
      </w:r>
      <w:r w:rsidR="00795141" w:rsidRPr="00853760">
        <w:rPr>
          <w:rFonts w:ascii="Times New Roman" w:eastAsia="MS Mincho" w:hAnsi="Times New Roman"/>
        </w:rPr>
        <w:t xml:space="preserve">, resulting in </w:t>
      </w:r>
      <w:r w:rsidR="00795141">
        <w:rPr>
          <w:rFonts w:ascii="Times New Roman" w:eastAsia="MS Mincho" w:hAnsi="Times New Roman"/>
        </w:rPr>
        <w:t>4,000</w:t>
      </w:r>
      <w:r w:rsidR="00795141" w:rsidRPr="00853760">
        <w:rPr>
          <w:rFonts w:ascii="Times New Roman" w:eastAsia="MS Mincho" w:hAnsi="Times New Roman"/>
        </w:rPr>
        <w:t xml:space="preserve"> hours</w:t>
      </w:r>
      <w:r w:rsidR="00795141" w:rsidRPr="00AC27CD">
        <w:rPr>
          <w:rStyle w:val="FootnoteReference"/>
          <w:rFonts w:ascii="Times New Roman" w:eastAsia="MS Mincho" w:hAnsi="Times New Roman"/>
          <w:vertAlign w:val="superscript"/>
        </w:rPr>
        <w:footnoteReference w:id="26"/>
      </w:r>
      <w:r w:rsidR="00795141" w:rsidRPr="00853760">
        <w:rPr>
          <w:rFonts w:ascii="Times New Roman" w:eastAsia="MS Mincho" w:hAnsi="Times New Roman"/>
        </w:rPr>
        <w:t xml:space="preserve"> at an equivalent cost of $</w:t>
      </w:r>
      <w:r w:rsidR="00795141">
        <w:rPr>
          <w:rFonts w:ascii="Times New Roman" w:eastAsia="MS Mincho" w:hAnsi="Times New Roman"/>
        </w:rPr>
        <w:t>230,000</w:t>
      </w:r>
      <w:r w:rsidR="00795141" w:rsidRPr="00853760">
        <w:rPr>
          <w:rFonts w:ascii="Times New Roman" w:eastAsia="MS Mincho" w:hAnsi="Times New Roman"/>
        </w:rPr>
        <w:t xml:space="preserve"> annually</w:t>
      </w:r>
      <w:r w:rsidR="00795141">
        <w:rPr>
          <w:rFonts w:ascii="Times New Roman" w:eastAsia="MS Mincho" w:hAnsi="Times New Roman"/>
        </w:rPr>
        <w:t xml:space="preserve"> beginning in the second year</w:t>
      </w:r>
      <w:r w:rsidR="00795141" w:rsidRPr="00853760">
        <w:rPr>
          <w:rFonts w:ascii="Times New Roman" w:eastAsia="MS Mincho" w:hAnsi="Times New Roman"/>
        </w:rPr>
        <w:t>.</w:t>
      </w:r>
      <w:r w:rsidR="00795141" w:rsidRPr="00AC27CD">
        <w:rPr>
          <w:rStyle w:val="FootnoteReference"/>
          <w:rFonts w:ascii="Times New Roman" w:eastAsia="MS Mincho" w:hAnsi="Times New Roman"/>
          <w:vertAlign w:val="superscript"/>
        </w:rPr>
        <w:footnoteReference w:id="27"/>
      </w:r>
    </w:p>
    <w:p w14:paraId="52190233" w14:textId="77777777" w:rsidR="00EF1A07" w:rsidRPr="00D9717F" w:rsidRDefault="00EF1A07" w:rsidP="008E0D61">
      <w:pPr>
        <w:widowControl/>
        <w:ind w:left="720"/>
        <w:rPr>
          <w:rFonts w:ascii="Times New Roman" w:eastAsia="MS Mincho" w:hAnsi="Times New Roman"/>
        </w:rPr>
      </w:pPr>
    </w:p>
    <w:p w14:paraId="247645EE" w14:textId="77777777" w:rsidR="00F06693" w:rsidRDefault="00F06693" w:rsidP="008E0D61">
      <w:pPr>
        <w:widowControl/>
        <w:ind w:left="720"/>
        <w:rPr>
          <w:rFonts w:ascii="Times New Roman" w:eastAsia="MS Mincho" w:hAnsi="Times New Roman"/>
          <w:u w:val="single"/>
        </w:rPr>
      </w:pPr>
      <w:r>
        <w:rPr>
          <w:rFonts w:ascii="Times New Roman" w:eastAsia="MS Mincho" w:hAnsi="Times New Roman"/>
          <w:u w:val="single"/>
        </w:rPr>
        <w:t>Compliance Review</w:t>
      </w:r>
    </w:p>
    <w:p w14:paraId="68658869" w14:textId="77777777" w:rsidR="00F06693" w:rsidRPr="00D9717F" w:rsidRDefault="00F06693" w:rsidP="008E0D61">
      <w:pPr>
        <w:widowControl/>
        <w:ind w:left="720"/>
        <w:rPr>
          <w:rFonts w:ascii="Times New Roman" w:eastAsia="MS Mincho" w:hAnsi="Times New Roman"/>
        </w:rPr>
      </w:pPr>
      <w:r>
        <w:rPr>
          <w:rFonts w:ascii="Times New Roman" w:eastAsia="MS Mincho" w:hAnsi="Times New Roman"/>
        </w:rPr>
        <w:t>The Department estimates that it will require 15 minutes of a financial manager’s time</w:t>
      </w:r>
      <w:r w:rsidR="008D4303">
        <w:rPr>
          <w:rFonts w:ascii="Times New Roman" w:eastAsia="MS Mincho" w:hAnsi="Times New Roman"/>
        </w:rPr>
        <w:t xml:space="preserve">, at an hourly rate of $167.39, </w:t>
      </w:r>
      <w:r>
        <w:rPr>
          <w:rFonts w:ascii="Times New Roman" w:eastAsia="MS Mincho" w:hAnsi="Times New Roman"/>
        </w:rPr>
        <w:t xml:space="preserve">to review </w:t>
      </w:r>
      <w:r w:rsidR="005E6615">
        <w:rPr>
          <w:rFonts w:ascii="Times New Roman" w:eastAsia="MS Mincho" w:hAnsi="Times New Roman"/>
        </w:rPr>
        <w:t xml:space="preserve">and approve </w:t>
      </w:r>
      <w:r>
        <w:rPr>
          <w:rFonts w:ascii="Times New Roman" w:eastAsia="MS Mincho" w:hAnsi="Times New Roman"/>
        </w:rPr>
        <w:t xml:space="preserve">each of the </w:t>
      </w:r>
      <w:r w:rsidR="008D4303">
        <w:rPr>
          <w:rFonts w:ascii="Times New Roman" w:eastAsia="MS Mincho" w:hAnsi="Times New Roman"/>
        </w:rPr>
        <w:t>227,000 annuity transaction recommendations made each year.</w:t>
      </w:r>
      <w:r w:rsidR="006037A4">
        <w:rPr>
          <w:rFonts w:ascii="Times New Roman" w:eastAsia="MS Mincho" w:hAnsi="Times New Roman"/>
        </w:rPr>
        <w:t xml:space="preserve">  This results in an annual burden of 57,000 hours at an equivalent cost of $9.5 million.</w:t>
      </w:r>
    </w:p>
    <w:p w14:paraId="1A2F12E4" w14:textId="77777777" w:rsidR="00F06693" w:rsidRDefault="00F06693" w:rsidP="008E0D61">
      <w:pPr>
        <w:widowControl/>
        <w:ind w:left="720"/>
        <w:rPr>
          <w:rFonts w:ascii="Times New Roman" w:eastAsia="MS Mincho" w:hAnsi="Times New Roman"/>
          <w:u w:val="single"/>
        </w:rPr>
      </w:pPr>
    </w:p>
    <w:p w14:paraId="1AF47A24" w14:textId="77777777" w:rsidR="008E0D61" w:rsidRPr="002E36D9" w:rsidRDefault="008E0D61" w:rsidP="008E0D61">
      <w:pPr>
        <w:widowControl/>
        <w:ind w:left="720"/>
        <w:rPr>
          <w:rFonts w:ascii="Times New Roman" w:hAnsi="Times New Roman"/>
          <w:u w:val="single"/>
        </w:rPr>
      </w:pPr>
      <w:r>
        <w:rPr>
          <w:rFonts w:ascii="Times New Roman" w:hAnsi="Times New Roman"/>
          <w:u w:val="single"/>
        </w:rPr>
        <w:t>Summary</w:t>
      </w:r>
    </w:p>
    <w:p w14:paraId="2FFE6B3B" w14:textId="77777777" w:rsidR="008E0D61" w:rsidRDefault="008E0D61" w:rsidP="008E0D61">
      <w:pPr>
        <w:widowControl/>
        <w:ind w:left="720"/>
        <w:rPr>
          <w:rFonts w:ascii="Times New Roman" w:hAnsi="Times New Roman"/>
        </w:rPr>
      </w:pPr>
      <w:r>
        <w:rPr>
          <w:rFonts w:ascii="Times New Roman" w:hAnsi="Times New Roman"/>
        </w:rPr>
        <w:lastRenderedPageBreak/>
        <w:t xml:space="preserve">As seen in the tables below, the overall burden associated with this exemption totals </w:t>
      </w:r>
      <w:r w:rsidR="00910E30">
        <w:rPr>
          <w:rFonts w:ascii="Times New Roman" w:hAnsi="Times New Roman"/>
        </w:rPr>
        <w:t>69,000</w:t>
      </w:r>
      <w:r>
        <w:rPr>
          <w:rFonts w:ascii="Times New Roman" w:hAnsi="Times New Roman"/>
        </w:rPr>
        <w:t xml:space="preserve"> hours during the first year and </w:t>
      </w:r>
      <w:r w:rsidR="00910E30">
        <w:rPr>
          <w:rFonts w:ascii="Times New Roman" w:hAnsi="Times New Roman"/>
        </w:rPr>
        <w:t>66,000</w:t>
      </w:r>
      <w:r>
        <w:rPr>
          <w:rFonts w:ascii="Times New Roman" w:hAnsi="Times New Roman"/>
        </w:rPr>
        <w:t xml:space="preserve"> hours in subsequent years.  The equivalent costs are $</w:t>
      </w:r>
      <w:r w:rsidR="00910E30">
        <w:rPr>
          <w:rFonts w:ascii="Times New Roman" w:hAnsi="Times New Roman"/>
        </w:rPr>
        <w:t>10.2</w:t>
      </w:r>
      <w:r>
        <w:rPr>
          <w:rFonts w:ascii="Times New Roman" w:hAnsi="Times New Roman"/>
        </w:rPr>
        <w:t xml:space="preserve"> million during the first year and $</w:t>
      </w:r>
      <w:r w:rsidR="00910E30">
        <w:rPr>
          <w:rFonts w:ascii="Times New Roman" w:hAnsi="Times New Roman"/>
        </w:rPr>
        <w:t>10.0</w:t>
      </w:r>
      <w:r>
        <w:rPr>
          <w:rFonts w:ascii="Times New Roman" w:hAnsi="Times New Roman"/>
        </w:rPr>
        <w:t xml:space="preserve"> million in subsequent years.</w:t>
      </w:r>
    </w:p>
    <w:p w14:paraId="4E647A18" w14:textId="77777777" w:rsidR="008E0D61" w:rsidRDefault="008E0D61" w:rsidP="008E0D61">
      <w:pPr>
        <w:widowControl/>
        <w:ind w:left="720"/>
        <w:rPr>
          <w:rFonts w:ascii="Times New Roman"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643"/>
        <w:gridCol w:w="1677"/>
        <w:gridCol w:w="1426"/>
        <w:gridCol w:w="2002"/>
      </w:tblGrid>
      <w:tr w:rsidR="008E0D61" w:rsidRPr="008F47CB" w14:paraId="5805FB64" w14:textId="77777777" w:rsidTr="00D9717F">
        <w:tc>
          <w:tcPr>
            <w:tcW w:w="3643" w:type="dxa"/>
            <w:shd w:val="clear" w:color="auto" w:fill="auto"/>
          </w:tcPr>
          <w:p w14:paraId="7FACC561" w14:textId="77777777" w:rsidR="008E0D61" w:rsidRPr="00A306B1" w:rsidRDefault="008E0D61" w:rsidP="004005FE">
            <w:pPr>
              <w:jc w:val="center"/>
              <w:rPr>
                <w:rFonts w:ascii="Times New Roman" w:hAnsi="Times New Roman"/>
                <w:b/>
                <w:sz w:val="22"/>
                <w:szCs w:val="22"/>
              </w:rPr>
            </w:pPr>
            <w:r>
              <w:rPr>
                <w:rFonts w:ascii="Times New Roman" w:hAnsi="Times New Roman"/>
                <w:b/>
                <w:sz w:val="22"/>
                <w:szCs w:val="22"/>
              </w:rPr>
              <w:t xml:space="preserve">First Year </w:t>
            </w:r>
            <w:r w:rsidRPr="00A306B1">
              <w:rPr>
                <w:rFonts w:ascii="Times New Roman" w:hAnsi="Times New Roman"/>
                <w:b/>
                <w:sz w:val="22"/>
                <w:szCs w:val="22"/>
              </w:rPr>
              <w:t>Activity</w:t>
            </w:r>
          </w:p>
        </w:tc>
        <w:tc>
          <w:tcPr>
            <w:tcW w:w="1677" w:type="dxa"/>
            <w:shd w:val="clear" w:color="auto" w:fill="auto"/>
          </w:tcPr>
          <w:p w14:paraId="221D1233" w14:textId="77777777"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Total Annual Burden (Hours)</w:t>
            </w:r>
          </w:p>
        </w:tc>
        <w:tc>
          <w:tcPr>
            <w:tcW w:w="1426" w:type="dxa"/>
            <w:shd w:val="clear" w:color="auto" w:fill="auto"/>
          </w:tcPr>
          <w:p w14:paraId="50500106" w14:textId="77777777"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Hourly Rate</w:t>
            </w:r>
          </w:p>
        </w:tc>
        <w:tc>
          <w:tcPr>
            <w:tcW w:w="2002" w:type="dxa"/>
            <w:shd w:val="clear" w:color="auto" w:fill="auto"/>
          </w:tcPr>
          <w:p w14:paraId="28441C7F" w14:textId="77777777"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8E0D61" w:rsidRPr="008F47CB" w14:paraId="125C168C" w14:textId="77777777" w:rsidTr="00D9717F">
        <w:tc>
          <w:tcPr>
            <w:tcW w:w="3643" w:type="dxa"/>
            <w:vAlign w:val="bottom"/>
          </w:tcPr>
          <w:p w14:paraId="788A2190" w14:textId="77777777" w:rsidR="008E0D61" w:rsidRPr="008F47CB" w:rsidRDefault="008E0D61" w:rsidP="00902F60">
            <w:pPr>
              <w:rPr>
                <w:rFonts w:ascii="Times New Roman" w:hAnsi="Times New Roman"/>
                <w:sz w:val="22"/>
                <w:szCs w:val="22"/>
              </w:rPr>
            </w:pPr>
            <w:r>
              <w:rPr>
                <w:rFonts w:ascii="Times New Roman" w:hAnsi="Times New Roman"/>
                <w:sz w:val="22"/>
                <w:szCs w:val="22"/>
              </w:rPr>
              <w:t>Distribution of Transition Disclosures</w:t>
            </w:r>
          </w:p>
        </w:tc>
        <w:tc>
          <w:tcPr>
            <w:tcW w:w="1677" w:type="dxa"/>
            <w:vAlign w:val="bottom"/>
          </w:tcPr>
          <w:p w14:paraId="66368347" w14:textId="77777777" w:rsidR="008E0D61" w:rsidRPr="008F47CB" w:rsidRDefault="00B24FF0" w:rsidP="00214EB3">
            <w:pPr>
              <w:jc w:val="right"/>
              <w:rPr>
                <w:rFonts w:ascii="Times New Roman" w:hAnsi="Times New Roman"/>
                <w:sz w:val="22"/>
                <w:szCs w:val="22"/>
              </w:rPr>
            </w:pPr>
            <w:r>
              <w:rPr>
                <w:rFonts w:ascii="Times New Roman" w:hAnsi="Times New Roman"/>
                <w:sz w:val="22"/>
                <w:szCs w:val="22"/>
              </w:rPr>
              <w:t>4,000</w:t>
            </w:r>
          </w:p>
        </w:tc>
        <w:tc>
          <w:tcPr>
            <w:tcW w:w="1426" w:type="dxa"/>
            <w:vAlign w:val="bottom"/>
          </w:tcPr>
          <w:p w14:paraId="54571F45" w14:textId="77777777" w:rsidR="008E0D61" w:rsidRPr="008F47CB" w:rsidRDefault="00730767" w:rsidP="00910E30">
            <w:pPr>
              <w:jc w:val="right"/>
              <w:rPr>
                <w:rFonts w:ascii="Times New Roman" w:hAnsi="Times New Roman"/>
                <w:sz w:val="22"/>
                <w:szCs w:val="22"/>
              </w:rPr>
            </w:pPr>
            <w:r>
              <w:rPr>
                <w:rFonts w:ascii="Times New Roman" w:hAnsi="Times New Roman"/>
                <w:sz w:val="22"/>
                <w:szCs w:val="22"/>
              </w:rPr>
              <w:t>$5</w:t>
            </w:r>
            <w:r w:rsidR="00910E30">
              <w:rPr>
                <w:rFonts w:ascii="Times New Roman" w:hAnsi="Times New Roman"/>
                <w:sz w:val="22"/>
                <w:szCs w:val="22"/>
              </w:rPr>
              <w:t>4.74</w:t>
            </w:r>
          </w:p>
        </w:tc>
        <w:tc>
          <w:tcPr>
            <w:tcW w:w="2002" w:type="dxa"/>
            <w:vAlign w:val="bottom"/>
          </w:tcPr>
          <w:p w14:paraId="2D578A29" w14:textId="77777777" w:rsidR="008E0D61" w:rsidRPr="008F47CB" w:rsidRDefault="007A1894" w:rsidP="00B24FF0">
            <w:pPr>
              <w:jc w:val="right"/>
              <w:rPr>
                <w:rFonts w:ascii="Times New Roman" w:hAnsi="Times New Roman"/>
                <w:sz w:val="22"/>
                <w:szCs w:val="22"/>
              </w:rPr>
            </w:pPr>
            <w:r>
              <w:rPr>
                <w:rFonts w:ascii="Times New Roman" w:hAnsi="Times New Roman"/>
                <w:sz w:val="22"/>
                <w:szCs w:val="22"/>
              </w:rPr>
              <w:t>$</w:t>
            </w:r>
            <w:r w:rsidR="00B24FF0">
              <w:rPr>
                <w:rFonts w:ascii="Times New Roman" w:hAnsi="Times New Roman"/>
                <w:sz w:val="22"/>
                <w:szCs w:val="22"/>
              </w:rPr>
              <w:t>230,000</w:t>
            </w:r>
          </w:p>
        </w:tc>
      </w:tr>
      <w:tr w:rsidR="008E0D61" w:rsidRPr="008F47CB" w14:paraId="786B31AA" w14:textId="77777777" w:rsidTr="00D9717F">
        <w:tc>
          <w:tcPr>
            <w:tcW w:w="3643" w:type="dxa"/>
            <w:vAlign w:val="bottom"/>
          </w:tcPr>
          <w:p w14:paraId="71D9AF8E" w14:textId="77777777" w:rsidR="008E0D61" w:rsidRPr="008F47CB" w:rsidRDefault="008E0D61" w:rsidP="00902F60">
            <w:pPr>
              <w:rPr>
                <w:rFonts w:ascii="Times New Roman" w:hAnsi="Times New Roman"/>
                <w:sz w:val="22"/>
                <w:szCs w:val="22"/>
              </w:rPr>
            </w:pPr>
            <w:r>
              <w:rPr>
                <w:rFonts w:ascii="Times New Roman" w:hAnsi="Times New Roman"/>
                <w:sz w:val="22"/>
                <w:szCs w:val="22"/>
              </w:rPr>
              <w:t>Distribution of Contract Disclosures and Contracts</w:t>
            </w:r>
          </w:p>
        </w:tc>
        <w:tc>
          <w:tcPr>
            <w:tcW w:w="1677" w:type="dxa"/>
            <w:vAlign w:val="bottom"/>
          </w:tcPr>
          <w:p w14:paraId="4730CB5A" w14:textId="77777777" w:rsidR="008E0D61" w:rsidRPr="008F47CB" w:rsidRDefault="003D43AE" w:rsidP="003D43AE">
            <w:pPr>
              <w:jc w:val="right"/>
              <w:rPr>
                <w:rFonts w:ascii="Times New Roman" w:hAnsi="Times New Roman"/>
                <w:sz w:val="22"/>
                <w:szCs w:val="22"/>
              </w:rPr>
            </w:pPr>
            <w:r>
              <w:rPr>
                <w:rFonts w:ascii="Times New Roman" w:hAnsi="Times New Roman"/>
                <w:sz w:val="22"/>
                <w:szCs w:val="22"/>
              </w:rPr>
              <w:t>4</w:t>
            </w:r>
            <w:r w:rsidR="007A1894">
              <w:rPr>
                <w:rFonts w:ascii="Times New Roman" w:hAnsi="Times New Roman"/>
                <w:sz w:val="22"/>
                <w:szCs w:val="22"/>
              </w:rPr>
              <w:t>,000</w:t>
            </w:r>
          </w:p>
        </w:tc>
        <w:tc>
          <w:tcPr>
            <w:tcW w:w="1426" w:type="dxa"/>
            <w:vAlign w:val="bottom"/>
          </w:tcPr>
          <w:p w14:paraId="35F623C6" w14:textId="77777777" w:rsidR="008E0D61" w:rsidRPr="008F47CB" w:rsidRDefault="00910E30" w:rsidP="004005FE">
            <w:pPr>
              <w:jc w:val="right"/>
              <w:rPr>
                <w:rFonts w:ascii="Times New Roman" w:hAnsi="Times New Roman"/>
                <w:sz w:val="22"/>
                <w:szCs w:val="22"/>
              </w:rPr>
            </w:pPr>
            <w:r w:rsidRPr="00910E30">
              <w:rPr>
                <w:rFonts w:ascii="Times New Roman" w:hAnsi="Times New Roman"/>
                <w:sz w:val="22"/>
                <w:szCs w:val="22"/>
              </w:rPr>
              <w:t>$54.74</w:t>
            </w:r>
          </w:p>
        </w:tc>
        <w:tc>
          <w:tcPr>
            <w:tcW w:w="2002" w:type="dxa"/>
            <w:vAlign w:val="bottom"/>
          </w:tcPr>
          <w:p w14:paraId="3EC721DF" w14:textId="77777777" w:rsidR="008E0D61" w:rsidRPr="008F47CB" w:rsidRDefault="007A1894" w:rsidP="003D43AE">
            <w:pPr>
              <w:jc w:val="right"/>
              <w:rPr>
                <w:rFonts w:ascii="Times New Roman" w:hAnsi="Times New Roman"/>
                <w:sz w:val="22"/>
                <w:szCs w:val="22"/>
              </w:rPr>
            </w:pPr>
            <w:r>
              <w:rPr>
                <w:rFonts w:ascii="Times New Roman" w:hAnsi="Times New Roman"/>
                <w:sz w:val="22"/>
                <w:szCs w:val="22"/>
              </w:rPr>
              <w:t>$</w:t>
            </w:r>
            <w:r w:rsidR="003D43AE">
              <w:rPr>
                <w:rFonts w:ascii="Times New Roman" w:hAnsi="Times New Roman"/>
                <w:sz w:val="22"/>
                <w:szCs w:val="22"/>
              </w:rPr>
              <w:t>230,000</w:t>
            </w:r>
          </w:p>
        </w:tc>
      </w:tr>
      <w:tr w:rsidR="003D43AE" w:rsidRPr="008F47CB" w14:paraId="29803071" w14:textId="77777777" w:rsidTr="00B31CBB">
        <w:tc>
          <w:tcPr>
            <w:tcW w:w="3643" w:type="dxa"/>
            <w:vAlign w:val="bottom"/>
          </w:tcPr>
          <w:p w14:paraId="435D35CD" w14:textId="77777777" w:rsidR="003D43AE" w:rsidRDefault="003D43AE" w:rsidP="00902F60">
            <w:pPr>
              <w:rPr>
                <w:rFonts w:ascii="Times New Roman" w:hAnsi="Times New Roman"/>
                <w:sz w:val="22"/>
                <w:szCs w:val="22"/>
              </w:rPr>
            </w:pPr>
            <w:r>
              <w:rPr>
                <w:rFonts w:ascii="Times New Roman" w:hAnsi="Times New Roman"/>
                <w:sz w:val="22"/>
                <w:szCs w:val="22"/>
              </w:rPr>
              <w:t>Distribution of Annuity Transaction Disclosures</w:t>
            </w:r>
          </w:p>
        </w:tc>
        <w:tc>
          <w:tcPr>
            <w:tcW w:w="1677" w:type="dxa"/>
            <w:vAlign w:val="bottom"/>
          </w:tcPr>
          <w:p w14:paraId="69E5DACD" w14:textId="77777777" w:rsidR="003D43AE" w:rsidRDefault="003D43AE" w:rsidP="00214EB3">
            <w:pPr>
              <w:jc w:val="right"/>
              <w:rPr>
                <w:rFonts w:ascii="Times New Roman" w:hAnsi="Times New Roman"/>
                <w:sz w:val="22"/>
                <w:szCs w:val="22"/>
              </w:rPr>
            </w:pPr>
            <w:r>
              <w:rPr>
                <w:rFonts w:ascii="Times New Roman" w:hAnsi="Times New Roman"/>
                <w:sz w:val="22"/>
                <w:szCs w:val="22"/>
              </w:rPr>
              <w:t>4,000</w:t>
            </w:r>
          </w:p>
        </w:tc>
        <w:tc>
          <w:tcPr>
            <w:tcW w:w="1426" w:type="dxa"/>
            <w:vAlign w:val="bottom"/>
          </w:tcPr>
          <w:p w14:paraId="3207E8CE" w14:textId="77777777" w:rsidR="003D43AE" w:rsidRDefault="003D43AE" w:rsidP="004005FE">
            <w:pPr>
              <w:jc w:val="right"/>
              <w:rPr>
                <w:rFonts w:ascii="Times New Roman" w:hAnsi="Times New Roman"/>
                <w:sz w:val="22"/>
                <w:szCs w:val="22"/>
              </w:rPr>
            </w:pPr>
            <w:r>
              <w:rPr>
                <w:rFonts w:ascii="Times New Roman" w:hAnsi="Times New Roman"/>
                <w:sz w:val="22"/>
                <w:szCs w:val="22"/>
              </w:rPr>
              <w:t>$54.74</w:t>
            </w:r>
          </w:p>
        </w:tc>
        <w:tc>
          <w:tcPr>
            <w:tcW w:w="2002" w:type="dxa"/>
            <w:vAlign w:val="bottom"/>
          </w:tcPr>
          <w:p w14:paraId="747AE3C0" w14:textId="77777777" w:rsidR="003D43AE" w:rsidRDefault="003D43AE" w:rsidP="00214EB3">
            <w:pPr>
              <w:jc w:val="right"/>
              <w:rPr>
                <w:rFonts w:ascii="Times New Roman" w:hAnsi="Times New Roman"/>
                <w:sz w:val="22"/>
                <w:szCs w:val="22"/>
              </w:rPr>
            </w:pPr>
            <w:r>
              <w:rPr>
                <w:rFonts w:ascii="Times New Roman" w:hAnsi="Times New Roman"/>
                <w:sz w:val="22"/>
                <w:szCs w:val="22"/>
              </w:rPr>
              <w:t>$230,000</w:t>
            </w:r>
          </w:p>
        </w:tc>
      </w:tr>
      <w:tr w:rsidR="00B24FF0" w:rsidRPr="008F47CB" w14:paraId="1CF9ED86" w14:textId="77777777" w:rsidTr="00B31CBB">
        <w:tc>
          <w:tcPr>
            <w:tcW w:w="3643" w:type="dxa"/>
            <w:vAlign w:val="bottom"/>
          </w:tcPr>
          <w:p w14:paraId="35CF23E9" w14:textId="77777777" w:rsidR="00B24FF0" w:rsidRDefault="00B24FF0" w:rsidP="00902F60">
            <w:pPr>
              <w:rPr>
                <w:rFonts w:ascii="Times New Roman" w:hAnsi="Times New Roman"/>
                <w:sz w:val="22"/>
                <w:szCs w:val="22"/>
              </w:rPr>
            </w:pPr>
            <w:r>
              <w:rPr>
                <w:rFonts w:ascii="Times New Roman" w:hAnsi="Times New Roman"/>
                <w:sz w:val="22"/>
                <w:szCs w:val="22"/>
              </w:rPr>
              <w:t>Compliance Review</w:t>
            </w:r>
          </w:p>
        </w:tc>
        <w:tc>
          <w:tcPr>
            <w:tcW w:w="1677" w:type="dxa"/>
            <w:vAlign w:val="bottom"/>
          </w:tcPr>
          <w:p w14:paraId="66A178B6" w14:textId="77777777" w:rsidR="00B24FF0" w:rsidRDefault="00B24FF0" w:rsidP="00214EB3">
            <w:pPr>
              <w:jc w:val="right"/>
              <w:rPr>
                <w:rFonts w:ascii="Times New Roman" w:hAnsi="Times New Roman"/>
                <w:sz w:val="22"/>
                <w:szCs w:val="22"/>
              </w:rPr>
            </w:pPr>
            <w:r>
              <w:rPr>
                <w:rFonts w:ascii="Times New Roman" w:hAnsi="Times New Roman"/>
                <w:sz w:val="22"/>
                <w:szCs w:val="22"/>
              </w:rPr>
              <w:t>57,000</w:t>
            </w:r>
          </w:p>
        </w:tc>
        <w:tc>
          <w:tcPr>
            <w:tcW w:w="1426" w:type="dxa"/>
            <w:vAlign w:val="bottom"/>
          </w:tcPr>
          <w:p w14:paraId="5BA0BA81" w14:textId="77777777" w:rsidR="00B24FF0" w:rsidRPr="00910E30" w:rsidRDefault="003D43AE" w:rsidP="004005FE">
            <w:pPr>
              <w:jc w:val="right"/>
              <w:rPr>
                <w:rFonts w:ascii="Times New Roman" w:hAnsi="Times New Roman"/>
                <w:sz w:val="22"/>
                <w:szCs w:val="22"/>
              </w:rPr>
            </w:pPr>
            <w:r>
              <w:rPr>
                <w:rFonts w:ascii="Times New Roman" w:hAnsi="Times New Roman"/>
                <w:sz w:val="22"/>
                <w:szCs w:val="22"/>
              </w:rPr>
              <w:t>$167.39</w:t>
            </w:r>
          </w:p>
        </w:tc>
        <w:tc>
          <w:tcPr>
            <w:tcW w:w="2002" w:type="dxa"/>
            <w:vAlign w:val="bottom"/>
          </w:tcPr>
          <w:p w14:paraId="401FBF47" w14:textId="77777777" w:rsidR="00B24FF0" w:rsidRDefault="003D43AE" w:rsidP="00214EB3">
            <w:pPr>
              <w:jc w:val="right"/>
              <w:rPr>
                <w:rFonts w:ascii="Times New Roman" w:hAnsi="Times New Roman"/>
                <w:sz w:val="22"/>
                <w:szCs w:val="22"/>
              </w:rPr>
            </w:pPr>
            <w:r>
              <w:rPr>
                <w:rFonts w:ascii="Times New Roman" w:hAnsi="Times New Roman"/>
                <w:sz w:val="22"/>
                <w:szCs w:val="22"/>
              </w:rPr>
              <w:t>$9.5 million</w:t>
            </w:r>
          </w:p>
        </w:tc>
      </w:tr>
      <w:tr w:rsidR="008E0D61" w:rsidRPr="008F47CB" w14:paraId="2678D6E4" w14:textId="77777777" w:rsidTr="00D9717F">
        <w:tc>
          <w:tcPr>
            <w:tcW w:w="3643" w:type="dxa"/>
          </w:tcPr>
          <w:p w14:paraId="3B19E248" w14:textId="77777777" w:rsidR="008E0D61" w:rsidRPr="008F47CB" w:rsidRDefault="008E0D61" w:rsidP="004005FE">
            <w:pPr>
              <w:rPr>
                <w:rFonts w:ascii="Times New Roman" w:hAnsi="Times New Roman"/>
                <w:b/>
                <w:i/>
                <w:sz w:val="22"/>
                <w:szCs w:val="22"/>
              </w:rPr>
            </w:pPr>
            <w:r w:rsidRPr="008F47CB">
              <w:rPr>
                <w:rFonts w:ascii="Times New Roman" w:hAnsi="Times New Roman"/>
                <w:b/>
                <w:i/>
                <w:sz w:val="22"/>
                <w:szCs w:val="22"/>
              </w:rPr>
              <w:t>Totals</w:t>
            </w:r>
            <w:r>
              <w:rPr>
                <w:rFonts w:ascii="Times New Roman" w:hAnsi="Times New Roman"/>
                <w:b/>
                <w:i/>
                <w:sz w:val="22"/>
                <w:szCs w:val="22"/>
              </w:rPr>
              <w:t xml:space="preserve"> for First Year</w:t>
            </w:r>
          </w:p>
        </w:tc>
        <w:tc>
          <w:tcPr>
            <w:tcW w:w="1677" w:type="dxa"/>
            <w:vAlign w:val="bottom"/>
          </w:tcPr>
          <w:p w14:paraId="6B0AAB43" w14:textId="77777777" w:rsidR="008E0D61" w:rsidRPr="008F47CB" w:rsidRDefault="003D43AE" w:rsidP="003D43AE">
            <w:pPr>
              <w:jc w:val="right"/>
              <w:rPr>
                <w:rFonts w:ascii="Times New Roman" w:hAnsi="Times New Roman"/>
                <w:b/>
                <w:i/>
                <w:sz w:val="22"/>
                <w:szCs w:val="22"/>
              </w:rPr>
            </w:pPr>
            <w:r>
              <w:rPr>
                <w:rFonts w:ascii="Times New Roman" w:hAnsi="Times New Roman"/>
                <w:b/>
                <w:i/>
                <w:sz w:val="22"/>
                <w:szCs w:val="22"/>
              </w:rPr>
              <w:t>69,000</w:t>
            </w:r>
          </w:p>
        </w:tc>
        <w:tc>
          <w:tcPr>
            <w:tcW w:w="1426" w:type="dxa"/>
            <w:vAlign w:val="bottom"/>
          </w:tcPr>
          <w:p w14:paraId="135911A5" w14:textId="77777777" w:rsidR="008E0D61" w:rsidRPr="008F47CB" w:rsidRDefault="008E0D61" w:rsidP="004005FE">
            <w:pPr>
              <w:jc w:val="right"/>
              <w:rPr>
                <w:rFonts w:ascii="Times New Roman" w:hAnsi="Times New Roman"/>
                <w:b/>
                <w:i/>
                <w:sz w:val="22"/>
                <w:szCs w:val="22"/>
              </w:rPr>
            </w:pPr>
          </w:p>
        </w:tc>
        <w:tc>
          <w:tcPr>
            <w:tcW w:w="2002" w:type="dxa"/>
            <w:vAlign w:val="bottom"/>
          </w:tcPr>
          <w:p w14:paraId="5B06946C" w14:textId="77777777" w:rsidR="008E0D61" w:rsidRPr="008F47CB" w:rsidRDefault="002C230B" w:rsidP="009F39F2">
            <w:pPr>
              <w:jc w:val="right"/>
              <w:rPr>
                <w:rFonts w:ascii="Times New Roman" w:hAnsi="Times New Roman"/>
                <w:b/>
                <w:i/>
                <w:sz w:val="22"/>
                <w:szCs w:val="22"/>
              </w:rPr>
            </w:pPr>
            <w:r>
              <w:rPr>
                <w:rFonts w:ascii="Times New Roman" w:hAnsi="Times New Roman"/>
                <w:b/>
                <w:i/>
                <w:sz w:val="22"/>
                <w:szCs w:val="22"/>
              </w:rPr>
              <w:t>$</w:t>
            </w:r>
            <w:r w:rsidR="009F39F2">
              <w:rPr>
                <w:rFonts w:ascii="Times New Roman" w:hAnsi="Times New Roman"/>
                <w:b/>
                <w:i/>
                <w:sz w:val="22"/>
                <w:szCs w:val="22"/>
              </w:rPr>
              <w:t>10.2</w:t>
            </w:r>
            <w:r>
              <w:rPr>
                <w:rFonts w:ascii="Times New Roman" w:hAnsi="Times New Roman"/>
                <w:b/>
                <w:i/>
                <w:sz w:val="22"/>
                <w:szCs w:val="22"/>
              </w:rPr>
              <w:t xml:space="preserve"> million</w:t>
            </w:r>
          </w:p>
        </w:tc>
      </w:tr>
    </w:tbl>
    <w:p w14:paraId="04D8B2A3" w14:textId="77777777" w:rsidR="008E0D61" w:rsidRDefault="008E0D61" w:rsidP="008E0D61">
      <w:pPr>
        <w:widowControl/>
        <w:ind w:left="720"/>
        <w:rPr>
          <w:rFonts w:ascii="Times New Roman"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8E0D61" w:rsidRPr="008F47CB" w14:paraId="3EBBD369" w14:textId="77777777" w:rsidTr="004005FE">
        <w:tc>
          <w:tcPr>
            <w:tcW w:w="3870" w:type="dxa"/>
            <w:shd w:val="clear" w:color="auto" w:fill="auto"/>
          </w:tcPr>
          <w:p w14:paraId="0849C779" w14:textId="77777777" w:rsidR="008E0D61" w:rsidRPr="00A306B1" w:rsidRDefault="008E0D61" w:rsidP="004005FE">
            <w:pPr>
              <w:jc w:val="center"/>
              <w:rPr>
                <w:rFonts w:ascii="Times New Roman" w:hAnsi="Times New Roman"/>
                <w:b/>
                <w:sz w:val="22"/>
                <w:szCs w:val="22"/>
              </w:rPr>
            </w:pPr>
            <w:r>
              <w:rPr>
                <w:rFonts w:ascii="Times New Roman" w:hAnsi="Times New Roman"/>
                <w:b/>
                <w:sz w:val="22"/>
                <w:szCs w:val="22"/>
              </w:rPr>
              <w:t xml:space="preserve">Subsequent Year </w:t>
            </w:r>
            <w:r w:rsidRPr="00A306B1">
              <w:rPr>
                <w:rFonts w:ascii="Times New Roman" w:hAnsi="Times New Roman"/>
                <w:b/>
                <w:sz w:val="22"/>
                <w:szCs w:val="22"/>
              </w:rPr>
              <w:t>Activity</w:t>
            </w:r>
          </w:p>
        </w:tc>
        <w:tc>
          <w:tcPr>
            <w:tcW w:w="1769" w:type="dxa"/>
            <w:shd w:val="clear" w:color="auto" w:fill="auto"/>
          </w:tcPr>
          <w:p w14:paraId="11761F89" w14:textId="77777777"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14:paraId="7BA4958B" w14:textId="77777777"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14:paraId="740A0056" w14:textId="77777777" w:rsidR="008E0D61" w:rsidRPr="000731D3" w:rsidRDefault="008E0D61" w:rsidP="004005FE">
            <w:pPr>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8E0D61" w:rsidRPr="008F47CB" w14:paraId="76F626EE" w14:textId="77777777" w:rsidTr="004005FE">
        <w:tc>
          <w:tcPr>
            <w:tcW w:w="3870" w:type="dxa"/>
            <w:vAlign w:val="bottom"/>
          </w:tcPr>
          <w:p w14:paraId="46AA39D6" w14:textId="77777777" w:rsidR="008E0D61" w:rsidRPr="008F47CB" w:rsidRDefault="008E0D61" w:rsidP="00902F60">
            <w:pPr>
              <w:rPr>
                <w:rFonts w:ascii="Times New Roman" w:hAnsi="Times New Roman"/>
                <w:sz w:val="22"/>
                <w:szCs w:val="22"/>
              </w:rPr>
            </w:pPr>
            <w:r>
              <w:rPr>
                <w:rFonts w:ascii="Times New Roman" w:hAnsi="Times New Roman"/>
                <w:sz w:val="22"/>
                <w:szCs w:val="22"/>
              </w:rPr>
              <w:t>Distribution of Contract Disclosures and Contracts</w:t>
            </w:r>
          </w:p>
        </w:tc>
        <w:tc>
          <w:tcPr>
            <w:tcW w:w="1769" w:type="dxa"/>
            <w:vAlign w:val="bottom"/>
          </w:tcPr>
          <w:p w14:paraId="0B79A6A7" w14:textId="77777777" w:rsidR="008E0D61" w:rsidRPr="008F47CB" w:rsidRDefault="00675A8A" w:rsidP="00675A8A">
            <w:pPr>
              <w:jc w:val="right"/>
              <w:rPr>
                <w:rFonts w:ascii="Times New Roman" w:hAnsi="Times New Roman"/>
                <w:sz w:val="22"/>
                <w:szCs w:val="22"/>
              </w:rPr>
            </w:pPr>
            <w:r>
              <w:rPr>
                <w:rFonts w:ascii="Times New Roman" w:hAnsi="Times New Roman"/>
                <w:sz w:val="22"/>
                <w:szCs w:val="22"/>
              </w:rPr>
              <w:t>900</w:t>
            </w:r>
          </w:p>
        </w:tc>
        <w:tc>
          <w:tcPr>
            <w:tcW w:w="1021" w:type="dxa"/>
            <w:vAlign w:val="bottom"/>
          </w:tcPr>
          <w:p w14:paraId="54FB1B53" w14:textId="77777777" w:rsidR="008E0D61" w:rsidRPr="008F47CB" w:rsidRDefault="00730767" w:rsidP="00675A8A">
            <w:pPr>
              <w:jc w:val="right"/>
              <w:rPr>
                <w:rFonts w:ascii="Times New Roman" w:hAnsi="Times New Roman"/>
                <w:sz w:val="22"/>
                <w:szCs w:val="22"/>
              </w:rPr>
            </w:pPr>
            <w:r>
              <w:rPr>
                <w:rFonts w:ascii="Times New Roman" w:hAnsi="Times New Roman"/>
                <w:sz w:val="22"/>
                <w:szCs w:val="22"/>
              </w:rPr>
              <w:t>$5</w:t>
            </w:r>
            <w:r w:rsidR="00675A8A">
              <w:rPr>
                <w:rFonts w:ascii="Times New Roman" w:hAnsi="Times New Roman"/>
                <w:sz w:val="22"/>
                <w:szCs w:val="22"/>
              </w:rPr>
              <w:t>4.74</w:t>
            </w:r>
          </w:p>
        </w:tc>
        <w:tc>
          <w:tcPr>
            <w:tcW w:w="2088" w:type="dxa"/>
            <w:vAlign w:val="bottom"/>
          </w:tcPr>
          <w:p w14:paraId="40542402" w14:textId="77777777" w:rsidR="008E0D61" w:rsidRPr="008F47CB" w:rsidRDefault="00D23CE8" w:rsidP="00675A8A">
            <w:pPr>
              <w:jc w:val="right"/>
              <w:rPr>
                <w:rFonts w:ascii="Times New Roman" w:hAnsi="Times New Roman"/>
                <w:sz w:val="22"/>
                <w:szCs w:val="22"/>
              </w:rPr>
            </w:pPr>
            <w:r>
              <w:rPr>
                <w:rFonts w:ascii="Times New Roman" w:hAnsi="Times New Roman"/>
                <w:sz w:val="22"/>
                <w:szCs w:val="22"/>
              </w:rPr>
              <w:t>$</w:t>
            </w:r>
            <w:r w:rsidR="00675A8A">
              <w:rPr>
                <w:rFonts w:ascii="Times New Roman" w:hAnsi="Times New Roman"/>
                <w:sz w:val="22"/>
                <w:szCs w:val="22"/>
              </w:rPr>
              <w:t>47,000</w:t>
            </w:r>
          </w:p>
        </w:tc>
      </w:tr>
      <w:tr w:rsidR="008E0D61" w:rsidRPr="008F47CB" w14:paraId="59382FC1" w14:textId="77777777" w:rsidTr="004005FE">
        <w:tc>
          <w:tcPr>
            <w:tcW w:w="3870" w:type="dxa"/>
            <w:vAlign w:val="bottom"/>
          </w:tcPr>
          <w:p w14:paraId="5C40803B" w14:textId="77777777" w:rsidR="008E0D61" w:rsidRPr="008F47CB" w:rsidRDefault="008E0D61" w:rsidP="00902F60">
            <w:pPr>
              <w:rPr>
                <w:rFonts w:ascii="Times New Roman" w:hAnsi="Times New Roman"/>
                <w:sz w:val="22"/>
                <w:szCs w:val="22"/>
              </w:rPr>
            </w:pPr>
            <w:r>
              <w:rPr>
                <w:rFonts w:ascii="Times New Roman" w:hAnsi="Times New Roman"/>
                <w:sz w:val="22"/>
                <w:szCs w:val="22"/>
              </w:rPr>
              <w:t xml:space="preserve">Distribution of </w:t>
            </w:r>
            <w:r w:rsidR="00D05089">
              <w:rPr>
                <w:rFonts w:ascii="Times New Roman" w:hAnsi="Times New Roman"/>
                <w:sz w:val="22"/>
                <w:szCs w:val="22"/>
              </w:rPr>
              <w:t>Pre-Transaction Disclosures</w:t>
            </w:r>
          </w:p>
        </w:tc>
        <w:tc>
          <w:tcPr>
            <w:tcW w:w="1769" w:type="dxa"/>
            <w:vAlign w:val="bottom"/>
          </w:tcPr>
          <w:p w14:paraId="3184365E" w14:textId="77777777" w:rsidR="008E0D61" w:rsidRPr="008F47CB" w:rsidRDefault="00675A8A" w:rsidP="00675A8A">
            <w:pPr>
              <w:jc w:val="right"/>
              <w:rPr>
                <w:rFonts w:ascii="Times New Roman" w:hAnsi="Times New Roman"/>
                <w:sz w:val="22"/>
                <w:szCs w:val="22"/>
              </w:rPr>
            </w:pPr>
            <w:r>
              <w:rPr>
                <w:rFonts w:ascii="Times New Roman" w:hAnsi="Times New Roman"/>
                <w:sz w:val="22"/>
                <w:szCs w:val="22"/>
              </w:rPr>
              <w:t>4,000</w:t>
            </w:r>
          </w:p>
        </w:tc>
        <w:tc>
          <w:tcPr>
            <w:tcW w:w="1021" w:type="dxa"/>
            <w:vAlign w:val="bottom"/>
          </w:tcPr>
          <w:p w14:paraId="3826934F" w14:textId="77777777" w:rsidR="008E0D61" w:rsidRPr="008F47CB" w:rsidRDefault="00730767" w:rsidP="00675A8A">
            <w:pPr>
              <w:jc w:val="right"/>
              <w:rPr>
                <w:rFonts w:ascii="Times New Roman" w:hAnsi="Times New Roman"/>
                <w:sz w:val="22"/>
                <w:szCs w:val="22"/>
              </w:rPr>
            </w:pPr>
            <w:r>
              <w:rPr>
                <w:rFonts w:ascii="Times New Roman" w:hAnsi="Times New Roman"/>
                <w:sz w:val="22"/>
                <w:szCs w:val="22"/>
              </w:rPr>
              <w:t>$5</w:t>
            </w:r>
            <w:r w:rsidR="00675A8A">
              <w:rPr>
                <w:rFonts w:ascii="Times New Roman" w:hAnsi="Times New Roman"/>
                <w:sz w:val="22"/>
                <w:szCs w:val="22"/>
              </w:rPr>
              <w:t>4.74</w:t>
            </w:r>
          </w:p>
        </w:tc>
        <w:tc>
          <w:tcPr>
            <w:tcW w:w="2088" w:type="dxa"/>
            <w:vAlign w:val="bottom"/>
          </w:tcPr>
          <w:p w14:paraId="3AEE0B67" w14:textId="77777777" w:rsidR="008E0D61" w:rsidRPr="008F47CB" w:rsidRDefault="00D23CE8" w:rsidP="00675A8A">
            <w:pPr>
              <w:jc w:val="right"/>
              <w:rPr>
                <w:rFonts w:ascii="Times New Roman" w:hAnsi="Times New Roman"/>
                <w:sz w:val="22"/>
                <w:szCs w:val="22"/>
              </w:rPr>
            </w:pPr>
            <w:r>
              <w:rPr>
                <w:rFonts w:ascii="Times New Roman" w:hAnsi="Times New Roman"/>
                <w:sz w:val="22"/>
                <w:szCs w:val="22"/>
              </w:rPr>
              <w:t>$</w:t>
            </w:r>
            <w:r w:rsidR="00675A8A">
              <w:rPr>
                <w:rFonts w:ascii="Times New Roman" w:hAnsi="Times New Roman"/>
                <w:sz w:val="22"/>
                <w:szCs w:val="22"/>
              </w:rPr>
              <w:t>230,000</w:t>
            </w:r>
          </w:p>
        </w:tc>
      </w:tr>
      <w:tr w:rsidR="008E0D61" w:rsidRPr="008F47CB" w14:paraId="2FC3DBB4" w14:textId="77777777" w:rsidTr="004005FE">
        <w:tc>
          <w:tcPr>
            <w:tcW w:w="3870" w:type="dxa"/>
            <w:vAlign w:val="bottom"/>
          </w:tcPr>
          <w:p w14:paraId="5B8CE7F0" w14:textId="77777777" w:rsidR="008E0D61" w:rsidRDefault="008E0D61" w:rsidP="00B31CBB">
            <w:pPr>
              <w:rPr>
                <w:rFonts w:ascii="Times New Roman" w:hAnsi="Times New Roman"/>
                <w:sz w:val="22"/>
                <w:szCs w:val="22"/>
              </w:rPr>
            </w:pPr>
            <w:r>
              <w:rPr>
                <w:rFonts w:ascii="Times New Roman" w:hAnsi="Times New Roman"/>
                <w:sz w:val="22"/>
                <w:szCs w:val="22"/>
              </w:rPr>
              <w:t xml:space="preserve">Distribution of </w:t>
            </w:r>
            <w:r w:rsidR="00D05089">
              <w:rPr>
                <w:rFonts w:ascii="Times New Roman" w:hAnsi="Times New Roman"/>
                <w:sz w:val="22"/>
                <w:szCs w:val="22"/>
              </w:rPr>
              <w:t>Detailed Pre-Transaction Disclosure</w:t>
            </w:r>
            <w:r w:rsidR="00D23CE8">
              <w:rPr>
                <w:rFonts w:ascii="Times New Roman" w:hAnsi="Times New Roman"/>
                <w:sz w:val="22"/>
                <w:szCs w:val="22"/>
              </w:rPr>
              <w:t xml:space="preserve"> On Demand</w:t>
            </w:r>
          </w:p>
        </w:tc>
        <w:tc>
          <w:tcPr>
            <w:tcW w:w="1769" w:type="dxa"/>
            <w:vAlign w:val="bottom"/>
          </w:tcPr>
          <w:p w14:paraId="47AAC072" w14:textId="77777777" w:rsidR="008E0D61" w:rsidRPr="008F47CB" w:rsidRDefault="005278BF" w:rsidP="005278BF">
            <w:pPr>
              <w:jc w:val="right"/>
              <w:rPr>
                <w:rFonts w:ascii="Times New Roman" w:hAnsi="Times New Roman"/>
                <w:sz w:val="22"/>
                <w:szCs w:val="22"/>
              </w:rPr>
            </w:pPr>
            <w:r>
              <w:rPr>
                <w:rFonts w:ascii="Times New Roman" w:hAnsi="Times New Roman"/>
                <w:sz w:val="22"/>
                <w:szCs w:val="22"/>
              </w:rPr>
              <w:t>4</w:t>
            </w:r>
          </w:p>
        </w:tc>
        <w:tc>
          <w:tcPr>
            <w:tcW w:w="1021" w:type="dxa"/>
            <w:vAlign w:val="bottom"/>
          </w:tcPr>
          <w:p w14:paraId="7CA5C295" w14:textId="77777777" w:rsidR="008E0D61" w:rsidRPr="008F47CB" w:rsidRDefault="00730767" w:rsidP="00675A8A">
            <w:pPr>
              <w:jc w:val="right"/>
              <w:rPr>
                <w:rFonts w:ascii="Times New Roman" w:hAnsi="Times New Roman"/>
                <w:sz w:val="22"/>
                <w:szCs w:val="22"/>
              </w:rPr>
            </w:pPr>
            <w:r>
              <w:rPr>
                <w:rFonts w:ascii="Times New Roman" w:hAnsi="Times New Roman"/>
                <w:sz w:val="22"/>
                <w:szCs w:val="22"/>
              </w:rPr>
              <w:t>$5</w:t>
            </w:r>
            <w:r w:rsidR="00675A8A">
              <w:rPr>
                <w:rFonts w:ascii="Times New Roman" w:hAnsi="Times New Roman"/>
                <w:sz w:val="22"/>
                <w:szCs w:val="22"/>
              </w:rPr>
              <w:t>4.74</w:t>
            </w:r>
          </w:p>
        </w:tc>
        <w:tc>
          <w:tcPr>
            <w:tcW w:w="2088" w:type="dxa"/>
            <w:vAlign w:val="bottom"/>
          </w:tcPr>
          <w:p w14:paraId="7E26C0EA" w14:textId="20625E53" w:rsidR="008E0D61" w:rsidRPr="008F47CB" w:rsidRDefault="00D23CE8" w:rsidP="00282968">
            <w:pPr>
              <w:jc w:val="right"/>
              <w:rPr>
                <w:rFonts w:ascii="Times New Roman" w:hAnsi="Times New Roman"/>
                <w:sz w:val="22"/>
                <w:szCs w:val="22"/>
              </w:rPr>
            </w:pPr>
            <w:r>
              <w:rPr>
                <w:rFonts w:ascii="Times New Roman" w:hAnsi="Times New Roman"/>
                <w:sz w:val="22"/>
                <w:szCs w:val="22"/>
              </w:rPr>
              <w:t>$</w:t>
            </w:r>
            <w:r w:rsidR="00282968">
              <w:rPr>
                <w:rFonts w:ascii="Times New Roman" w:hAnsi="Times New Roman"/>
                <w:sz w:val="22"/>
                <w:szCs w:val="22"/>
              </w:rPr>
              <w:t>192</w:t>
            </w:r>
          </w:p>
        </w:tc>
      </w:tr>
      <w:tr w:rsidR="009F39F2" w:rsidRPr="008F47CB" w14:paraId="6A89BA44" w14:textId="77777777" w:rsidTr="004005FE">
        <w:tc>
          <w:tcPr>
            <w:tcW w:w="3870" w:type="dxa"/>
            <w:vAlign w:val="bottom"/>
          </w:tcPr>
          <w:p w14:paraId="07D04443" w14:textId="77777777" w:rsidR="009F39F2" w:rsidRDefault="009F39F2" w:rsidP="00B31CBB">
            <w:pPr>
              <w:rPr>
                <w:rFonts w:ascii="Times New Roman" w:hAnsi="Times New Roman"/>
                <w:sz w:val="22"/>
                <w:szCs w:val="22"/>
              </w:rPr>
            </w:pPr>
            <w:r>
              <w:rPr>
                <w:rFonts w:ascii="Times New Roman" w:hAnsi="Times New Roman"/>
                <w:sz w:val="22"/>
                <w:szCs w:val="22"/>
              </w:rPr>
              <w:t>Distribution of Annuity Transaction Disclosures</w:t>
            </w:r>
          </w:p>
        </w:tc>
        <w:tc>
          <w:tcPr>
            <w:tcW w:w="1769" w:type="dxa"/>
            <w:vAlign w:val="bottom"/>
          </w:tcPr>
          <w:p w14:paraId="5BD776D6" w14:textId="77777777" w:rsidR="009F39F2" w:rsidRDefault="00675A8A" w:rsidP="004005FE">
            <w:pPr>
              <w:jc w:val="right"/>
              <w:rPr>
                <w:rFonts w:ascii="Times New Roman" w:hAnsi="Times New Roman"/>
                <w:sz w:val="22"/>
                <w:szCs w:val="22"/>
              </w:rPr>
            </w:pPr>
            <w:r>
              <w:rPr>
                <w:rFonts w:ascii="Times New Roman" w:hAnsi="Times New Roman"/>
                <w:sz w:val="22"/>
                <w:szCs w:val="22"/>
              </w:rPr>
              <w:t>4,000</w:t>
            </w:r>
          </w:p>
        </w:tc>
        <w:tc>
          <w:tcPr>
            <w:tcW w:w="1021" w:type="dxa"/>
            <w:vAlign w:val="bottom"/>
          </w:tcPr>
          <w:p w14:paraId="73F6C7EE" w14:textId="77777777" w:rsidR="009F39F2" w:rsidRDefault="00675A8A" w:rsidP="004005FE">
            <w:pPr>
              <w:jc w:val="right"/>
              <w:rPr>
                <w:rFonts w:ascii="Times New Roman" w:hAnsi="Times New Roman"/>
                <w:sz w:val="22"/>
                <w:szCs w:val="22"/>
              </w:rPr>
            </w:pPr>
            <w:r>
              <w:rPr>
                <w:rFonts w:ascii="Times New Roman" w:hAnsi="Times New Roman"/>
                <w:sz w:val="22"/>
                <w:szCs w:val="22"/>
              </w:rPr>
              <w:t>$54.74</w:t>
            </w:r>
          </w:p>
        </w:tc>
        <w:tc>
          <w:tcPr>
            <w:tcW w:w="2088" w:type="dxa"/>
            <w:vAlign w:val="bottom"/>
          </w:tcPr>
          <w:p w14:paraId="5D60EDA5" w14:textId="77777777" w:rsidR="009F39F2" w:rsidRDefault="00675A8A" w:rsidP="00D262C2">
            <w:pPr>
              <w:jc w:val="right"/>
              <w:rPr>
                <w:rFonts w:ascii="Times New Roman" w:hAnsi="Times New Roman"/>
                <w:sz w:val="22"/>
                <w:szCs w:val="22"/>
              </w:rPr>
            </w:pPr>
            <w:r>
              <w:rPr>
                <w:rFonts w:ascii="Times New Roman" w:hAnsi="Times New Roman"/>
                <w:sz w:val="22"/>
                <w:szCs w:val="22"/>
              </w:rPr>
              <w:t>$230,000</w:t>
            </w:r>
          </w:p>
        </w:tc>
      </w:tr>
      <w:tr w:rsidR="009F39F2" w:rsidRPr="008F47CB" w14:paraId="398AD552" w14:textId="77777777" w:rsidTr="004005FE">
        <w:tc>
          <w:tcPr>
            <w:tcW w:w="3870" w:type="dxa"/>
            <w:vAlign w:val="bottom"/>
          </w:tcPr>
          <w:p w14:paraId="40BBAF0D" w14:textId="77777777" w:rsidR="009F39F2" w:rsidRDefault="009F39F2" w:rsidP="00B31CBB">
            <w:pPr>
              <w:rPr>
                <w:rFonts w:ascii="Times New Roman" w:hAnsi="Times New Roman"/>
                <w:sz w:val="22"/>
                <w:szCs w:val="22"/>
              </w:rPr>
            </w:pPr>
            <w:r>
              <w:rPr>
                <w:rFonts w:ascii="Times New Roman" w:hAnsi="Times New Roman"/>
                <w:sz w:val="22"/>
                <w:szCs w:val="22"/>
              </w:rPr>
              <w:t>Compliance Review</w:t>
            </w:r>
          </w:p>
        </w:tc>
        <w:tc>
          <w:tcPr>
            <w:tcW w:w="1769" w:type="dxa"/>
            <w:vAlign w:val="bottom"/>
          </w:tcPr>
          <w:p w14:paraId="7B375239" w14:textId="77777777" w:rsidR="009F39F2" w:rsidRDefault="00675A8A" w:rsidP="004005FE">
            <w:pPr>
              <w:jc w:val="right"/>
              <w:rPr>
                <w:rFonts w:ascii="Times New Roman" w:hAnsi="Times New Roman"/>
                <w:sz w:val="22"/>
                <w:szCs w:val="22"/>
              </w:rPr>
            </w:pPr>
            <w:r>
              <w:rPr>
                <w:rFonts w:ascii="Times New Roman" w:hAnsi="Times New Roman"/>
                <w:sz w:val="22"/>
                <w:szCs w:val="22"/>
              </w:rPr>
              <w:t>57,000</w:t>
            </w:r>
          </w:p>
        </w:tc>
        <w:tc>
          <w:tcPr>
            <w:tcW w:w="1021" w:type="dxa"/>
            <w:vAlign w:val="bottom"/>
          </w:tcPr>
          <w:p w14:paraId="145A4002" w14:textId="77777777" w:rsidR="009F39F2" w:rsidRDefault="00675A8A" w:rsidP="004005FE">
            <w:pPr>
              <w:jc w:val="right"/>
              <w:rPr>
                <w:rFonts w:ascii="Times New Roman" w:hAnsi="Times New Roman"/>
                <w:sz w:val="22"/>
                <w:szCs w:val="22"/>
              </w:rPr>
            </w:pPr>
            <w:r>
              <w:rPr>
                <w:rFonts w:ascii="Times New Roman" w:hAnsi="Times New Roman"/>
                <w:sz w:val="22"/>
                <w:szCs w:val="22"/>
              </w:rPr>
              <w:t>$167.39</w:t>
            </w:r>
          </w:p>
        </w:tc>
        <w:tc>
          <w:tcPr>
            <w:tcW w:w="2088" w:type="dxa"/>
            <w:vAlign w:val="bottom"/>
          </w:tcPr>
          <w:p w14:paraId="65564465" w14:textId="77777777" w:rsidR="009F39F2" w:rsidRDefault="00675A8A" w:rsidP="00D262C2">
            <w:pPr>
              <w:jc w:val="right"/>
              <w:rPr>
                <w:rFonts w:ascii="Times New Roman" w:hAnsi="Times New Roman"/>
                <w:sz w:val="22"/>
                <w:szCs w:val="22"/>
              </w:rPr>
            </w:pPr>
            <w:r>
              <w:rPr>
                <w:rFonts w:ascii="Times New Roman" w:hAnsi="Times New Roman"/>
                <w:sz w:val="22"/>
                <w:szCs w:val="22"/>
              </w:rPr>
              <w:t>$9.5 million</w:t>
            </w:r>
          </w:p>
        </w:tc>
      </w:tr>
      <w:tr w:rsidR="00730767" w:rsidRPr="008F47CB" w14:paraId="5CF795F9" w14:textId="77777777" w:rsidTr="004005FE">
        <w:tc>
          <w:tcPr>
            <w:tcW w:w="3870" w:type="dxa"/>
          </w:tcPr>
          <w:p w14:paraId="1E268395" w14:textId="77777777" w:rsidR="00730767" w:rsidRPr="008F47CB" w:rsidRDefault="00730767" w:rsidP="004005FE">
            <w:pPr>
              <w:rPr>
                <w:rFonts w:ascii="Times New Roman" w:hAnsi="Times New Roman"/>
                <w:b/>
                <w:i/>
                <w:sz w:val="22"/>
                <w:szCs w:val="22"/>
              </w:rPr>
            </w:pPr>
            <w:r w:rsidRPr="008F47CB">
              <w:rPr>
                <w:rFonts w:ascii="Times New Roman" w:hAnsi="Times New Roman"/>
                <w:b/>
                <w:i/>
                <w:sz w:val="22"/>
                <w:szCs w:val="22"/>
              </w:rPr>
              <w:t>Totals</w:t>
            </w:r>
            <w:r>
              <w:rPr>
                <w:rFonts w:ascii="Times New Roman" w:hAnsi="Times New Roman"/>
                <w:b/>
                <w:i/>
                <w:sz w:val="22"/>
                <w:szCs w:val="22"/>
              </w:rPr>
              <w:t xml:space="preserve"> for Subsequent Years</w:t>
            </w:r>
          </w:p>
        </w:tc>
        <w:tc>
          <w:tcPr>
            <w:tcW w:w="1769" w:type="dxa"/>
            <w:vAlign w:val="bottom"/>
          </w:tcPr>
          <w:p w14:paraId="4692A7F8" w14:textId="77777777" w:rsidR="00730767" w:rsidRPr="008F47CB" w:rsidRDefault="00675A8A" w:rsidP="00675A8A">
            <w:pPr>
              <w:jc w:val="right"/>
              <w:rPr>
                <w:rFonts w:ascii="Times New Roman" w:hAnsi="Times New Roman"/>
                <w:b/>
                <w:i/>
                <w:sz w:val="22"/>
                <w:szCs w:val="22"/>
              </w:rPr>
            </w:pPr>
            <w:r>
              <w:rPr>
                <w:rFonts w:ascii="Times New Roman" w:hAnsi="Times New Roman"/>
                <w:b/>
                <w:i/>
                <w:sz w:val="22"/>
                <w:szCs w:val="22"/>
              </w:rPr>
              <w:t>66,000</w:t>
            </w:r>
          </w:p>
        </w:tc>
        <w:tc>
          <w:tcPr>
            <w:tcW w:w="1021" w:type="dxa"/>
            <w:vAlign w:val="bottom"/>
          </w:tcPr>
          <w:p w14:paraId="0342C1D2" w14:textId="77777777" w:rsidR="00730767" w:rsidRPr="008F47CB" w:rsidRDefault="00730767" w:rsidP="004005FE">
            <w:pPr>
              <w:jc w:val="right"/>
              <w:rPr>
                <w:rFonts w:ascii="Times New Roman" w:hAnsi="Times New Roman"/>
                <w:b/>
                <w:i/>
                <w:sz w:val="22"/>
                <w:szCs w:val="22"/>
              </w:rPr>
            </w:pPr>
          </w:p>
        </w:tc>
        <w:tc>
          <w:tcPr>
            <w:tcW w:w="2088" w:type="dxa"/>
            <w:vAlign w:val="bottom"/>
          </w:tcPr>
          <w:p w14:paraId="331237E8" w14:textId="77777777" w:rsidR="00730767" w:rsidRPr="008F47CB" w:rsidRDefault="00803A52" w:rsidP="00675A8A">
            <w:pPr>
              <w:jc w:val="right"/>
              <w:rPr>
                <w:rFonts w:ascii="Times New Roman" w:hAnsi="Times New Roman"/>
                <w:b/>
                <w:i/>
                <w:sz w:val="22"/>
                <w:szCs w:val="22"/>
              </w:rPr>
            </w:pPr>
            <w:r>
              <w:rPr>
                <w:rFonts w:ascii="Times New Roman" w:hAnsi="Times New Roman"/>
                <w:b/>
                <w:i/>
                <w:sz w:val="22"/>
                <w:szCs w:val="22"/>
              </w:rPr>
              <w:t>$</w:t>
            </w:r>
            <w:r w:rsidR="00675A8A">
              <w:rPr>
                <w:rFonts w:ascii="Times New Roman" w:hAnsi="Times New Roman"/>
                <w:b/>
                <w:i/>
                <w:sz w:val="22"/>
                <w:szCs w:val="22"/>
              </w:rPr>
              <w:t>10.0</w:t>
            </w:r>
            <w:r>
              <w:rPr>
                <w:rFonts w:ascii="Times New Roman" w:hAnsi="Times New Roman"/>
                <w:b/>
                <w:i/>
                <w:sz w:val="22"/>
                <w:szCs w:val="22"/>
              </w:rPr>
              <w:t xml:space="preserve"> million</w:t>
            </w:r>
          </w:p>
        </w:tc>
      </w:tr>
    </w:tbl>
    <w:p w14:paraId="2141685F" w14:textId="77777777" w:rsidR="008E0D61" w:rsidRDefault="008E0D61" w:rsidP="008E0D61">
      <w:pPr>
        <w:widowControl/>
        <w:ind w:left="720"/>
        <w:rPr>
          <w:rFonts w:ascii="Times New Roman" w:hAnsi="Times New Roman"/>
        </w:rPr>
      </w:pPr>
    </w:p>
    <w:p w14:paraId="654DC21A" w14:textId="77777777" w:rsidR="008E0D61" w:rsidRDefault="008E0D61" w:rsidP="008E0D61">
      <w:pPr>
        <w:widowControl/>
        <w:ind w:left="720"/>
        <w:rPr>
          <w:rFonts w:ascii="Times New Roman" w:hAnsi="Times New Roman"/>
        </w:rPr>
      </w:pPr>
      <w:r>
        <w:rPr>
          <w:rFonts w:ascii="Times New Roman" w:hAnsi="Times New Roman"/>
        </w:rPr>
        <w:t xml:space="preserve">For purposes of reginfo.gov database entries the burden has been annualized over the three-year approval the Department seeks to </w:t>
      </w:r>
      <w:r w:rsidR="00922FA3">
        <w:rPr>
          <w:rFonts w:ascii="Times New Roman" w:hAnsi="Times New Roman"/>
        </w:rPr>
        <w:t>67,000</w:t>
      </w:r>
      <w:r>
        <w:rPr>
          <w:rFonts w:ascii="Times New Roman" w:hAnsi="Times New Roman"/>
        </w:rPr>
        <w:t xml:space="preserve"> hours (rounded) per year.</w:t>
      </w:r>
    </w:p>
    <w:p w14:paraId="731C451F" w14:textId="77777777" w:rsidR="008E0D61" w:rsidRPr="00235B48" w:rsidRDefault="008E0D61" w:rsidP="008E0D61">
      <w:pPr>
        <w:widowControl/>
        <w:ind w:left="720"/>
        <w:rPr>
          <w:rFonts w:ascii="Times New Roman" w:hAnsi="Times New Roman"/>
        </w:rPr>
      </w:pPr>
    </w:p>
    <w:p w14:paraId="1E94A2C3" w14:textId="77777777" w:rsidR="00F3670F" w:rsidRPr="00235B48" w:rsidRDefault="00F3670F" w:rsidP="00235B48">
      <w:pPr>
        <w:pStyle w:val="Quick1"/>
        <w:widowControl/>
        <w:tabs>
          <w:tab w:val="left" w:pos="-1440"/>
          <w:tab w:val="num" w:pos="720"/>
        </w:tabs>
        <w:rPr>
          <w:rFonts w:ascii="Times New Roman" w:hAnsi="Times New Roman"/>
          <w:i/>
          <w:iCs/>
        </w:rPr>
      </w:pPr>
      <w:r w:rsidRPr="00235B48">
        <w:rPr>
          <w:rFonts w:ascii="Times New Roman" w:hAnsi="Times New Roman"/>
          <w:i/>
          <w:iCs/>
          <w:sz w:val="20"/>
          <w:szCs w:val="20"/>
        </w:rPr>
        <w:t xml:space="preserve">Provide an estimate of the total annual cost burden to respondents or </w:t>
      </w:r>
      <w:proofErr w:type="spellStart"/>
      <w:r w:rsidRPr="00235B48">
        <w:rPr>
          <w:rFonts w:ascii="Times New Roman" w:hAnsi="Times New Roman"/>
          <w:i/>
          <w:iCs/>
          <w:sz w:val="20"/>
          <w:szCs w:val="20"/>
        </w:rPr>
        <w:t>recordkeepers</w:t>
      </w:r>
      <w:proofErr w:type="spellEnd"/>
      <w:r w:rsidRPr="00235B48">
        <w:rPr>
          <w:rFonts w:ascii="Times New Roman" w:hAnsi="Times New Roman"/>
          <w:i/>
          <w:iCs/>
          <w:sz w:val="20"/>
          <w:szCs w:val="20"/>
        </w:rPr>
        <w:t xml:space="preserve"> resulting from the collection of information.  (Do not include the cost of any hour burden shown in Items 12 or 14).</w:t>
      </w:r>
    </w:p>
    <w:p w14:paraId="4734C6EA" w14:textId="77777777" w:rsidR="004005FE" w:rsidRDefault="004005FE" w:rsidP="004005FE">
      <w:pPr>
        <w:widowControl/>
        <w:ind w:left="720"/>
        <w:rPr>
          <w:rFonts w:ascii="Times New Roman" w:hAnsi="Times New Roman"/>
        </w:rPr>
      </w:pPr>
    </w:p>
    <w:p w14:paraId="4EBFE210" w14:textId="77777777" w:rsidR="004005FE" w:rsidRDefault="004005FE" w:rsidP="004005FE">
      <w:pPr>
        <w:widowControl/>
        <w:ind w:left="720"/>
        <w:rPr>
          <w:rFonts w:ascii="Times New Roman" w:hAnsi="Times New Roman"/>
        </w:rPr>
      </w:pPr>
      <w:r w:rsidRPr="00594CC3">
        <w:rPr>
          <w:rFonts w:ascii="Times New Roman" w:hAnsi="Times New Roman"/>
        </w:rPr>
        <w:t xml:space="preserve">The Department believes that nearly all </w:t>
      </w:r>
      <w:r w:rsidR="008A7816">
        <w:rPr>
          <w:rFonts w:ascii="Times New Roman" w:hAnsi="Times New Roman"/>
        </w:rPr>
        <w:t>IMOs</w:t>
      </w:r>
      <w:r w:rsidRPr="00594CC3">
        <w:rPr>
          <w:rFonts w:ascii="Times New Roman" w:hAnsi="Times New Roman"/>
        </w:rPr>
        <w:t xml:space="preserve"> will contract with outside service providers to implement the various compliance requirements of this exemption.  The methodology for calculating the per-firm costs for </w:t>
      </w:r>
      <w:r w:rsidR="008A7816">
        <w:rPr>
          <w:rFonts w:ascii="Times New Roman" w:hAnsi="Times New Roman"/>
        </w:rPr>
        <w:t>IMOs is the same as the methodology for insurance companies described in Chapter 5 of the regulatory impact analysis for the Department’s Conflict of Interest final rule</w:t>
      </w:r>
      <w:r w:rsidR="00783B50">
        <w:rPr>
          <w:rFonts w:ascii="Times New Roman" w:hAnsi="Times New Roman"/>
        </w:rPr>
        <w:t xml:space="preserve">.  </w:t>
      </w:r>
      <w:r>
        <w:rPr>
          <w:rFonts w:ascii="Times New Roman" w:hAnsi="Times New Roman"/>
        </w:rPr>
        <w:t xml:space="preserve">The Department estimates the </w:t>
      </w:r>
      <w:r w:rsidRPr="00594CC3">
        <w:rPr>
          <w:rFonts w:ascii="Times New Roman" w:hAnsi="Times New Roman"/>
        </w:rPr>
        <w:t xml:space="preserve">per-firm costs </w:t>
      </w:r>
      <w:r>
        <w:rPr>
          <w:rFonts w:ascii="Times New Roman" w:hAnsi="Times New Roman"/>
        </w:rPr>
        <w:t>to be as follows</w:t>
      </w:r>
      <w:r w:rsidRPr="00594CC3">
        <w:rPr>
          <w:rFonts w:ascii="Times New Roman" w:hAnsi="Times New Roman"/>
        </w:rPr>
        <w:t>:</w:t>
      </w:r>
    </w:p>
    <w:p w14:paraId="32505E99" w14:textId="77777777" w:rsidR="00525182" w:rsidRDefault="00525182" w:rsidP="004005FE">
      <w:pPr>
        <w:widowControl/>
        <w:ind w:left="720"/>
        <w:rPr>
          <w:rFonts w:ascii="Times New Roman" w:hAnsi="Times New Roman"/>
        </w:rPr>
      </w:pPr>
    </w:p>
    <w:p w14:paraId="5049E4CE" w14:textId="77777777" w:rsidR="00525182" w:rsidRDefault="00525182" w:rsidP="00D9717F">
      <w:pPr>
        <w:pStyle w:val="ListParagraph"/>
        <w:widowControl/>
        <w:numPr>
          <w:ilvl w:val="0"/>
          <w:numId w:val="11"/>
        </w:numPr>
        <w:rPr>
          <w:rFonts w:ascii="Times New Roman" w:hAnsi="Times New Roman"/>
        </w:rPr>
      </w:pPr>
      <w:r>
        <w:rPr>
          <w:rFonts w:ascii="Times New Roman" w:hAnsi="Times New Roman"/>
        </w:rPr>
        <w:t>Start-Up Costs for Large IMOs:  $6.6 million</w:t>
      </w:r>
    </w:p>
    <w:p w14:paraId="6DD73764" w14:textId="722CEA33" w:rsidR="00525182" w:rsidRPr="009C2C1C" w:rsidRDefault="00525182" w:rsidP="006B1F54">
      <w:pPr>
        <w:pStyle w:val="ListParagraph"/>
        <w:widowControl/>
        <w:numPr>
          <w:ilvl w:val="0"/>
          <w:numId w:val="11"/>
        </w:numPr>
        <w:rPr>
          <w:rFonts w:ascii="Times New Roman" w:hAnsi="Times New Roman"/>
        </w:rPr>
      </w:pPr>
      <w:r w:rsidRPr="006B1F54">
        <w:rPr>
          <w:rFonts w:ascii="Times New Roman" w:hAnsi="Times New Roman"/>
        </w:rPr>
        <w:t>Ongoing Costs for Large IMOs:  $1.7 million</w:t>
      </w:r>
    </w:p>
    <w:p w14:paraId="7474D86F" w14:textId="77777777" w:rsidR="004005FE" w:rsidRDefault="004005FE" w:rsidP="004005FE">
      <w:pPr>
        <w:widowControl/>
        <w:ind w:left="720"/>
        <w:rPr>
          <w:rFonts w:ascii="Times New Roman" w:hAnsi="Times New Roman"/>
        </w:rPr>
      </w:pPr>
    </w:p>
    <w:p w14:paraId="41A003C0" w14:textId="77777777" w:rsidR="004005FE" w:rsidRDefault="004005FE" w:rsidP="004005FE">
      <w:pPr>
        <w:widowControl/>
        <w:ind w:left="720"/>
        <w:rPr>
          <w:rFonts w:ascii="Times New Roman" w:hAnsi="Times New Roman"/>
        </w:rPr>
      </w:pPr>
      <w:r w:rsidRPr="00594CC3">
        <w:rPr>
          <w:rFonts w:ascii="Times New Roman" w:hAnsi="Times New Roman"/>
        </w:rPr>
        <w:lastRenderedPageBreak/>
        <w:t xml:space="preserve">In order to receive compensation covered under this </w:t>
      </w:r>
      <w:r>
        <w:rPr>
          <w:rFonts w:ascii="Times New Roman" w:hAnsi="Times New Roman"/>
        </w:rPr>
        <w:t>E</w:t>
      </w:r>
      <w:r w:rsidRPr="00594CC3">
        <w:rPr>
          <w:rFonts w:ascii="Times New Roman" w:hAnsi="Times New Roman"/>
        </w:rPr>
        <w:t xml:space="preserve">xemption, Section II requires </w:t>
      </w:r>
      <w:r w:rsidR="00E35193">
        <w:rPr>
          <w:rFonts w:ascii="Times New Roman" w:hAnsi="Times New Roman"/>
        </w:rPr>
        <w:t>IMOs</w:t>
      </w:r>
      <w:r w:rsidRPr="00594CC3">
        <w:rPr>
          <w:rFonts w:ascii="Times New Roman" w:hAnsi="Times New Roman"/>
        </w:rPr>
        <w:t xml:space="preserve"> to acknowledge, in writing, their fiduciary status and adopt written policies and procedures designed to ensure compliance with the Impartial Conduct Standards.  </w:t>
      </w:r>
      <w:r w:rsidR="00E35193">
        <w:rPr>
          <w:rFonts w:ascii="Times New Roman" w:hAnsi="Times New Roman"/>
        </w:rPr>
        <w:t>IMOs</w:t>
      </w:r>
      <w:r w:rsidRPr="00594CC3">
        <w:rPr>
          <w:rFonts w:ascii="Times New Roman" w:hAnsi="Times New Roman"/>
        </w:rPr>
        <w:t xml:space="preserve"> must make certain disclosures to Retirement Investors.  </w:t>
      </w:r>
      <w:r w:rsidR="00E35193">
        <w:rPr>
          <w:rFonts w:ascii="Times New Roman" w:hAnsi="Times New Roman"/>
        </w:rPr>
        <w:t>IMOs</w:t>
      </w:r>
      <w:r w:rsidRPr="00594CC3">
        <w:rPr>
          <w:rFonts w:ascii="Times New Roman" w:hAnsi="Times New Roman"/>
        </w:rPr>
        <w:t xml:space="preserve"> must generally enter into a written contract with Retirement Investors with respect to IRAs and non-ERISA plans</w:t>
      </w:r>
      <w:r w:rsidR="00F0398F">
        <w:rPr>
          <w:rFonts w:ascii="Times New Roman" w:hAnsi="Times New Roman"/>
        </w:rPr>
        <w:t xml:space="preserve"> and provide a contract disclosure to Retirement Investors with respect to ERISA plans</w:t>
      </w:r>
      <w:r w:rsidRPr="00594CC3">
        <w:rPr>
          <w:rFonts w:ascii="Times New Roman" w:hAnsi="Times New Roman"/>
        </w:rPr>
        <w:t>.</w:t>
      </w:r>
    </w:p>
    <w:p w14:paraId="32BCA61B" w14:textId="77777777" w:rsidR="00F0398F" w:rsidRDefault="00F0398F" w:rsidP="004005FE">
      <w:pPr>
        <w:widowControl/>
        <w:ind w:left="720"/>
        <w:rPr>
          <w:rFonts w:ascii="Times New Roman" w:hAnsi="Times New Roman"/>
        </w:rPr>
      </w:pPr>
    </w:p>
    <w:p w14:paraId="0A3D2CFC" w14:textId="77777777" w:rsidR="00F0398F" w:rsidRPr="00953D15" w:rsidRDefault="00F0398F" w:rsidP="00953D15">
      <w:pPr>
        <w:ind w:left="720"/>
        <w:rPr>
          <w:rFonts w:ascii="Times New Roman" w:eastAsia="Calibri" w:hAnsi="Times New Roman"/>
        </w:rPr>
      </w:pPr>
      <w:r>
        <w:rPr>
          <w:rFonts w:ascii="Times New Roman" w:hAnsi="Times New Roman"/>
        </w:rPr>
        <w:t>Section</w:t>
      </w:r>
      <w:r w:rsidR="00594689">
        <w:rPr>
          <w:rFonts w:ascii="Times New Roman" w:hAnsi="Times New Roman"/>
        </w:rPr>
        <w:t>s</w:t>
      </w:r>
      <w:r>
        <w:rPr>
          <w:rFonts w:ascii="Times New Roman" w:hAnsi="Times New Roman"/>
        </w:rPr>
        <w:t xml:space="preserve"> III </w:t>
      </w:r>
      <w:r w:rsidR="00594689">
        <w:rPr>
          <w:rFonts w:ascii="Times New Roman" w:hAnsi="Times New Roman"/>
        </w:rPr>
        <w:t xml:space="preserve">and IV </w:t>
      </w:r>
      <w:r>
        <w:rPr>
          <w:rFonts w:ascii="Times New Roman" w:hAnsi="Times New Roman"/>
        </w:rPr>
        <w:t xml:space="preserve">require </w:t>
      </w:r>
      <w:r w:rsidR="007B2693">
        <w:rPr>
          <w:rFonts w:ascii="Times New Roman" w:hAnsi="Times New Roman"/>
        </w:rPr>
        <w:t>IMOs</w:t>
      </w:r>
      <w:r>
        <w:rPr>
          <w:rFonts w:ascii="Times New Roman" w:hAnsi="Times New Roman"/>
        </w:rPr>
        <w:t xml:space="preserve"> to provide pre-transaction disclosures</w:t>
      </w:r>
      <w:r w:rsidR="00594689">
        <w:rPr>
          <w:rFonts w:ascii="Times New Roman" w:hAnsi="Times New Roman"/>
        </w:rPr>
        <w:t xml:space="preserve"> (including disclosures </w:t>
      </w:r>
      <w:r w:rsidR="00E35193">
        <w:rPr>
          <w:rFonts w:ascii="Times New Roman" w:hAnsi="Times New Roman"/>
        </w:rPr>
        <w:t xml:space="preserve">specific to annuities and disclosures </w:t>
      </w:r>
      <w:r w:rsidR="00594689">
        <w:rPr>
          <w:rFonts w:ascii="Times New Roman" w:hAnsi="Times New Roman"/>
        </w:rPr>
        <w:t>associated with selling proprietary products on restricted investment menus</w:t>
      </w:r>
      <w:r w:rsidR="00C72E5F">
        <w:rPr>
          <w:rFonts w:ascii="Times New Roman" w:hAnsi="Times New Roman"/>
        </w:rPr>
        <w:t>, as well as more detailed disclosures on demand</w:t>
      </w:r>
      <w:r w:rsidR="00594689">
        <w:rPr>
          <w:rFonts w:ascii="Times New Roman" w:hAnsi="Times New Roman"/>
        </w:rPr>
        <w:t>) and web-based disclosures.</w:t>
      </w:r>
      <w:r w:rsidR="00472882" w:rsidRPr="00472882">
        <w:rPr>
          <w:rFonts w:ascii="Times New Roman" w:eastAsia="Calibri" w:hAnsi="Times New Roman"/>
        </w:rPr>
        <w:t xml:space="preserve"> </w:t>
      </w:r>
      <w:r w:rsidR="00472882">
        <w:rPr>
          <w:rFonts w:ascii="Times New Roman" w:eastAsia="Calibri" w:hAnsi="Times New Roman"/>
        </w:rPr>
        <w:t xml:space="preserve">  Additionally, under Section IV, </w:t>
      </w:r>
      <w:r w:rsidR="007B2693">
        <w:rPr>
          <w:rFonts w:ascii="Times New Roman" w:eastAsia="Calibri" w:hAnsi="Times New Roman"/>
        </w:rPr>
        <w:t>IMOs</w:t>
      </w:r>
      <w:r w:rsidR="00472882">
        <w:rPr>
          <w:rFonts w:ascii="Times New Roman" w:eastAsia="Calibri" w:hAnsi="Times New Roman"/>
        </w:rPr>
        <w:t xml:space="preserve"> must prepare additional documentation regarding the limitations on investment recommendations, and their conclusions that the limitations will not cause the </w:t>
      </w:r>
      <w:r w:rsidR="007B2693">
        <w:rPr>
          <w:rFonts w:ascii="Times New Roman" w:eastAsia="Calibri" w:hAnsi="Times New Roman"/>
        </w:rPr>
        <w:t>IMO</w:t>
      </w:r>
      <w:r w:rsidR="00472882">
        <w:rPr>
          <w:rFonts w:ascii="Times New Roman" w:eastAsia="Calibri" w:hAnsi="Times New Roman"/>
        </w:rPr>
        <w:t xml:space="preserve"> or its advisers to receive compensation in excess of reasonable compensation or to recommend imprudent investments. </w:t>
      </w:r>
    </w:p>
    <w:p w14:paraId="67F3647C" w14:textId="77777777" w:rsidR="004005FE" w:rsidRPr="00594CC3" w:rsidRDefault="004005FE" w:rsidP="004005FE">
      <w:pPr>
        <w:widowControl/>
        <w:ind w:left="720"/>
        <w:rPr>
          <w:rFonts w:ascii="Times New Roman" w:hAnsi="Times New Roman"/>
        </w:rPr>
      </w:pPr>
    </w:p>
    <w:p w14:paraId="7F62D7F0" w14:textId="2164A2C9" w:rsidR="00CE5AF2" w:rsidRPr="00CE5AF2" w:rsidRDefault="00CE5AF2" w:rsidP="00CE5AF2">
      <w:pPr>
        <w:widowControl/>
        <w:ind w:left="720"/>
        <w:rPr>
          <w:rFonts w:ascii="Times New Roman" w:hAnsi="Times New Roman"/>
        </w:rPr>
      </w:pPr>
      <w:r w:rsidRPr="00CE5AF2">
        <w:rPr>
          <w:rFonts w:ascii="Times New Roman" w:hAnsi="Times New Roman"/>
        </w:rPr>
        <w:t xml:space="preserve">Before the </w:t>
      </w:r>
      <w:r w:rsidR="002B36B3">
        <w:rPr>
          <w:rFonts w:ascii="Times New Roman" w:hAnsi="Times New Roman"/>
        </w:rPr>
        <w:t>IMO</w:t>
      </w:r>
      <w:r w:rsidRPr="00CE5AF2">
        <w:rPr>
          <w:rFonts w:ascii="Times New Roman" w:hAnsi="Times New Roman"/>
        </w:rPr>
        <w:t xml:space="preserve"> receives compensation permitted under the PTE, Section </w:t>
      </w:r>
      <w:proofErr w:type="gramStart"/>
      <w:r w:rsidRPr="00CE5AF2">
        <w:rPr>
          <w:rFonts w:ascii="Times New Roman" w:hAnsi="Times New Roman"/>
        </w:rPr>
        <w:t>V(</w:t>
      </w:r>
      <w:proofErr w:type="gramEnd"/>
      <w:r w:rsidRPr="00CE5AF2">
        <w:rPr>
          <w:rFonts w:ascii="Times New Roman" w:hAnsi="Times New Roman"/>
        </w:rPr>
        <w:t xml:space="preserve">a) requires the </w:t>
      </w:r>
      <w:r w:rsidR="002B36B3">
        <w:rPr>
          <w:rFonts w:ascii="Times New Roman" w:hAnsi="Times New Roman"/>
        </w:rPr>
        <w:t>IMO</w:t>
      </w:r>
      <w:r w:rsidRPr="00CE5AF2">
        <w:rPr>
          <w:rFonts w:ascii="Times New Roman" w:hAnsi="Times New Roman"/>
        </w:rPr>
        <w:t xml:space="preserve"> to provide notice to the Department of its intent to rely on the PTE.  Under Section V(b) and (c) of the exemption, the </w:t>
      </w:r>
      <w:r w:rsidR="002B36B3">
        <w:rPr>
          <w:rFonts w:ascii="Times New Roman" w:hAnsi="Times New Roman"/>
        </w:rPr>
        <w:t>IMO</w:t>
      </w:r>
      <w:r w:rsidRPr="00CE5AF2">
        <w:rPr>
          <w:rFonts w:ascii="Times New Roman" w:hAnsi="Times New Roman"/>
        </w:rPr>
        <w:t xml:space="preserve"> must maintain for six years records necessary for the Department and certain other entities, including plan fiduciaries, participants, beneficiaries and IRA owners, to determine whether the conditions of the exemption have been satisfied.  These records would include, for example, records concerning the </w:t>
      </w:r>
      <w:r w:rsidR="002B36B3">
        <w:rPr>
          <w:rFonts w:ascii="Times New Roman" w:hAnsi="Times New Roman"/>
        </w:rPr>
        <w:t>IMO</w:t>
      </w:r>
      <w:r w:rsidRPr="00CE5AF2">
        <w:rPr>
          <w:rFonts w:ascii="Times New Roman" w:hAnsi="Times New Roman"/>
        </w:rPr>
        <w:t xml:space="preserve">’s </w:t>
      </w:r>
      <w:r w:rsidR="0032614D">
        <w:rPr>
          <w:rFonts w:ascii="Times New Roman" w:hAnsi="Times New Roman"/>
        </w:rPr>
        <w:t xml:space="preserve">policies and procedures governing its </w:t>
      </w:r>
      <w:r w:rsidRPr="00CE5AF2">
        <w:rPr>
          <w:rFonts w:ascii="Times New Roman" w:hAnsi="Times New Roman"/>
        </w:rPr>
        <w:t>incentive and compensation practices for its advisers, the documents prepared under Section IV (proprietary products and third party payments), contracts entered into with retirement investors, and disclosure documentation.</w:t>
      </w:r>
    </w:p>
    <w:p w14:paraId="0E030BCD" w14:textId="77777777" w:rsidR="00CE5AF2" w:rsidRPr="00CE5AF2" w:rsidRDefault="00CE5AF2" w:rsidP="00CE5AF2">
      <w:pPr>
        <w:widowControl/>
        <w:ind w:left="720"/>
        <w:rPr>
          <w:rFonts w:ascii="Times New Roman" w:hAnsi="Times New Roman"/>
        </w:rPr>
      </w:pPr>
    </w:p>
    <w:p w14:paraId="15D316D0" w14:textId="62770A44" w:rsidR="00D87E53" w:rsidRDefault="00D87E53" w:rsidP="00CE5AF2">
      <w:pPr>
        <w:widowControl/>
        <w:ind w:left="720"/>
        <w:rPr>
          <w:rFonts w:ascii="Times New Roman" w:hAnsi="Times New Roman"/>
        </w:rPr>
      </w:pPr>
      <w:r>
        <w:rPr>
          <w:rFonts w:ascii="Times New Roman" w:hAnsi="Times New Roman"/>
        </w:rPr>
        <w:t>Section VIII requires the IMO to have its financial statements audited annually by an Independent certified public accountant.</w:t>
      </w:r>
    </w:p>
    <w:p w14:paraId="5E1EE654" w14:textId="77777777" w:rsidR="00D87E53" w:rsidRDefault="00D87E53" w:rsidP="00CE5AF2">
      <w:pPr>
        <w:widowControl/>
        <w:ind w:left="720"/>
        <w:rPr>
          <w:rFonts w:ascii="Times New Roman" w:hAnsi="Times New Roman"/>
        </w:rPr>
      </w:pPr>
    </w:p>
    <w:p w14:paraId="25E86375" w14:textId="7050B5D0" w:rsidR="004005FE" w:rsidRPr="00594CC3" w:rsidRDefault="00CE5AF2" w:rsidP="00CE5AF2">
      <w:pPr>
        <w:widowControl/>
        <w:ind w:left="720"/>
        <w:rPr>
          <w:rFonts w:ascii="Times New Roman" w:hAnsi="Times New Roman"/>
        </w:rPr>
      </w:pPr>
      <w:r w:rsidRPr="00CE5AF2">
        <w:rPr>
          <w:rFonts w:ascii="Times New Roman" w:hAnsi="Times New Roman"/>
        </w:rPr>
        <w:t xml:space="preserve">Finally, Section IX provides </w:t>
      </w:r>
      <w:r w:rsidR="00B40CB0">
        <w:rPr>
          <w:rFonts w:ascii="Times New Roman" w:hAnsi="Times New Roman"/>
        </w:rPr>
        <w:t>that during</w:t>
      </w:r>
      <w:r w:rsidRPr="00CE5AF2">
        <w:rPr>
          <w:rFonts w:ascii="Times New Roman" w:hAnsi="Times New Roman"/>
        </w:rPr>
        <w:t xml:space="preserve"> the Transition Period, full relief under the exemption will be available for </w:t>
      </w:r>
      <w:r w:rsidR="00AB500A">
        <w:rPr>
          <w:rFonts w:ascii="Times New Roman" w:hAnsi="Times New Roman"/>
        </w:rPr>
        <w:t>IMOs</w:t>
      </w:r>
      <w:r w:rsidRPr="00CE5AF2">
        <w:rPr>
          <w:rFonts w:ascii="Times New Roman" w:hAnsi="Times New Roman"/>
        </w:rPr>
        <w:t xml:space="preserve"> and advisers subject to more limited conditions, including that the </w:t>
      </w:r>
      <w:r w:rsidR="00AB500A">
        <w:rPr>
          <w:rFonts w:ascii="Times New Roman" w:hAnsi="Times New Roman"/>
        </w:rPr>
        <w:t>IMOs</w:t>
      </w:r>
      <w:r w:rsidRPr="00CE5AF2">
        <w:rPr>
          <w:rFonts w:ascii="Times New Roman" w:hAnsi="Times New Roman"/>
        </w:rPr>
        <w:t xml:space="preserve"> provide </w:t>
      </w:r>
      <w:r w:rsidR="0032614D">
        <w:rPr>
          <w:rFonts w:ascii="Times New Roman" w:eastAsia="MS Mincho" w:hAnsi="Times New Roman"/>
        </w:rPr>
        <w:t xml:space="preserve">notice to the Department of their intent to rely on the PTE and make </w:t>
      </w:r>
      <w:r w:rsidRPr="00CE5AF2">
        <w:rPr>
          <w:rFonts w:ascii="Times New Roman" w:hAnsi="Times New Roman"/>
        </w:rPr>
        <w:t>a disclosure with a written statement of fiduciary status and certain other information to all retirement investors (in ERISA plans, IRAs, and non-ERISA plans) prior to or at the same time as the execution of recommended transactions.</w:t>
      </w:r>
    </w:p>
    <w:p w14:paraId="5F3C4AE1" w14:textId="77777777" w:rsidR="00C72E5F" w:rsidRDefault="00C72E5F" w:rsidP="004005FE">
      <w:pPr>
        <w:widowControl/>
        <w:ind w:left="720"/>
        <w:rPr>
          <w:rFonts w:ascii="Times New Roman" w:hAnsi="Times New Roman"/>
        </w:rPr>
      </w:pPr>
    </w:p>
    <w:p w14:paraId="27118F9A" w14:textId="77777777" w:rsidR="00685E2F" w:rsidRDefault="00DF3ADA" w:rsidP="00083CBB">
      <w:pPr>
        <w:widowControl/>
        <w:ind w:left="720"/>
        <w:rPr>
          <w:rFonts w:ascii="Times New Roman" w:hAnsi="Times New Roman"/>
        </w:rPr>
      </w:pPr>
      <w:r>
        <w:rPr>
          <w:rFonts w:ascii="Times New Roman" w:hAnsi="Times New Roman"/>
        </w:rPr>
        <w:t>For the conditions above that are substantially similar to the conditions in the Best Interest Contract Exemption (PTE 2016-01; approved under OMB Control Number 1210-0156), t</w:t>
      </w:r>
      <w:r w:rsidR="00083CBB" w:rsidRPr="00083CBB">
        <w:rPr>
          <w:rFonts w:ascii="Times New Roman" w:hAnsi="Times New Roman"/>
        </w:rPr>
        <w:t>he Department is able to disaggregate an estimate of many of the legal costs from the costs above; however, it is unable to disaggregate any of the other costs.</w:t>
      </w:r>
    </w:p>
    <w:p w14:paraId="67BED611" w14:textId="77777777" w:rsidR="00685E2F" w:rsidRDefault="00685E2F" w:rsidP="00083CBB">
      <w:pPr>
        <w:widowControl/>
        <w:ind w:left="720"/>
        <w:rPr>
          <w:rFonts w:ascii="Times New Roman" w:hAnsi="Times New Roman"/>
        </w:rPr>
      </w:pPr>
    </w:p>
    <w:p w14:paraId="1F274330" w14:textId="77777777" w:rsidR="00083CBB" w:rsidRPr="00083CBB" w:rsidRDefault="00083CBB" w:rsidP="00083CBB">
      <w:pPr>
        <w:widowControl/>
        <w:ind w:left="720"/>
        <w:rPr>
          <w:rFonts w:ascii="Times New Roman" w:hAnsi="Times New Roman"/>
        </w:rPr>
      </w:pPr>
      <w:r w:rsidRPr="00083CBB">
        <w:rPr>
          <w:rFonts w:ascii="Times New Roman" w:hAnsi="Times New Roman"/>
        </w:rPr>
        <w:lastRenderedPageBreak/>
        <w:t xml:space="preserve">In response to a recommendation made during the Department’s August 2015, public hearing on the proposed </w:t>
      </w:r>
      <w:r w:rsidR="00685E2F">
        <w:rPr>
          <w:rFonts w:ascii="Times New Roman" w:hAnsi="Times New Roman"/>
        </w:rPr>
        <w:t xml:space="preserve">fiduciary </w:t>
      </w:r>
      <w:r w:rsidRPr="00083CBB">
        <w:rPr>
          <w:rFonts w:ascii="Times New Roman" w:hAnsi="Times New Roman"/>
        </w:rPr>
        <w:t xml:space="preserve">rule and exemptions, and in an attempt to create estimates with a clearer empirical evidentiary basis, the Department drafted certain portions of the required disclosures, including a sample contract, </w:t>
      </w:r>
      <w:r w:rsidR="009727DF">
        <w:rPr>
          <w:rFonts w:ascii="Times New Roman" w:hAnsi="Times New Roman"/>
        </w:rPr>
        <w:t xml:space="preserve">a sample pre-transaction disclosure, </w:t>
      </w:r>
      <w:r w:rsidRPr="00083CBB">
        <w:rPr>
          <w:rFonts w:ascii="Times New Roman" w:hAnsi="Times New Roman"/>
        </w:rPr>
        <w:t xml:space="preserve">the one-time disclosure to the Department, and the transition disclosure.  </w:t>
      </w:r>
      <w:r w:rsidR="00C431AF" w:rsidRPr="00C431AF">
        <w:rPr>
          <w:rFonts w:ascii="Times New Roman" w:hAnsi="Times New Roman"/>
        </w:rPr>
        <w:t xml:space="preserve">The Department’s legal staff took an average of 3 hours and 47 minutes to draft sample contracts and sample contract disclosures, 1 hour and 38 minutes to draft sample pre-transaction disclosures, </w:t>
      </w:r>
      <w:r w:rsidR="009727DF" w:rsidRPr="00C431AF">
        <w:rPr>
          <w:rFonts w:ascii="Times New Roman" w:hAnsi="Times New Roman"/>
        </w:rPr>
        <w:t>15 minutes to draft sample notices to the Department,</w:t>
      </w:r>
      <w:r w:rsidR="009727DF">
        <w:rPr>
          <w:rFonts w:ascii="Times New Roman" w:hAnsi="Times New Roman"/>
        </w:rPr>
        <w:t xml:space="preserve"> </w:t>
      </w:r>
      <w:r w:rsidR="002E46A1">
        <w:rPr>
          <w:rFonts w:ascii="Times New Roman" w:hAnsi="Times New Roman"/>
        </w:rPr>
        <w:t xml:space="preserve">and </w:t>
      </w:r>
      <w:r w:rsidR="00C431AF" w:rsidRPr="00C431AF">
        <w:rPr>
          <w:rFonts w:ascii="Times New Roman" w:hAnsi="Times New Roman"/>
        </w:rPr>
        <w:t>2 hours and 5 minutes to draft sample transition disclosures.  The Department believes that the time spent updating existing contracts and disclosures in future years would be no longer than the time necessary to create the original contracts and disclosures.</w:t>
      </w:r>
      <w:r w:rsidR="00C431AF">
        <w:rPr>
          <w:rFonts w:ascii="Times New Roman" w:hAnsi="Times New Roman"/>
        </w:rPr>
        <w:t xml:space="preserve">  </w:t>
      </w:r>
      <w:r w:rsidRPr="00083CBB">
        <w:rPr>
          <w:rFonts w:ascii="Times New Roman" w:hAnsi="Times New Roman"/>
        </w:rPr>
        <w:t xml:space="preserve">The Department did not attempt to draft the complete set of required disclosures because it expects that the amount of time necessary to draft such disclosures will vary greatly among firms.  For example the Department did not attempt to draft sample policies and procedures, disclosures describing in detail the costs, fees, and other compensation associated with the transaction, documentation of the limitations regarding proprietary products or investments that generate third party payments, or a sample web disclosure.  The Department expects the amount of time necessary to complete these disclosures will vary significantly based on a variety of factors including the nature of a firm's compensation structure, and the extent to which a firm's policies and procedures require review and signatures by different individuals. </w:t>
      </w:r>
    </w:p>
    <w:p w14:paraId="40494953" w14:textId="77777777" w:rsidR="004005FE" w:rsidRPr="00594CC3" w:rsidRDefault="004005FE" w:rsidP="004005FE">
      <w:pPr>
        <w:widowControl/>
        <w:ind w:left="720"/>
        <w:rPr>
          <w:rFonts w:ascii="Times New Roman" w:hAnsi="Times New Roman"/>
        </w:rPr>
      </w:pPr>
    </w:p>
    <w:p w14:paraId="568EDA87" w14:textId="3B84DB9D" w:rsidR="004005FE" w:rsidRDefault="004005FE" w:rsidP="004005FE">
      <w:pPr>
        <w:widowControl/>
        <w:ind w:left="720"/>
        <w:rPr>
          <w:rFonts w:ascii="Times New Roman" w:hAnsi="Times New Roman"/>
        </w:rPr>
      </w:pPr>
      <w:r w:rsidRPr="00594CC3">
        <w:rPr>
          <w:rFonts w:ascii="Times New Roman" w:hAnsi="Times New Roman"/>
        </w:rPr>
        <w:t xml:space="preserve">The Department estimates that outsourced legal assistance to draft standard contracts, contract disclosures, </w:t>
      </w:r>
      <w:r w:rsidR="00D67DDE">
        <w:rPr>
          <w:rFonts w:ascii="Times New Roman" w:hAnsi="Times New Roman"/>
        </w:rPr>
        <w:t>pre-transaction disclosures</w:t>
      </w:r>
      <w:r w:rsidRPr="00594CC3">
        <w:rPr>
          <w:rFonts w:ascii="Times New Roman" w:hAnsi="Times New Roman"/>
        </w:rPr>
        <w:t xml:space="preserve">, </w:t>
      </w:r>
      <w:r w:rsidR="00D67DDE">
        <w:rPr>
          <w:rFonts w:ascii="Times New Roman" w:hAnsi="Times New Roman"/>
        </w:rPr>
        <w:t xml:space="preserve">notices to the Department, </w:t>
      </w:r>
      <w:r w:rsidRPr="00594CC3">
        <w:rPr>
          <w:rFonts w:ascii="Times New Roman" w:hAnsi="Times New Roman"/>
        </w:rPr>
        <w:t>and transition disclosures</w:t>
      </w:r>
      <w:r>
        <w:rPr>
          <w:rFonts w:ascii="Times New Roman" w:hAnsi="Times New Roman"/>
        </w:rPr>
        <w:t>, billed at $335.00 per hour,</w:t>
      </w:r>
      <w:r w:rsidRPr="00541BBA">
        <w:rPr>
          <w:rStyle w:val="FootnoteReference"/>
          <w:rFonts w:ascii="Times New Roman" w:hAnsi="Times New Roman"/>
          <w:vertAlign w:val="superscript"/>
        </w:rPr>
        <w:footnoteReference w:id="28"/>
      </w:r>
      <w:r w:rsidRPr="00594CC3">
        <w:rPr>
          <w:rFonts w:ascii="Times New Roman" w:hAnsi="Times New Roman"/>
        </w:rPr>
        <w:t xml:space="preserve"> will cost an average of $3,</w:t>
      </w:r>
      <w:r w:rsidR="00ED05A9">
        <w:rPr>
          <w:rFonts w:ascii="Times New Roman" w:hAnsi="Times New Roman"/>
        </w:rPr>
        <w:t>857</w:t>
      </w:r>
      <w:r w:rsidRPr="00594CC3">
        <w:rPr>
          <w:rFonts w:ascii="Times New Roman" w:hAnsi="Times New Roman"/>
        </w:rPr>
        <w:t xml:space="preserve"> per </w:t>
      </w:r>
      <w:r w:rsidR="00266EDF">
        <w:rPr>
          <w:rFonts w:ascii="Times New Roman" w:hAnsi="Times New Roman"/>
        </w:rPr>
        <w:t>IMO</w:t>
      </w:r>
      <w:r w:rsidRPr="000A7689">
        <w:rPr>
          <w:rStyle w:val="FootnoteReference"/>
          <w:rFonts w:ascii="Times New Roman" w:hAnsi="Times New Roman"/>
          <w:vertAlign w:val="superscript"/>
        </w:rPr>
        <w:footnoteReference w:id="29"/>
      </w:r>
      <w:r w:rsidRPr="00594CC3">
        <w:rPr>
          <w:rFonts w:ascii="Times New Roman" w:hAnsi="Times New Roman"/>
        </w:rPr>
        <w:t xml:space="preserve"> for a total of $</w:t>
      </w:r>
      <w:r w:rsidR="00813B1D">
        <w:rPr>
          <w:rFonts w:ascii="Times New Roman" w:hAnsi="Times New Roman"/>
        </w:rPr>
        <w:t>73</w:t>
      </w:r>
      <w:r w:rsidR="00C759E2">
        <w:rPr>
          <w:rFonts w:ascii="Times New Roman" w:hAnsi="Times New Roman"/>
        </w:rPr>
        <w:t>,000</w:t>
      </w:r>
      <w:r w:rsidRPr="00594CC3">
        <w:rPr>
          <w:rFonts w:ascii="Times New Roman" w:hAnsi="Times New Roman"/>
        </w:rPr>
        <w:t xml:space="preserve"> during the first year.  In subsequent years, it will cost an average of $</w:t>
      </w:r>
      <w:r w:rsidR="00ED05A9">
        <w:rPr>
          <w:rFonts w:ascii="Times New Roman" w:hAnsi="Times New Roman"/>
        </w:rPr>
        <w:t>3,076</w:t>
      </w:r>
      <w:r w:rsidRPr="00594CC3">
        <w:rPr>
          <w:rFonts w:ascii="Times New Roman" w:hAnsi="Times New Roman"/>
        </w:rPr>
        <w:t xml:space="preserve"> per fi</w:t>
      </w:r>
      <w:r>
        <w:rPr>
          <w:rFonts w:ascii="Times New Roman" w:hAnsi="Times New Roman"/>
        </w:rPr>
        <w:t>nancial institution</w:t>
      </w:r>
      <w:r w:rsidRPr="001E3508">
        <w:rPr>
          <w:rStyle w:val="FootnoteReference"/>
          <w:rFonts w:ascii="Times New Roman" w:hAnsi="Times New Roman"/>
          <w:vertAlign w:val="superscript"/>
        </w:rPr>
        <w:footnoteReference w:id="30"/>
      </w:r>
      <w:r w:rsidRPr="00594CC3">
        <w:rPr>
          <w:rFonts w:ascii="Times New Roman" w:hAnsi="Times New Roman"/>
        </w:rPr>
        <w:t xml:space="preserve"> for a total of $</w:t>
      </w:r>
      <w:r w:rsidR="00813B1D">
        <w:rPr>
          <w:rFonts w:ascii="Times New Roman" w:hAnsi="Times New Roman"/>
        </w:rPr>
        <w:t>58</w:t>
      </w:r>
      <w:r w:rsidR="00CF53DD">
        <w:rPr>
          <w:rFonts w:ascii="Times New Roman" w:hAnsi="Times New Roman"/>
        </w:rPr>
        <w:t>,000</w:t>
      </w:r>
      <w:r w:rsidRPr="00594CC3">
        <w:rPr>
          <w:rFonts w:ascii="Times New Roman" w:hAnsi="Times New Roman"/>
        </w:rPr>
        <w:t xml:space="preserve"> annually to update the contracts, contract disclosures, and </w:t>
      </w:r>
      <w:r w:rsidR="0083382F">
        <w:rPr>
          <w:rFonts w:ascii="Times New Roman" w:hAnsi="Times New Roman"/>
        </w:rPr>
        <w:t>pre-transaction</w:t>
      </w:r>
      <w:r w:rsidRPr="00594CC3">
        <w:rPr>
          <w:rFonts w:ascii="Times New Roman" w:hAnsi="Times New Roman"/>
        </w:rPr>
        <w:t xml:space="preserve"> disclosures.</w:t>
      </w:r>
    </w:p>
    <w:p w14:paraId="41626408" w14:textId="77777777" w:rsidR="004005FE" w:rsidRPr="00594CC3" w:rsidRDefault="004005FE" w:rsidP="004005FE">
      <w:pPr>
        <w:widowControl/>
        <w:ind w:left="720"/>
        <w:rPr>
          <w:rFonts w:ascii="Times New Roman" w:hAnsi="Times New Roman"/>
        </w:rPr>
      </w:pPr>
    </w:p>
    <w:p w14:paraId="76A44B76" w14:textId="1437CF95" w:rsidR="004005FE" w:rsidRDefault="004005FE" w:rsidP="004005FE">
      <w:pPr>
        <w:widowControl/>
        <w:ind w:left="720"/>
        <w:rPr>
          <w:rFonts w:ascii="Times New Roman" w:hAnsi="Times New Roman"/>
        </w:rPr>
        <w:sectPr w:rsidR="004005FE">
          <w:headerReference w:type="default" r:id="rId9"/>
          <w:footerReference w:type="default" r:id="rId10"/>
          <w:endnotePr>
            <w:numFmt w:val="decimal"/>
          </w:endnotePr>
          <w:type w:val="continuous"/>
          <w:pgSz w:w="12240" w:h="15840"/>
          <w:pgMar w:top="1354" w:right="1440" w:bottom="1440" w:left="1440" w:header="1354" w:footer="1440" w:gutter="0"/>
          <w:cols w:space="720"/>
          <w:noEndnote/>
        </w:sectPr>
      </w:pPr>
      <w:r w:rsidRPr="00594CC3">
        <w:rPr>
          <w:rFonts w:ascii="Times New Roman" w:hAnsi="Times New Roman"/>
        </w:rPr>
        <w:t xml:space="preserve">In addition to legal costs for creating the contracts and disclosures, the start-up cost estimates include the costs of implementing and updating the IT infrastructure, gathering and maintaining the records necessary to produce the various disclosures, developing policies and procedures, and any other steps necessary to ensure compliance with the conditions of the Exemption not described elsewhere.  In addition to legal costs for updating the contracts and disclosures, the ongoing cost estimates include the costs of updating the IT infrastructure, reviewing processes for gathering and maintaining the </w:t>
      </w:r>
      <w:r w:rsidRPr="00594CC3">
        <w:rPr>
          <w:rFonts w:ascii="Times New Roman" w:hAnsi="Times New Roman"/>
        </w:rPr>
        <w:lastRenderedPageBreak/>
        <w:t xml:space="preserve">records necessary to produce the various disclosures, reviewing the policies and procedures, producing the </w:t>
      </w:r>
      <w:r w:rsidR="0010798A">
        <w:rPr>
          <w:rFonts w:ascii="Times New Roman" w:hAnsi="Times New Roman"/>
        </w:rPr>
        <w:t xml:space="preserve">detailed pre-transaction </w:t>
      </w:r>
      <w:r w:rsidRPr="00594CC3">
        <w:rPr>
          <w:rFonts w:ascii="Times New Roman" w:hAnsi="Times New Roman"/>
        </w:rPr>
        <w:t>disclosures on request, and any other steps necessary to ensure compliance with the conditions of the exemption not described elsewhere.  These costs total $</w:t>
      </w:r>
      <w:r w:rsidR="00CF53DD">
        <w:rPr>
          <w:rFonts w:ascii="Times New Roman" w:hAnsi="Times New Roman"/>
        </w:rPr>
        <w:t>12</w:t>
      </w:r>
      <w:r w:rsidR="00813B1D">
        <w:rPr>
          <w:rFonts w:ascii="Times New Roman" w:hAnsi="Times New Roman"/>
        </w:rPr>
        <w:t>6.0</w:t>
      </w:r>
      <w:r w:rsidR="00CF53DD">
        <w:rPr>
          <w:rFonts w:ascii="Times New Roman" w:hAnsi="Times New Roman"/>
        </w:rPr>
        <w:t xml:space="preserve"> million</w:t>
      </w:r>
      <w:r w:rsidRPr="00594CC3">
        <w:rPr>
          <w:rFonts w:ascii="Times New Roman" w:hAnsi="Times New Roman"/>
        </w:rPr>
        <w:t xml:space="preserve"> during the first year and $</w:t>
      </w:r>
      <w:r w:rsidR="002952AB">
        <w:rPr>
          <w:rFonts w:ascii="Times New Roman" w:hAnsi="Times New Roman"/>
        </w:rPr>
        <w:t>3</w:t>
      </w:r>
      <w:r w:rsidR="00813B1D">
        <w:rPr>
          <w:rFonts w:ascii="Times New Roman" w:hAnsi="Times New Roman"/>
        </w:rPr>
        <w:t>1.4</w:t>
      </w:r>
      <w:r w:rsidRPr="00594CC3">
        <w:rPr>
          <w:rFonts w:ascii="Times New Roman" w:hAnsi="Times New Roman"/>
        </w:rPr>
        <w:t xml:space="preserve"> million in subsequent years</w:t>
      </w:r>
      <w:r>
        <w:rPr>
          <w:rFonts w:ascii="Times New Roman" w:hAnsi="Times New Roman"/>
        </w:rPr>
        <w:t>.</w:t>
      </w:r>
    </w:p>
    <w:p w14:paraId="17EFF5CA" w14:textId="77777777" w:rsidR="004005FE" w:rsidRDefault="004005FE" w:rsidP="004005FE">
      <w:pPr>
        <w:widowControl/>
        <w:ind w:left="720"/>
        <w:rPr>
          <w:rFonts w:ascii="Times New Roman" w:hAnsi="Times New Roman"/>
        </w:rPr>
      </w:pPr>
    </w:p>
    <w:p w14:paraId="6BB50D0A" w14:textId="77777777" w:rsidR="004005FE" w:rsidRDefault="004005FE" w:rsidP="004005FE">
      <w:pPr>
        <w:widowControl/>
        <w:ind w:left="720"/>
        <w:rPr>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3078"/>
        <w:gridCol w:w="1530"/>
        <w:gridCol w:w="1530"/>
        <w:gridCol w:w="1530"/>
        <w:gridCol w:w="1440"/>
        <w:gridCol w:w="1620"/>
        <w:gridCol w:w="1814"/>
      </w:tblGrid>
      <w:tr w:rsidR="004005FE" w:rsidRPr="00761CC8" w14:paraId="00F20AC6" w14:textId="77777777" w:rsidTr="00ED5305">
        <w:tc>
          <w:tcPr>
            <w:tcW w:w="12542" w:type="dxa"/>
            <w:gridSpan w:val="7"/>
          </w:tcPr>
          <w:p w14:paraId="1BC21D7D" w14:textId="77777777" w:rsidR="004005FE" w:rsidRPr="00761CC8" w:rsidRDefault="004005FE" w:rsidP="004005FE">
            <w:pPr>
              <w:widowControl/>
              <w:rPr>
                <w:rFonts w:ascii="Times New Roman" w:hAnsi="Times New Roman" w:cs="Times New Roman"/>
              </w:rPr>
            </w:pPr>
            <w:r>
              <w:rPr>
                <w:rFonts w:ascii="Times New Roman" w:hAnsi="Times New Roman" w:cs="Times New Roman"/>
              </w:rPr>
              <w:t xml:space="preserve">Service Provider </w:t>
            </w:r>
            <w:r w:rsidRPr="00761CC8">
              <w:rPr>
                <w:rFonts w:ascii="Times New Roman" w:hAnsi="Times New Roman" w:cs="Times New Roman"/>
              </w:rPr>
              <w:t>Cost Burden Summary Table for Year 1</w:t>
            </w:r>
          </w:p>
        </w:tc>
      </w:tr>
      <w:tr w:rsidR="007A7D4D" w:rsidRPr="00761CC8" w14:paraId="0920CDD2" w14:textId="77777777" w:rsidTr="00ED5305">
        <w:tc>
          <w:tcPr>
            <w:tcW w:w="3078" w:type="dxa"/>
          </w:tcPr>
          <w:p w14:paraId="6093F08B" w14:textId="77777777" w:rsidR="004005FE" w:rsidRPr="00761CC8" w:rsidRDefault="004005FE" w:rsidP="004005FE">
            <w:pPr>
              <w:widowControl/>
              <w:rPr>
                <w:rFonts w:ascii="Times New Roman" w:hAnsi="Times New Roman" w:cs="Times New Roman"/>
              </w:rPr>
            </w:pPr>
          </w:p>
        </w:tc>
        <w:tc>
          <w:tcPr>
            <w:tcW w:w="1530" w:type="dxa"/>
            <w:vAlign w:val="bottom"/>
          </w:tcPr>
          <w:p w14:paraId="2680018E"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Number of Financial Institutions</w:t>
            </w:r>
          </w:p>
        </w:tc>
        <w:tc>
          <w:tcPr>
            <w:tcW w:w="1530" w:type="dxa"/>
            <w:vAlign w:val="bottom"/>
          </w:tcPr>
          <w:p w14:paraId="17C86999"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Itemized Legal Costs Per Firm</w:t>
            </w:r>
          </w:p>
        </w:tc>
        <w:tc>
          <w:tcPr>
            <w:tcW w:w="1530" w:type="dxa"/>
            <w:vAlign w:val="bottom"/>
          </w:tcPr>
          <w:p w14:paraId="7E87D138"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Remaining Cost Per Firm</w:t>
            </w:r>
          </w:p>
        </w:tc>
        <w:tc>
          <w:tcPr>
            <w:tcW w:w="1440" w:type="dxa"/>
            <w:vAlign w:val="bottom"/>
          </w:tcPr>
          <w:p w14:paraId="3B724BDA"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Total Legal Costs</w:t>
            </w:r>
          </w:p>
        </w:tc>
        <w:tc>
          <w:tcPr>
            <w:tcW w:w="1620" w:type="dxa"/>
            <w:vAlign w:val="bottom"/>
          </w:tcPr>
          <w:p w14:paraId="2AD4C370"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 xml:space="preserve">Total Remaining </w:t>
            </w:r>
            <w:r>
              <w:rPr>
                <w:rFonts w:ascii="Times New Roman" w:hAnsi="Times New Roman" w:cs="Times New Roman"/>
                <w:color w:val="000000"/>
              </w:rPr>
              <w:t xml:space="preserve">Service Provider </w:t>
            </w:r>
            <w:r w:rsidRPr="00761CC8">
              <w:rPr>
                <w:rFonts w:ascii="Times New Roman" w:hAnsi="Times New Roman" w:cs="Times New Roman"/>
                <w:color w:val="000000"/>
              </w:rPr>
              <w:t>Costs</w:t>
            </w:r>
          </w:p>
        </w:tc>
        <w:tc>
          <w:tcPr>
            <w:tcW w:w="1814" w:type="dxa"/>
            <w:vAlign w:val="bottom"/>
          </w:tcPr>
          <w:p w14:paraId="3F5A5FFA"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 xml:space="preserve">Total </w:t>
            </w:r>
            <w:r>
              <w:rPr>
                <w:rFonts w:ascii="Times New Roman" w:hAnsi="Times New Roman" w:cs="Times New Roman"/>
                <w:color w:val="000000"/>
              </w:rPr>
              <w:t xml:space="preserve">Service Provider </w:t>
            </w:r>
            <w:r w:rsidRPr="00761CC8">
              <w:rPr>
                <w:rFonts w:ascii="Times New Roman" w:hAnsi="Times New Roman" w:cs="Times New Roman"/>
                <w:color w:val="000000"/>
              </w:rPr>
              <w:t>Costs</w:t>
            </w:r>
          </w:p>
        </w:tc>
      </w:tr>
      <w:tr w:rsidR="007A7D4D" w:rsidRPr="00761CC8" w14:paraId="7EB9757A" w14:textId="77777777" w:rsidTr="00ED5305">
        <w:tc>
          <w:tcPr>
            <w:tcW w:w="3078" w:type="dxa"/>
          </w:tcPr>
          <w:p w14:paraId="4A849627" w14:textId="77777777" w:rsidR="004005FE" w:rsidRPr="00761CC8" w:rsidRDefault="004005FE" w:rsidP="004005FE">
            <w:pPr>
              <w:widowControl/>
              <w:rPr>
                <w:rFonts w:ascii="Times New Roman" w:hAnsi="Times New Roman" w:cs="Times New Roman"/>
              </w:rPr>
            </w:pPr>
          </w:p>
        </w:tc>
        <w:tc>
          <w:tcPr>
            <w:tcW w:w="1530" w:type="dxa"/>
            <w:vAlign w:val="bottom"/>
          </w:tcPr>
          <w:p w14:paraId="5B813E18"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(A)</w:t>
            </w:r>
          </w:p>
        </w:tc>
        <w:tc>
          <w:tcPr>
            <w:tcW w:w="1530" w:type="dxa"/>
            <w:vAlign w:val="bottom"/>
          </w:tcPr>
          <w:p w14:paraId="0837F617"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(B)</w:t>
            </w:r>
          </w:p>
        </w:tc>
        <w:tc>
          <w:tcPr>
            <w:tcW w:w="1530" w:type="dxa"/>
            <w:vAlign w:val="bottom"/>
          </w:tcPr>
          <w:p w14:paraId="65E87BE3"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(C)</w:t>
            </w:r>
          </w:p>
        </w:tc>
        <w:tc>
          <w:tcPr>
            <w:tcW w:w="1440" w:type="dxa"/>
            <w:vAlign w:val="bottom"/>
          </w:tcPr>
          <w:p w14:paraId="22E5A1C3"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A*B</w:t>
            </w:r>
          </w:p>
        </w:tc>
        <w:tc>
          <w:tcPr>
            <w:tcW w:w="1620" w:type="dxa"/>
            <w:vAlign w:val="bottom"/>
          </w:tcPr>
          <w:p w14:paraId="5E7B77B3"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A*C</w:t>
            </w:r>
          </w:p>
        </w:tc>
        <w:tc>
          <w:tcPr>
            <w:tcW w:w="1814" w:type="dxa"/>
            <w:vAlign w:val="bottom"/>
          </w:tcPr>
          <w:p w14:paraId="41AC0144" w14:textId="77777777" w:rsidR="004005FE" w:rsidRPr="00761CC8" w:rsidRDefault="004005FE" w:rsidP="004005FE">
            <w:pPr>
              <w:jc w:val="center"/>
              <w:rPr>
                <w:rFonts w:ascii="Times New Roman" w:hAnsi="Times New Roman" w:cs="Times New Roman"/>
                <w:color w:val="000000"/>
              </w:rPr>
            </w:pPr>
            <w:r w:rsidRPr="00761CC8">
              <w:rPr>
                <w:rFonts w:ascii="Times New Roman" w:hAnsi="Times New Roman" w:cs="Times New Roman"/>
                <w:color w:val="000000"/>
              </w:rPr>
              <w:t>A*(B+C)</w:t>
            </w:r>
          </w:p>
        </w:tc>
      </w:tr>
      <w:tr w:rsidR="007A7D4D" w:rsidRPr="003329A4" w14:paraId="17D4213E" w14:textId="77777777" w:rsidTr="00ED5305">
        <w:tc>
          <w:tcPr>
            <w:tcW w:w="3078" w:type="dxa"/>
          </w:tcPr>
          <w:p w14:paraId="2BDCB91D" w14:textId="77777777" w:rsidR="003329A4" w:rsidRPr="00761CC8" w:rsidRDefault="003329A4" w:rsidP="005962C6">
            <w:pPr>
              <w:widowControl/>
              <w:rPr>
                <w:rFonts w:ascii="Times New Roman" w:hAnsi="Times New Roman"/>
              </w:rPr>
            </w:pPr>
            <w:r>
              <w:rPr>
                <w:rFonts w:ascii="Times New Roman" w:hAnsi="Times New Roman"/>
              </w:rPr>
              <w:t>Start-Up Costs Per Large I</w:t>
            </w:r>
            <w:r w:rsidR="005962C6">
              <w:rPr>
                <w:rFonts w:ascii="Times New Roman" w:hAnsi="Times New Roman"/>
              </w:rPr>
              <w:t>MO</w:t>
            </w:r>
          </w:p>
        </w:tc>
        <w:tc>
          <w:tcPr>
            <w:tcW w:w="1530" w:type="dxa"/>
            <w:vAlign w:val="bottom"/>
          </w:tcPr>
          <w:p w14:paraId="4DB667AC" w14:textId="77777777" w:rsidR="003329A4" w:rsidRPr="0011732B" w:rsidRDefault="007F3999" w:rsidP="007F3999">
            <w:pPr>
              <w:jc w:val="right"/>
              <w:rPr>
                <w:rFonts w:ascii="Times New Roman" w:hAnsi="Times New Roman" w:cs="Times New Roman"/>
                <w:color w:val="000000"/>
              </w:rPr>
            </w:pPr>
            <w:r>
              <w:rPr>
                <w:rFonts w:ascii="Times New Roman" w:hAnsi="Times New Roman" w:cs="Times New Roman"/>
                <w:color w:val="000000"/>
              </w:rPr>
              <w:t>19</w:t>
            </w:r>
          </w:p>
        </w:tc>
        <w:tc>
          <w:tcPr>
            <w:tcW w:w="1530" w:type="dxa"/>
            <w:vAlign w:val="bottom"/>
          </w:tcPr>
          <w:p w14:paraId="69B41F07" w14:textId="77777777" w:rsidR="003329A4" w:rsidRPr="00761CC8" w:rsidRDefault="003329A4" w:rsidP="004005FE">
            <w:pPr>
              <w:jc w:val="right"/>
              <w:rPr>
                <w:rFonts w:ascii="Times New Roman" w:hAnsi="Times New Roman"/>
                <w:color w:val="000000"/>
              </w:rPr>
            </w:pPr>
            <w:r w:rsidRPr="00761CC8">
              <w:rPr>
                <w:rFonts w:ascii="Times New Roman" w:hAnsi="Times New Roman" w:cs="Times New Roman"/>
                <w:color w:val="000000"/>
              </w:rPr>
              <w:t>$3,</w:t>
            </w:r>
            <w:r>
              <w:rPr>
                <w:rFonts w:ascii="Times New Roman" w:hAnsi="Times New Roman" w:cs="Times New Roman"/>
                <w:color w:val="000000"/>
              </w:rPr>
              <w:t>857</w:t>
            </w:r>
          </w:p>
        </w:tc>
        <w:tc>
          <w:tcPr>
            <w:tcW w:w="1530" w:type="dxa"/>
            <w:vAlign w:val="bottom"/>
          </w:tcPr>
          <w:p w14:paraId="3E173ED0" w14:textId="77777777" w:rsidR="003329A4" w:rsidRPr="005F331B" w:rsidRDefault="003329A4" w:rsidP="004005FE">
            <w:pPr>
              <w:jc w:val="right"/>
              <w:rPr>
                <w:rFonts w:ascii="Times New Roman" w:hAnsi="Times New Roman" w:cs="Times New Roman"/>
                <w:color w:val="000000"/>
              </w:rPr>
            </w:pPr>
            <w:r w:rsidRPr="00ED5305">
              <w:rPr>
                <w:rFonts w:ascii="Times New Roman" w:hAnsi="Times New Roman" w:cs="Times New Roman"/>
                <w:color w:val="000000"/>
              </w:rPr>
              <w:t>$6,631,035</w:t>
            </w:r>
          </w:p>
        </w:tc>
        <w:tc>
          <w:tcPr>
            <w:tcW w:w="1440" w:type="dxa"/>
            <w:vAlign w:val="bottom"/>
          </w:tcPr>
          <w:p w14:paraId="1CD1814A" w14:textId="77777777" w:rsidR="003329A4" w:rsidRPr="006419C6" w:rsidRDefault="00D90974" w:rsidP="00F254BF">
            <w:pPr>
              <w:jc w:val="right"/>
              <w:rPr>
                <w:rFonts w:ascii="Times New Roman" w:hAnsi="Times New Roman" w:cs="Times New Roman"/>
                <w:color w:val="000000"/>
              </w:rPr>
            </w:pPr>
            <w:r w:rsidRPr="00D90974">
              <w:rPr>
                <w:rFonts w:ascii="Times New Roman" w:hAnsi="Times New Roman" w:cs="Times New Roman"/>
                <w:color w:val="000000"/>
              </w:rPr>
              <w:t>$</w:t>
            </w:r>
            <w:r w:rsidR="00F254BF">
              <w:rPr>
                <w:rFonts w:ascii="Times New Roman" w:hAnsi="Times New Roman" w:cs="Times New Roman"/>
                <w:color w:val="000000"/>
              </w:rPr>
              <w:t>73,287</w:t>
            </w:r>
          </w:p>
        </w:tc>
        <w:tc>
          <w:tcPr>
            <w:tcW w:w="1620" w:type="dxa"/>
            <w:vAlign w:val="bottom"/>
          </w:tcPr>
          <w:p w14:paraId="2C59B18D" w14:textId="77777777" w:rsidR="003329A4" w:rsidRPr="00D10697" w:rsidRDefault="006D071C" w:rsidP="00F254BF">
            <w:pPr>
              <w:jc w:val="right"/>
              <w:rPr>
                <w:rFonts w:ascii="Times New Roman" w:hAnsi="Times New Roman" w:cs="Times New Roman"/>
                <w:color w:val="000000"/>
              </w:rPr>
            </w:pPr>
            <w:r w:rsidRPr="006D071C">
              <w:rPr>
                <w:rFonts w:ascii="Times New Roman" w:hAnsi="Times New Roman" w:cs="Times New Roman"/>
                <w:color w:val="000000"/>
              </w:rPr>
              <w:t>$1</w:t>
            </w:r>
            <w:r w:rsidR="00F254BF">
              <w:rPr>
                <w:rFonts w:ascii="Times New Roman" w:hAnsi="Times New Roman" w:cs="Times New Roman"/>
                <w:color w:val="000000"/>
              </w:rPr>
              <w:t>25,989,665</w:t>
            </w:r>
          </w:p>
        </w:tc>
        <w:tc>
          <w:tcPr>
            <w:tcW w:w="1814" w:type="dxa"/>
            <w:vAlign w:val="bottom"/>
          </w:tcPr>
          <w:p w14:paraId="07FD3482" w14:textId="77777777" w:rsidR="003329A4" w:rsidRPr="003329A4" w:rsidRDefault="00D90974" w:rsidP="00EE49E2">
            <w:pPr>
              <w:jc w:val="right"/>
              <w:rPr>
                <w:rFonts w:ascii="Times New Roman" w:hAnsi="Times New Roman" w:cs="Times New Roman"/>
                <w:color w:val="000000"/>
              </w:rPr>
            </w:pPr>
            <w:r w:rsidRPr="00D90974">
              <w:rPr>
                <w:rFonts w:ascii="Times New Roman" w:hAnsi="Times New Roman" w:cs="Times New Roman"/>
                <w:color w:val="000000"/>
              </w:rPr>
              <w:t>$1</w:t>
            </w:r>
            <w:r w:rsidR="00EE49E2">
              <w:rPr>
                <w:rFonts w:ascii="Times New Roman" w:hAnsi="Times New Roman" w:cs="Times New Roman"/>
                <w:color w:val="000000"/>
              </w:rPr>
              <w:t>26,062,952</w:t>
            </w:r>
          </w:p>
        </w:tc>
      </w:tr>
    </w:tbl>
    <w:p w14:paraId="16C021BA" w14:textId="77777777" w:rsidR="004005FE" w:rsidRDefault="004005FE" w:rsidP="004005FE">
      <w:pPr>
        <w:widowControl/>
        <w:ind w:left="720"/>
        <w:rPr>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3078"/>
        <w:gridCol w:w="1530"/>
        <w:gridCol w:w="1530"/>
        <w:gridCol w:w="1530"/>
        <w:gridCol w:w="1440"/>
        <w:gridCol w:w="1620"/>
        <w:gridCol w:w="1814"/>
      </w:tblGrid>
      <w:tr w:rsidR="004005FE" w:rsidRPr="00ED5305" w14:paraId="54619C2F" w14:textId="77777777" w:rsidTr="00ED5305">
        <w:tc>
          <w:tcPr>
            <w:tcW w:w="12542" w:type="dxa"/>
            <w:gridSpan w:val="7"/>
          </w:tcPr>
          <w:p w14:paraId="63DA9A62" w14:textId="77777777" w:rsidR="004005FE" w:rsidRPr="00151310" w:rsidRDefault="004005FE" w:rsidP="004005FE">
            <w:pPr>
              <w:widowControl/>
              <w:rPr>
                <w:rFonts w:ascii="Times New Roman" w:hAnsi="Times New Roman" w:cs="Times New Roman"/>
              </w:rPr>
            </w:pPr>
            <w:r w:rsidRPr="00151310">
              <w:rPr>
                <w:rFonts w:ascii="Times New Roman" w:hAnsi="Times New Roman" w:cs="Times New Roman"/>
              </w:rPr>
              <w:t>Service Provider Cost Burden Summary Table for Years 2 and 3</w:t>
            </w:r>
          </w:p>
        </w:tc>
      </w:tr>
      <w:tr w:rsidR="009F5EFA" w:rsidRPr="009F5EFA" w14:paraId="6F5E0424" w14:textId="77777777" w:rsidTr="00ED5305">
        <w:tc>
          <w:tcPr>
            <w:tcW w:w="3078" w:type="dxa"/>
          </w:tcPr>
          <w:p w14:paraId="3FB19735" w14:textId="77777777" w:rsidR="004005FE" w:rsidRPr="00151310" w:rsidRDefault="004005FE" w:rsidP="004005FE">
            <w:pPr>
              <w:widowControl/>
              <w:rPr>
                <w:rFonts w:ascii="Times New Roman" w:hAnsi="Times New Roman" w:cs="Times New Roman"/>
              </w:rPr>
            </w:pPr>
          </w:p>
        </w:tc>
        <w:tc>
          <w:tcPr>
            <w:tcW w:w="1530" w:type="dxa"/>
            <w:vAlign w:val="bottom"/>
          </w:tcPr>
          <w:p w14:paraId="1B02A7D2"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Number of Financial Institutions</w:t>
            </w:r>
          </w:p>
        </w:tc>
        <w:tc>
          <w:tcPr>
            <w:tcW w:w="1530" w:type="dxa"/>
            <w:vAlign w:val="bottom"/>
          </w:tcPr>
          <w:p w14:paraId="4FECD56A"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Itemized Legal Costs Per Firm</w:t>
            </w:r>
          </w:p>
        </w:tc>
        <w:tc>
          <w:tcPr>
            <w:tcW w:w="1530" w:type="dxa"/>
            <w:vAlign w:val="bottom"/>
          </w:tcPr>
          <w:p w14:paraId="4BC43134"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Remaining Cost Per Firm</w:t>
            </w:r>
          </w:p>
        </w:tc>
        <w:tc>
          <w:tcPr>
            <w:tcW w:w="1440" w:type="dxa"/>
            <w:vAlign w:val="bottom"/>
          </w:tcPr>
          <w:p w14:paraId="40A06EBC"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Total Legal Costs</w:t>
            </w:r>
          </w:p>
        </w:tc>
        <w:tc>
          <w:tcPr>
            <w:tcW w:w="1620" w:type="dxa"/>
            <w:vAlign w:val="bottom"/>
          </w:tcPr>
          <w:p w14:paraId="65C4E9C7"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Total Remaining Service Provider Costs</w:t>
            </w:r>
          </w:p>
        </w:tc>
        <w:tc>
          <w:tcPr>
            <w:tcW w:w="1814" w:type="dxa"/>
            <w:vAlign w:val="bottom"/>
          </w:tcPr>
          <w:p w14:paraId="4E495C12"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Total Service Provider Costs</w:t>
            </w:r>
          </w:p>
        </w:tc>
      </w:tr>
      <w:tr w:rsidR="009F5EFA" w:rsidRPr="009F5EFA" w14:paraId="53BE2E94" w14:textId="77777777" w:rsidTr="00ED5305">
        <w:tc>
          <w:tcPr>
            <w:tcW w:w="3078" w:type="dxa"/>
          </w:tcPr>
          <w:p w14:paraId="04D1BE9C" w14:textId="77777777" w:rsidR="004005FE" w:rsidRPr="00151310" w:rsidRDefault="004005FE" w:rsidP="004005FE">
            <w:pPr>
              <w:widowControl/>
              <w:rPr>
                <w:rFonts w:ascii="Times New Roman" w:hAnsi="Times New Roman" w:cs="Times New Roman"/>
              </w:rPr>
            </w:pPr>
          </w:p>
        </w:tc>
        <w:tc>
          <w:tcPr>
            <w:tcW w:w="1530" w:type="dxa"/>
            <w:vAlign w:val="bottom"/>
          </w:tcPr>
          <w:p w14:paraId="7D8A1EF1"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(A)</w:t>
            </w:r>
          </w:p>
        </w:tc>
        <w:tc>
          <w:tcPr>
            <w:tcW w:w="1530" w:type="dxa"/>
            <w:vAlign w:val="bottom"/>
          </w:tcPr>
          <w:p w14:paraId="36D1ED33"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(B)</w:t>
            </w:r>
          </w:p>
        </w:tc>
        <w:tc>
          <w:tcPr>
            <w:tcW w:w="1530" w:type="dxa"/>
            <w:vAlign w:val="bottom"/>
          </w:tcPr>
          <w:p w14:paraId="2E859BDD"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(C)</w:t>
            </w:r>
          </w:p>
        </w:tc>
        <w:tc>
          <w:tcPr>
            <w:tcW w:w="1440" w:type="dxa"/>
            <w:vAlign w:val="bottom"/>
          </w:tcPr>
          <w:p w14:paraId="56B93B0F"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A*B</w:t>
            </w:r>
          </w:p>
        </w:tc>
        <w:tc>
          <w:tcPr>
            <w:tcW w:w="1620" w:type="dxa"/>
            <w:vAlign w:val="bottom"/>
          </w:tcPr>
          <w:p w14:paraId="1B1B9D1F"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A*C</w:t>
            </w:r>
          </w:p>
        </w:tc>
        <w:tc>
          <w:tcPr>
            <w:tcW w:w="1814" w:type="dxa"/>
            <w:vAlign w:val="bottom"/>
          </w:tcPr>
          <w:p w14:paraId="0D676C9B" w14:textId="77777777" w:rsidR="004005FE" w:rsidRPr="00151310" w:rsidRDefault="004005FE" w:rsidP="004005FE">
            <w:pPr>
              <w:jc w:val="center"/>
              <w:rPr>
                <w:rFonts w:ascii="Times New Roman" w:hAnsi="Times New Roman" w:cs="Times New Roman"/>
                <w:color w:val="000000"/>
              </w:rPr>
            </w:pPr>
            <w:r w:rsidRPr="00151310">
              <w:rPr>
                <w:rFonts w:ascii="Times New Roman" w:hAnsi="Times New Roman" w:cs="Times New Roman"/>
                <w:color w:val="000000"/>
              </w:rPr>
              <w:t>A*(B+C)</w:t>
            </w:r>
          </w:p>
        </w:tc>
      </w:tr>
      <w:tr w:rsidR="009F5EFA" w:rsidRPr="009F5EFA" w14:paraId="00FF16E7" w14:textId="77777777" w:rsidTr="00ED5305">
        <w:tc>
          <w:tcPr>
            <w:tcW w:w="3078" w:type="dxa"/>
            <w:vAlign w:val="bottom"/>
          </w:tcPr>
          <w:p w14:paraId="420DCD6A" w14:textId="77777777" w:rsidR="00151310" w:rsidRPr="00151310" w:rsidRDefault="00151310" w:rsidP="005962C6">
            <w:pPr>
              <w:rPr>
                <w:rFonts w:ascii="Times New Roman" w:hAnsi="Times New Roman" w:cs="Times New Roman"/>
                <w:color w:val="000000"/>
              </w:rPr>
            </w:pPr>
            <w:r w:rsidRPr="00151310">
              <w:rPr>
                <w:rFonts w:ascii="Times New Roman" w:hAnsi="Times New Roman" w:cs="Times New Roman"/>
                <w:color w:val="000000"/>
              </w:rPr>
              <w:t>Ongoing Costs Per Large I</w:t>
            </w:r>
            <w:r w:rsidR="005962C6">
              <w:rPr>
                <w:rFonts w:ascii="Times New Roman" w:hAnsi="Times New Roman" w:cs="Times New Roman"/>
                <w:color w:val="000000"/>
              </w:rPr>
              <w:t>MO</w:t>
            </w:r>
          </w:p>
        </w:tc>
        <w:tc>
          <w:tcPr>
            <w:tcW w:w="1530" w:type="dxa"/>
            <w:vAlign w:val="bottom"/>
          </w:tcPr>
          <w:p w14:paraId="268E39B2" w14:textId="77777777" w:rsidR="00151310" w:rsidRPr="00151310" w:rsidRDefault="0057444C" w:rsidP="0057444C">
            <w:pPr>
              <w:jc w:val="right"/>
              <w:rPr>
                <w:rFonts w:ascii="Times New Roman" w:hAnsi="Times New Roman" w:cs="Times New Roman"/>
                <w:color w:val="000000"/>
              </w:rPr>
            </w:pPr>
            <w:r>
              <w:rPr>
                <w:rFonts w:ascii="Times New Roman" w:hAnsi="Times New Roman" w:cs="Times New Roman"/>
                <w:color w:val="000000"/>
              </w:rPr>
              <w:t>19</w:t>
            </w:r>
          </w:p>
        </w:tc>
        <w:tc>
          <w:tcPr>
            <w:tcW w:w="1530" w:type="dxa"/>
            <w:vAlign w:val="bottom"/>
          </w:tcPr>
          <w:p w14:paraId="39482181" w14:textId="77777777" w:rsidR="00151310" w:rsidRPr="00151310" w:rsidRDefault="00151310" w:rsidP="004005FE">
            <w:pPr>
              <w:jc w:val="right"/>
              <w:rPr>
                <w:rFonts w:ascii="Times New Roman" w:hAnsi="Times New Roman" w:cs="Times New Roman"/>
                <w:color w:val="000000"/>
              </w:rPr>
            </w:pPr>
            <w:r w:rsidRPr="00151310">
              <w:rPr>
                <w:rFonts w:ascii="Times New Roman" w:hAnsi="Times New Roman" w:cs="Times New Roman"/>
                <w:color w:val="000000"/>
              </w:rPr>
              <w:t>$3,076</w:t>
            </w:r>
          </w:p>
        </w:tc>
        <w:tc>
          <w:tcPr>
            <w:tcW w:w="1530" w:type="dxa"/>
            <w:vAlign w:val="bottom"/>
          </w:tcPr>
          <w:p w14:paraId="1F3A226A" w14:textId="3049A9F0" w:rsidR="00151310" w:rsidRPr="00151310" w:rsidRDefault="00151310" w:rsidP="001377CF">
            <w:pPr>
              <w:jc w:val="right"/>
              <w:rPr>
                <w:rFonts w:ascii="Times New Roman" w:hAnsi="Times New Roman" w:cs="Times New Roman"/>
                <w:color w:val="000000"/>
              </w:rPr>
            </w:pPr>
            <w:r w:rsidRPr="00ED5305">
              <w:rPr>
                <w:rFonts w:ascii="Times New Roman" w:hAnsi="Times New Roman" w:cs="Times New Roman"/>
                <w:color w:val="000000"/>
              </w:rPr>
              <w:t>$1,65</w:t>
            </w:r>
            <w:r w:rsidR="001377CF">
              <w:rPr>
                <w:rFonts w:ascii="Times New Roman" w:hAnsi="Times New Roman" w:cs="Times New Roman"/>
                <w:color w:val="000000"/>
              </w:rPr>
              <w:t>1</w:t>
            </w:r>
            <w:r w:rsidR="00FC3D74">
              <w:rPr>
                <w:rFonts w:ascii="Times New Roman" w:hAnsi="Times New Roman" w:cs="Times New Roman"/>
                <w:color w:val="000000"/>
              </w:rPr>
              <w:t>,</w:t>
            </w:r>
            <w:r w:rsidR="001377CF">
              <w:rPr>
                <w:rFonts w:ascii="Times New Roman" w:hAnsi="Times New Roman" w:cs="Times New Roman"/>
                <w:color w:val="000000"/>
              </w:rPr>
              <w:t>2</w:t>
            </w:r>
            <w:r w:rsidR="00FC3D74">
              <w:rPr>
                <w:rFonts w:ascii="Times New Roman" w:hAnsi="Times New Roman" w:cs="Times New Roman"/>
                <w:color w:val="000000"/>
              </w:rPr>
              <w:t>9</w:t>
            </w:r>
            <w:r w:rsidR="001377CF">
              <w:rPr>
                <w:rFonts w:ascii="Times New Roman" w:hAnsi="Times New Roman" w:cs="Times New Roman"/>
                <w:color w:val="000000"/>
              </w:rPr>
              <w:t>4</w:t>
            </w:r>
          </w:p>
        </w:tc>
        <w:tc>
          <w:tcPr>
            <w:tcW w:w="1440" w:type="dxa"/>
            <w:vAlign w:val="bottom"/>
          </w:tcPr>
          <w:p w14:paraId="1446FA1A" w14:textId="77777777" w:rsidR="00151310" w:rsidRPr="00151310" w:rsidRDefault="003D1D8B" w:rsidP="00FC3D74">
            <w:pPr>
              <w:jc w:val="right"/>
              <w:rPr>
                <w:rFonts w:ascii="Times New Roman" w:hAnsi="Times New Roman" w:cs="Times New Roman"/>
                <w:color w:val="000000"/>
              </w:rPr>
            </w:pPr>
            <w:r w:rsidRPr="003D1D8B">
              <w:rPr>
                <w:rFonts w:ascii="Times New Roman" w:hAnsi="Times New Roman" w:cs="Times New Roman"/>
                <w:color w:val="000000"/>
              </w:rPr>
              <w:t>$</w:t>
            </w:r>
            <w:r w:rsidR="00FC3D74">
              <w:rPr>
                <w:rFonts w:ascii="Times New Roman" w:hAnsi="Times New Roman" w:cs="Times New Roman"/>
                <w:color w:val="000000"/>
              </w:rPr>
              <w:t>58,437</w:t>
            </w:r>
          </w:p>
        </w:tc>
        <w:tc>
          <w:tcPr>
            <w:tcW w:w="1620" w:type="dxa"/>
            <w:vAlign w:val="bottom"/>
          </w:tcPr>
          <w:p w14:paraId="01F576C4" w14:textId="77777777" w:rsidR="00151310" w:rsidRPr="00151310" w:rsidRDefault="006508FE" w:rsidP="00FC3D74">
            <w:pPr>
              <w:jc w:val="right"/>
              <w:rPr>
                <w:rFonts w:ascii="Times New Roman" w:hAnsi="Times New Roman" w:cs="Times New Roman"/>
                <w:color w:val="000000"/>
              </w:rPr>
            </w:pPr>
            <w:r w:rsidRPr="006508FE">
              <w:rPr>
                <w:rFonts w:ascii="Times New Roman" w:hAnsi="Times New Roman" w:cs="Times New Roman"/>
                <w:color w:val="000000"/>
              </w:rPr>
              <w:t>$3</w:t>
            </w:r>
            <w:r w:rsidR="00FC3D74">
              <w:rPr>
                <w:rFonts w:ascii="Times New Roman" w:hAnsi="Times New Roman" w:cs="Times New Roman"/>
                <w:color w:val="000000"/>
              </w:rPr>
              <w:t>1,374,582</w:t>
            </w:r>
          </w:p>
        </w:tc>
        <w:tc>
          <w:tcPr>
            <w:tcW w:w="1814" w:type="dxa"/>
            <w:vAlign w:val="bottom"/>
          </w:tcPr>
          <w:p w14:paraId="40D9DCF9" w14:textId="77777777" w:rsidR="00151310" w:rsidRPr="00151310" w:rsidRDefault="006508FE" w:rsidP="00DF3741">
            <w:pPr>
              <w:jc w:val="right"/>
              <w:rPr>
                <w:rFonts w:ascii="Times New Roman" w:hAnsi="Times New Roman" w:cs="Times New Roman"/>
                <w:color w:val="000000"/>
              </w:rPr>
            </w:pPr>
            <w:r w:rsidRPr="006508FE">
              <w:rPr>
                <w:rFonts w:ascii="Times New Roman" w:hAnsi="Times New Roman" w:cs="Times New Roman"/>
                <w:color w:val="000000"/>
              </w:rPr>
              <w:t>$3</w:t>
            </w:r>
            <w:r w:rsidR="00DF3741">
              <w:rPr>
                <w:rFonts w:ascii="Times New Roman" w:hAnsi="Times New Roman" w:cs="Times New Roman"/>
                <w:color w:val="000000"/>
              </w:rPr>
              <w:t>1,433,020</w:t>
            </w:r>
          </w:p>
        </w:tc>
      </w:tr>
    </w:tbl>
    <w:p w14:paraId="04C3D082" w14:textId="77777777" w:rsidR="004005FE" w:rsidRDefault="004005FE" w:rsidP="004005FE">
      <w:pPr>
        <w:widowControl/>
        <w:ind w:left="720"/>
        <w:rPr>
          <w:rFonts w:ascii="Times New Roman" w:hAnsi="Times New Roman"/>
        </w:rPr>
        <w:sectPr w:rsidR="004005FE" w:rsidSect="004005FE">
          <w:endnotePr>
            <w:numFmt w:val="decimal"/>
          </w:endnotePr>
          <w:pgSz w:w="15840" w:h="12240" w:orient="landscape"/>
          <w:pgMar w:top="1440" w:right="1354" w:bottom="1440" w:left="1440" w:header="1354" w:footer="1440" w:gutter="0"/>
          <w:cols w:space="720"/>
          <w:noEndnote/>
          <w:docGrid w:linePitch="326"/>
        </w:sectPr>
      </w:pPr>
    </w:p>
    <w:p w14:paraId="6722C18C" w14:textId="77777777" w:rsidR="004005FE" w:rsidRDefault="004005FE" w:rsidP="004005FE">
      <w:pPr>
        <w:widowControl/>
        <w:ind w:left="720"/>
        <w:rPr>
          <w:rFonts w:ascii="Times New Roman" w:hAnsi="Times New Roman"/>
        </w:rPr>
      </w:pPr>
    </w:p>
    <w:p w14:paraId="3B680C26" w14:textId="199C080F" w:rsidR="00B144E8" w:rsidRDefault="00E438BD" w:rsidP="004005FE">
      <w:pPr>
        <w:widowControl/>
        <w:ind w:left="720"/>
        <w:rPr>
          <w:rFonts w:ascii="Times New Roman" w:hAnsi="Times New Roman"/>
        </w:rPr>
      </w:pPr>
      <w:r>
        <w:rPr>
          <w:rFonts w:ascii="Times New Roman" w:hAnsi="Times New Roman"/>
        </w:rPr>
        <w:t>IMOs</w:t>
      </w:r>
      <w:r w:rsidR="00B144E8">
        <w:rPr>
          <w:rFonts w:ascii="Times New Roman" w:hAnsi="Times New Roman"/>
        </w:rPr>
        <w:t xml:space="preserve"> will also incur </w:t>
      </w:r>
      <w:r>
        <w:rPr>
          <w:rFonts w:ascii="Times New Roman" w:hAnsi="Times New Roman"/>
        </w:rPr>
        <w:t xml:space="preserve">legal </w:t>
      </w:r>
      <w:r w:rsidR="00B144E8">
        <w:rPr>
          <w:rFonts w:ascii="Times New Roman" w:hAnsi="Times New Roman"/>
        </w:rPr>
        <w:t xml:space="preserve">cost burden associated with </w:t>
      </w:r>
      <w:r>
        <w:rPr>
          <w:rFonts w:ascii="Times New Roman" w:hAnsi="Times New Roman"/>
        </w:rPr>
        <w:t xml:space="preserve">creating templates for </w:t>
      </w:r>
      <w:r w:rsidR="004A30F5">
        <w:rPr>
          <w:rFonts w:ascii="Times New Roman" w:hAnsi="Times New Roman"/>
        </w:rPr>
        <w:t>the annuity-specific pre-transaction disclosure</w:t>
      </w:r>
      <w:r w:rsidR="00B144E8">
        <w:rPr>
          <w:rFonts w:ascii="Times New Roman" w:hAnsi="Times New Roman"/>
        </w:rPr>
        <w:t xml:space="preserve">.  </w:t>
      </w:r>
      <w:r w:rsidR="004A30F5">
        <w:rPr>
          <w:rFonts w:ascii="Times New Roman" w:hAnsi="Times New Roman"/>
        </w:rPr>
        <w:t xml:space="preserve">The Department estimates that it will take 1.5 hours of legal time to draft and/or update the annuity disclosure annually.  </w:t>
      </w:r>
      <w:r w:rsidR="00705EEA">
        <w:rPr>
          <w:rFonts w:ascii="Times New Roman" w:hAnsi="Times New Roman"/>
        </w:rPr>
        <w:t xml:space="preserve">Each of the </w:t>
      </w:r>
      <w:r w:rsidR="00660120">
        <w:rPr>
          <w:rFonts w:ascii="Times New Roman" w:hAnsi="Times New Roman"/>
        </w:rPr>
        <w:t>19</w:t>
      </w:r>
      <w:r w:rsidR="00723B3F">
        <w:rPr>
          <w:rFonts w:ascii="Times New Roman" w:hAnsi="Times New Roman"/>
        </w:rPr>
        <w:t xml:space="preserve"> IMOs</w:t>
      </w:r>
      <w:r w:rsidR="00705EEA">
        <w:rPr>
          <w:rFonts w:ascii="Times New Roman" w:hAnsi="Times New Roman"/>
        </w:rPr>
        <w:t xml:space="preserve"> are assumed to hire legal assistance billed at $335.00 per hour to draft </w:t>
      </w:r>
      <w:r w:rsidR="00723B3F">
        <w:rPr>
          <w:rFonts w:ascii="Times New Roman" w:hAnsi="Times New Roman"/>
        </w:rPr>
        <w:t>and/or update this disclosure</w:t>
      </w:r>
      <w:r w:rsidR="00705EEA">
        <w:rPr>
          <w:rFonts w:ascii="Times New Roman" w:hAnsi="Times New Roman"/>
        </w:rPr>
        <w:t xml:space="preserve">.  Therefore, </w:t>
      </w:r>
      <w:r w:rsidR="00181056">
        <w:rPr>
          <w:rFonts w:ascii="Times New Roman" w:hAnsi="Times New Roman"/>
        </w:rPr>
        <w:t>the total cost of this legal assistance is $</w:t>
      </w:r>
      <w:r w:rsidR="00723B3F">
        <w:rPr>
          <w:rFonts w:ascii="Times New Roman" w:hAnsi="Times New Roman"/>
        </w:rPr>
        <w:t>1</w:t>
      </w:r>
      <w:r w:rsidR="00660120">
        <w:rPr>
          <w:rFonts w:ascii="Times New Roman" w:hAnsi="Times New Roman"/>
        </w:rPr>
        <w:t>0</w:t>
      </w:r>
      <w:r w:rsidR="00723B3F">
        <w:rPr>
          <w:rFonts w:ascii="Times New Roman" w:hAnsi="Times New Roman"/>
        </w:rPr>
        <w:t>,000</w:t>
      </w:r>
      <w:r w:rsidR="00181056">
        <w:rPr>
          <w:rFonts w:ascii="Times New Roman" w:hAnsi="Times New Roman"/>
        </w:rPr>
        <w:t>.</w:t>
      </w:r>
      <w:r w:rsidR="00181056" w:rsidRPr="00ED5305">
        <w:rPr>
          <w:rStyle w:val="FootnoteReference"/>
          <w:rFonts w:ascii="Times New Roman" w:hAnsi="Times New Roman"/>
          <w:vertAlign w:val="superscript"/>
        </w:rPr>
        <w:footnoteReference w:id="31"/>
      </w:r>
    </w:p>
    <w:p w14:paraId="21A6E40D" w14:textId="77777777" w:rsidR="00B144E8" w:rsidRPr="00235B48" w:rsidRDefault="00B144E8" w:rsidP="004005FE">
      <w:pPr>
        <w:widowControl/>
        <w:ind w:left="720"/>
        <w:rPr>
          <w:rFonts w:ascii="Times New Roman" w:hAnsi="Times New Roman"/>
        </w:rPr>
      </w:pPr>
    </w:p>
    <w:p w14:paraId="543B2FE2" w14:textId="0B388639" w:rsidR="00436A32" w:rsidRDefault="00D87E53" w:rsidP="004005FE">
      <w:pPr>
        <w:ind w:left="720"/>
        <w:rPr>
          <w:rFonts w:ascii="Times New Roman" w:eastAsia="MS Mincho" w:hAnsi="Times New Roman"/>
        </w:rPr>
      </w:pPr>
      <w:r>
        <w:rPr>
          <w:rFonts w:ascii="Times New Roman" w:eastAsia="MS Mincho" w:hAnsi="Times New Roman"/>
        </w:rPr>
        <w:t xml:space="preserve">The Department does not believe that IMOs will incur any costs associated with the annual audit requirement because having a financial institution’s financial records audited on an annual basis is </w:t>
      </w:r>
      <w:r w:rsidR="009B12AC">
        <w:rPr>
          <w:rFonts w:ascii="Times New Roman" w:eastAsia="MS Mincho" w:hAnsi="Times New Roman"/>
        </w:rPr>
        <w:t>generally considered to be a usual and customary business practice.</w:t>
      </w:r>
    </w:p>
    <w:p w14:paraId="7DA8C997" w14:textId="77777777" w:rsidR="00436A32" w:rsidRDefault="00436A32" w:rsidP="004005FE">
      <w:pPr>
        <w:ind w:left="720"/>
        <w:rPr>
          <w:rFonts w:ascii="Times New Roman" w:eastAsia="MS Mincho" w:hAnsi="Times New Roman"/>
        </w:rPr>
      </w:pPr>
    </w:p>
    <w:p w14:paraId="1A877CD3" w14:textId="77777777" w:rsidR="004005FE" w:rsidRDefault="004005FE" w:rsidP="004005FE">
      <w:pPr>
        <w:ind w:left="720"/>
        <w:rPr>
          <w:rFonts w:ascii="Times New Roman" w:eastAsia="MS Mincho" w:hAnsi="Times New Roman"/>
        </w:rPr>
      </w:pPr>
      <w:r>
        <w:rPr>
          <w:rFonts w:ascii="Times New Roman" w:eastAsia="MS Mincho" w:hAnsi="Times New Roman"/>
        </w:rPr>
        <w:t xml:space="preserve">In addition to service provider costs, respondents will also incur cost burden associated with the distribution of disclosures.  Electronic distribution is assumed to result in a de </w:t>
      </w:r>
      <w:proofErr w:type="spellStart"/>
      <w:r>
        <w:rPr>
          <w:rFonts w:ascii="Times New Roman" w:eastAsia="MS Mincho" w:hAnsi="Times New Roman"/>
        </w:rPr>
        <w:t>minimis</w:t>
      </w:r>
      <w:proofErr w:type="spellEnd"/>
      <w:r>
        <w:rPr>
          <w:rFonts w:ascii="Times New Roman" w:eastAsia="MS Mincho" w:hAnsi="Times New Roman"/>
        </w:rPr>
        <w:t xml:space="preserve"> cost.  Paper distribution will incur costs at a rate of $0.05 per page of materials costs and $0.4</w:t>
      </w:r>
      <w:r w:rsidR="00096526">
        <w:rPr>
          <w:rFonts w:ascii="Times New Roman" w:eastAsia="MS Mincho" w:hAnsi="Times New Roman"/>
        </w:rPr>
        <w:t>7</w:t>
      </w:r>
      <w:r>
        <w:rPr>
          <w:rFonts w:ascii="Times New Roman" w:eastAsia="MS Mincho" w:hAnsi="Times New Roman"/>
        </w:rPr>
        <w:t xml:space="preserve"> per disclosure in postage costs.</w:t>
      </w:r>
    </w:p>
    <w:p w14:paraId="5ACC63AC" w14:textId="77777777" w:rsidR="004005FE" w:rsidRDefault="004005FE" w:rsidP="004005FE">
      <w:pPr>
        <w:ind w:left="720"/>
        <w:rPr>
          <w:rFonts w:ascii="Times New Roman" w:eastAsia="MS Mincho" w:hAnsi="Times New Roman"/>
        </w:rPr>
      </w:pPr>
    </w:p>
    <w:p w14:paraId="6E18A016" w14:textId="11EDEA70" w:rsidR="004005FE" w:rsidRDefault="004005FE" w:rsidP="004005FE">
      <w:pPr>
        <w:widowControl/>
        <w:ind w:left="720"/>
        <w:rPr>
          <w:rFonts w:ascii="Times New Roman" w:hAnsi="Times New Roman"/>
        </w:rPr>
      </w:pPr>
      <w:r>
        <w:rPr>
          <w:rFonts w:ascii="Times New Roman" w:hAnsi="Times New Roman"/>
        </w:rPr>
        <w:t xml:space="preserve">As discussed in question 12, the Department estimates that respondents will mail </w:t>
      </w:r>
      <w:r w:rsidR="00096526">
        <w:rPr>
          <w:rFonts w:ascii="Times New Roman" w:hAnsi="Times New Roman"/>
        </w:rPr>
        <w:t>126,000</w:t>
      </w:r>
      <w:r>
        <w:rPr>
          <w:rFonts w:ascii="Times New Roman" w:hAnsi="Times New Roman"/>
        </w:rPr>
        <w:t xml:space="preserve"> 3-page paper transition disclosures during the first year; </w:t>
      </w:r>
      <w:r w:rsidR="00096526">
        <w:rPr>
          <w:rFonts w:ascii="Times New Roman" w:hAnsi="Times New Roman"/>
        </w:rPr>
        <w:t>126,000</w:t>
      </w:r>
      <w:r>
        <w:rPr>
          <w:rFonts w:ascii="Times New Roman" w:hAnsi="Times New Roman"/>
        </w:rPr>
        <w:t xml:space="preserve"> 15-page paper contract disclosures and contracts during the first year and </w:t>
      </w:r>
      <w:r w:rsidR="00096526">
        <w:rPr>
          <w:rFonts w:ascii="Times New Roman" w:hAnsi="Times New Roman"/>
        </w:rPr>
        <w:t>26,000</w:t>
      </w:r>
      <w:r>
        <w:rPr>
          <w:rFonts w:ascii="Times New Roman" w:hAnsi="Times New Roman"/>
        </w:rPr>
        <w:t xml:space="preserve"> 15-page paper contract disclosures and contracts in subsequent years; </w:t>
      </w:r>
      <w:r w:rsidR="0080062F">
        <w:rPr>
          <w:rFonts w:ascii="Times New Roman" w:hAnsi="Times New Roman"/>
        </w:rPr>
        <w:t>126,000</w:t>
      </w:r>
      <w:r>
        <w:rPr>
          <w:rFonts w:ascii="Times New Roman" w:hAnsi="Times New Roman"/>
        </w:rPr>
        <w:t xml:space="preserve"> </w:t>
      </w:r>
      <w:r w:rsidR="00297496">
        <w:rPr>
          <w:rFonts w:ascii="Times New Roman" w:hAnsi="Times New Roman"/>
        </w:rPr>
        <w:t>3</w:t>
      </w:r>
      <w:r>
        <w:rPr>
          <w:rFonts w:ascii="Times New Roman" w:hAnsi="Times New Roman"/>
        </w:rPr>
        <w:t xml:space="preserve">-page paper </w:t>
      </w:r>
      <w:r w:rsidR="00297496">
        <w:rPr>
          <w:rFonts w:ascii="Times New Roman" w:hAnsi="Times New Roman"/>
        </w:rPr>
        <w:t>pre-transaction</w:t>
      </w:r>
      <w:r>
        <w:rPr>
          <w:rFonts w:ascii="Times New Roman" w:hAnsi="Times New Roman"/>
        </w:rPr>
        <w:t xml:space="preserve"> disclosures during the second year and all subsequent years; </w:t>
      </w:r>
      <w:r w:rsidR="0080062F">
        <w:rPr>
          <w:rFonts w:ascii="Times New Roman" w:hAnsi="Times New Roman"/>
        </w:rPr>
        <w:t>1</w:t>
      </w:r>
      <w:r w:rsidR="00EE01C2">
        <w:rPr>
          <w:rFonts w:ascii="Times New Roman" w:hAnsi="Times New Roman"/>
        </w:rPr>
        <w:t>05</w:t>
      </w:r>
      <w:r>
        <w:rPr>
          <w:rFonts w:ascii="Times New Roman" w:hAnsi="Times New Roman"/>
        </w:rPr>
        <w:t xml:space="preserve"> 5-page paper detailed disclosures during the second year and all subsequent years</w:t>
      </w:r>
      <w:r w:rsidR="00D70F68">
        <w:rPr>
          <w:rFonts w:ascii="Times New Roman" w:hAnsi="Times New Roman"/>
        </w:rPr>
        <w:t xml:space="preserve">; and </w:t>
      </w:r>
      <w:r w:rsidR="0080062F">
        <w:rPr>
          <w:rFonts w:ascii="Times New Roman" w:hAnsi="Times New Roman"/>
        </w:rPr>
        <w:t>126,000</w:t>
      </w:r>
      <w:r w:rsidR="00D70F68">
        <w:rPr>
          <w:rFonts w:ascii="Times New Roman" w:hAnsi="Times New Roman"/>
        </w:rPr>
        <w:t xml:space="preserve"> 1-page paper </w:t>
      </w:r>
      <w:r w:rsidR="00992F76">
        <w:rPr>
          <w:rFonts w:ascii="Times New Roman" w:hAnsi="Times New Roman"/>
        </w:rPr>
        <w:t>annuity-specific pre-transaction disclosures</w:t>
      </w:r>
      <w:r w:rsidR="00D70F68">
        <w:rPr>
          <w:rFonts w:ascii="Times New Roman" w:hAnsi="Times New Roman"/>
        </w:rPr>
        <w:t xml:space="preserve"> annually</w:t>
      </w:r>
      <w:r>
        <w:rPr>
          <w:rFonts w:ascii="Times New Roman" w:hAnsi="Times New Roman"/>
        </w:rPr>
        <w:t>.  Therefore, respondents will incur a materials and postage cost of $</w:t>
      </w:r>
      <w:r w:rsidR="00765476">
        <w:rPr>
          <w:rFonts w:ascii="Times New Roman" w:hAnsi="Times New Roman"/>
        </w:rPr>
        <w:t>297,000</w:t>
      </w:r>
      <w:r>
        <w:rPr>
          <w:rFonts w:ascii="Times New Roman" w:hAnsi="Times New Roman"/>
        </w:rPr>
        <w:t xml:space="preserve"> during the first year</w:t>
      </w:r>
      <w:r w:rsidRPr="005A37AE">
        <w:rPr>
          <w:rStyle w:val="FootnoteReference"/>
          <w:rFonts w:ascii="Times New Roman" w:hAnsi="Times New Roman"/>
          <w:vertAlign w:val="superscript"/>
        </w:rPr>
        <w:footnoteReference w:id="32"/>
      </w:r>
      <w:r>
        <w:rPr>
          <w:rFonts w:ascii="Times New Roman" w:hAnsi="Times New Roman"/>
        </w:rPr>
        <w:t xml:space="preserve"> and $</w:t>
      </w:r>
      <w:r w:rsidR="00765476">
        <w:rPr>
          <w:rFonts w:ascii="Times New Roman" w:hAnsi="Times New Roman"/>
        </w:rPr>
        <w:t>175,000</w:t>
      </w:r>
      <w:r>
        <w:rPr>
          <w:rFonts w:ascii="Times New Roman" w:hAnsi="Times New Roman"/>
        </w:rPr>
        <w:t xml:space="preserve"> during subsequent years.</w:t>
      </w:r>
      <w:r w:rsidRPr="006C624B">
        <w:rPr>
          <w:rStyle w:val="FootnoteReference"/>
          <w:rFonts w:ascii="Times New Roman" w:hAnsi="Times New Roman"/>
          <w:vertAlign w:val="superscript"/>
        </w:rPr>
        <w:footnoteReference w:id="33"/>
      </w:r>
    </w:p>
    <w:p w14:paraId="41C26DB1" w14:textId="77777777" w:rsidR="004005FE" w:rsidRDefault="004005FE" w:rsidP="004005FE">
      <w:pPr>
        <w:widowControl/>
        <w:ind w:left="720"/>
        <w:rPr>
          <w:rFonts w:ascii="Times New Roman" w:hAnsi="Times New Roman"/>
        </w:rPr>
      </w:pPr>
    </w:p>
    <w:p w14:paraId="5AF70953" w14:textId="77777777" w:rsidR="004005FE" w:rsidRDefault="004005FE" w:rsidP="004005FE">
      <w:pPr>
        <w:widowControl/>
        <w:ind w:left="720"/>
        <w:rPr>
          <w:rFonts w:ascii="Times New Roman" w:hAnsi="Times New Roman"/>
          <w:u w:val="single"/>
        </w:rPr>
      </w:pPr>
      <w:r>
        <w:rPr>
          <w:rFonts w:ascii="Times New Roman" w:hAnsi="Times New Roman"/>
          <w:u w:val="single"/>
        </w:rPr>
        <w:t>Summary</w:t>
      </w:r>
    </w:p>
    <w:p w14:paraId="522D8FD1" w14:textId="1D99BA61" w:rsidR="004005FE" w:rsidRPr="00E47FB2" w:rsidRDefault="004005FE" w:rsidP="004005FE">
      <w:pPr>
        <w:widowControl/>
        <w:ind w:left="720"/>
        <w:rPr>
          <w:rFonts w:ascii="Times New Roman" w:hAnsi="Times New Roman"/>
        </w:rPr>
      </w:pPr>
      <w:r>
        <w:rPr>
          <w:rFonts w:ascii="Times New Roman" w:hAnsi="Times New Roman"/>
        </w:rPr>
        <w:t>The total cost burden for the information collections in this exemption, including outside legal assistance, other service provider assistance, and materials and postage costs, is $</w:t>
      </w:r>
      <w:r w:rsidR="007056F5">
        <w:rPr>
          <w:rFonts w:ascii="Times New Roman" w:hAnsi="Times New Roman"/>
        </w:rPr>
        <w:t>12</w:t>
      </w:r>
      <w:r w:rsidR="00591047">
        <w:rPr>
          <w:rFonts w:ascii="Times New Roman" w:hAnsi="Times New Roman"/>
        </w:rPr>
        <w:t>6.4</w:t>
      </w:r>
      <w:r w:rsidR="007056F5">
        <w:rPr>
          <w:rFonts w:ascii="Times New Roman" w:hAnsi="Times New Roman"/>
        </w:rPr>
        <w:t xml:space="preserve"> million</w:t>
      </w:r>
      <w:r>
        <w:rPr>
          <w:rFonts w:ascii="Times New Roman" w:hAnsi="Times New Roman"/>
        </w:rPr>
        <w:t xml:space="preserve"> during the first year</w:t>
      </w:r>
      <w:r w:rsidRPr="00E0765B">
        <w:rPr>
          <w:rStyle w:val="FootnoteReference"/>
          <w:rFonts w:ascii="Times New Roman" w:hAnsi="Times New Roman"/>
          <w:vertAlign w:val="superscript"/>
        </w:rPr>
        <w:footnoteReference w:id="34"/>
      </w:r>
      <w:r>
        <w:rPr>
          <w:rFonts w:ascii="Times New Roman" w:hAnsi="Times New Roman"/>
        </w:rPr>
        <w:t xml:space="preserve"> and $</w:t>
      </w:r>
      <w:r w:rsidR="007056F5">
        <w:rPr>
          <w:rFonts w:ascii="Times New Roman" w:hAnsi="Times New Roman"/>
        </w:rPr>
        <w:t>3</w:t>
      </w:r>
      <w:r w:rsidR="00591047">
        <w:rPr>
          <w:rFonts w:ascii="Times New Roman" w:hAnsi="Times New Roman"/>
        </w:rPr>
        <w:t>1.6</w:t>
      </w:r>
      <w:r w:rsidR="007056F5">
        <w:rPr>
          <w:rFonts w:ascii="Times New Roman" w:hAnsi="Times New Roman"/>
        </w:rPr>
        <w:t xml:space="preserve"> million</w:t>
      </w:r>
      <w:r>
        <w:rPr>
          <w:rFonts w:ascii="Times New Roman" w:hAnsi="Times New Roman"/>
        </w:rPr>
        <w:t xml:space="preserve"> during subsequent years.</w:t>
      </w:r>
      <w:r w:rsidRPr="00B16722">
        <w:rPr>
          <w:rStyle w:val="FootnoteReference"/>
          <w:rFonts w:ascii="Times New Roman" w:hAnsi="Times New Roman"/>
          <w:vertAlign w:val="superscript"/>
        </w:rPr>
        <w:footnoteReference w:id="35"/>
      </w:r>
      <w:r>
        <w:rPr>
          <w:rFonts w:ascii="Times New Roman" w:hAnsi="Times New Roman"/>
        </w:rPr>
        <w:t xml:space="preserve">  For </w:t>
      </w:r>
      <w:r>
        <w:rPr>
          <w:rFonts w:ascii="Times New Roman" w:hAnsi="Times New Roman"/>
        </w:rPr>
        <w:lastRenderedPageBreak/>
        <w:t xml:space="preserve">purposes of reginfo.gov database entries the burden has been annualized over the three-year approval the DOL seeks to </w:t>
      </w:r>
      <w:r w:rsidR="00FE238F">
        <w:rPr>
          <w:rFonts w:ascii="Times New Roman" w:hAnsi="Times New Roman"/>
        </w:rPr>
        <w:t>$</w:t>
      </w:r>
      <w:r w:rsidR="007056F5">
        <w:rPr>
          <w:rFonts w:ascii="Times New Roman" w:hAnsi="Times New Roman"/>
        </w:rPr>
        <w:t>6</w:t>
      </w:r>
      <w:r w:rsidR="00591047">
        <w:rPr>
          <w:rFonts w:ascii="Times New Roman" w:hAnsi="Times New Roman"/>
        </w:rPr>
        <w:t>3.2</w:t>
      </w:r>
      <w:r w:rsidR="007056F5">
        <w:rPr>
          <w:rFonts w:ascii="Times New Roman" w:hAnsi="Times New Roman"/>
        </w:rPr>
        <w:t xml:space="preserve"> million</w:t>
      </w:r>
      <w:r>
        <w:rPr>
          <w:rFonts w:ascii="Times New Roman" w:hAnsi="Times New Roman"/>
        </w:rPr>
        <w:t xml:space="preserve"> (rounded) per year.</w:t>
      </w:r>
    </w:p>
    <w:p w14:paraId="38F31686" w14:textId="77777777" w:rsidR="004005FE" w:rsidRPr="00235B48" w:rsidRDefault="004005FE" w:rsidP="004005FE">
      <w:pPr>
        <w:widowControl/>
        <w:ind w:left="720"/>
        <w:rPr>
          <w:rFonts w:ascii="Times New Roman" w:hAnsi="Times New Roman"/>
        </w:rPr>
      </w:pPr>
    </w:p>
    <w:p w14:paraId="60B3E519" w14:textId="77777777" w:rsidR="00F3670F" w:rsidRPr="00235B48" w:rsidRDefault="00F3670F" w:rsidP="00235B48">
      <w:pPr>
        <w:pStyle w:val="Quick1"/>
        <w:widowControl/>
        <w:tabs>
          <w:tab w:val="left" w:pos="-1440"/>
          <w:tab w:val="num" w:pos="720"/>
        </w:tabs>
        <w:rPr>
          <w:rFonts w:ascii="Times New Roman" w:hAnsi="Times New Roman"/>
          <w:i/>
          <w:iCs/>
          <w:sz w:val="20"/>
          <w:szCs w:val="20"/>
        </w:rPr>
      </w:pPr>
      <w:r w:rsidRPr="00235B48">
        <w:rPr>
          <w:rFonts w:ascii="Times New Roman" w:hAnsi="Times New Roman"/>
          <w:i/>
          <w:i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068E8CA" w14:textId="77777777" w:rsidR="00C97C13" w:rsidRPr="005A505D" w:rsidRDefault="00C97C13" w:rsidP="008C7AA2">
      <w:pPr>
        <w:pStyle w:val="Quick1"/>
        <w:widowControl/>
        <w:numPr>
          <w:ilvl w:val="0"/>
          <w:numId w:val="0"/>
        </w:numPr>
        <w:tabs>
          <w:tab w:val="left" w:pos="-1440"/>
        </w:tabs>
        <w:ind w:left="720"/>
        <w:rPr>
          <w:rFonts w:ascii="Times New Roman" w:hAnsi="Times New Roman"/>
          <w:iCs/>
        </w:rPr>
      </w:pPr>
    </w:p>
    <w:p w14:paraId="03B77F21" w14:textId="77777777" w:rsidR="00BE3D72" w:rsidRDefault="00D127CB" w:rsidP="008C7AA2">
      <w:pPr>
        <w:widowControl/>
        <w:ind w:left="720"/>
        <w:rPr>
          <w:rFonts w:ascii="Times New Roman" w:hAnsi="Times New Roman"/>
        </w:rPr>
      </w:pPr>
      <w:r>
        <w:rPr>
          <w:rFonts w:ascii="Times New Roman" w:hAnsi="Times New Roman"/>
        </w:rPr>
        <w:t>The agency associates no Federal cost with this information collection.</w:t>
      </w:r>
    </w:p>
    <w:p w14:paraId="3194BE46" w14:textId="77777777" w:rsidR="003D5BAC" w:rsidRPr="00235B48" w:rsidRDefault="003D5BAC" w:rsidP="008C7AA2">
      <w:pPr>
        <w:widowControl/>
        <w:ind w:left="720"/>
        <w:rPr>
          <w:rFonts w:ascii="Times New Roman" w:hAnsi="Times New Roman"/>
        </w:rPr>
      </w:pPr>
    </w:p>
    <w:p w14:paraId="3254607E" w14:textId="77777777"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15.</w:t>
      </w:r>
      <w:r w:rsidRPr="00235B48">
        <w:rPr>
          <w:rFonts w:ascii="Times New Roman" w:hAnsi="Times New Roman"/>
        </w:rPr>
        <w:tab/>
      </w:r>
      <w:r w:rsidRPr="00235B48">
        <w:rPr>
          <w:rFonts w:ascii="Times New Roman" w:hAnsi="Times New Roman"/>
          <w:i/>
          <w:iCs/>
          <w:sz w:val="20"/>
          <w:szCs w:val="20"/>
        </w:rPr>
        <w:t>Explain the reasons for any program changes or adjustments reported in Items 13 or 14.</w:t>
      </w:r>
    </w:p>
    <w:p w14:paraId="6A068C2D" w14:textId="77777777" w:rsidR="00F3670F" w:rsidRPr="00235B48" w:rsidRDefault="00F3670F" w:rsidP="008C7AA2">
      <w:pPr>
        <w:widowControl/>
        <w:ind w:left="720"/>
        <w:rPr>
          <w:rFonts w:ascii="Times New Roman" w:hAnsi="Times New Roman"/>
        </w:rPr>
      </w:pPr>
    </w:p>
    <w:p w14:paraId="183C825A" w14:textId="77777777" w:rsidR="00BE3D72" w:rsidRDefault="00D127CB" w:rsidP="008C7AA2">
      <w:pPr>
        <w:widowControl/>
        <w:ind w:left="720"/>
        <w:rPr>
          <w:rFonts w:ascii="Times New Roman" w:hAnsi="Times New Roman"/>
        </w:rPr>
      </w:pPr>
      <w:r>
        <w:rPr>
          <w:rFonts w:ascii="Times New Roman" w:hAnsi="Times New Roman"/>
        </w:rPr>
        <w:t>This is a new information collection</w:t>
      </w:r>
      <w:r w:rsidR="003D5BAC">
        <w:rPr>
          <w:rFonts w:ascii="Times New Roman" w:hAnsi="Times New Roman"/>
        </w:rPr>
        <w:t>.</w:t>
      </w:r>
    </w:p>
    <w:p w14:paraId="64616EAA" w14:textId="77777777" w:rsidR="003D5BAC" w:rsidRPr="00235B48" w:rsidRDefault="003D5BAC" w:rsidP="008C7AA2">
      <w:pPr>
        <w:widowControl/>
        <w:ind w:left="720"/>
        <w:rPr>
          <w:rFonts w:ascii="Times New Roman" w:hAnsi="Times New Roman"/>
        </w:rPr>
      </w:pPr>
    </w:p>
    <w:p w14:paraId="08DF63E6" w14:textId="77777777"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16.</w:t>
      </w:r>
      <w:r w:rsidRPr="00235B48">
        <w:rPr>
          <w:rFonts w:ascii="Times New Roman" w:hAnsi="Times New Roman"/>
        </w:rPr>
        <w:tab/>
      </w:r>
      <w:r w:rsidRPr="00235B48">
        <w:rPr>
          <w:rFonts w:ascii="Times New Roman" w:hAnsi="Times New Roman"/>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0836DB" w14:textId="77777777" w:rsidR="00586B52" w:rsidRPr="00176829" w:rsidRDefault="00586B52" w:rsidP="00176829">
      <w:pPr>
        <w:ind w:left="720"/>
        <w:rPr>
          <w:rFonts w:ascii="Times New Roman" w:hAnsi="Times New Roman"/>
        </w:rPr>
      </w:pPr>
    </w:p>
    <w:p w14:paraId="3F2D7AA0" w14:textId="77777777" w:rsidR="00586B52" w:rsidRPr="00176829" w:rsidRDefault="00586B52" w:rsidP="00176829">
      <w:pPr>
        <w:ind w:left="720"/>
        <w:rPr>
          <w:rFonts w:ascii="Times New Roman" w:hAnsi="Times New Roman"/>
        </w:rPr>
      </w:pPr>
      <w:r w:rsidRPr="00176829">
        <w:rPr>
          <w:rFonts w:ascii="Times New Roman" w:hAnsi="Times New Roman"/>
        </w:rPr>
        <w:t>There are no plans to publish results of this information collection.</w:t>
      </w:r>
    </w:p>
    <w:p w14:paraId="4EC62AC2" w14:textId="77777777" w:rsidR="00BE3D72" w:rsidRPr="00176829" w:rsidRDefault="00BE3D72" w:rsidP="00176829">
      <w:pPr>
        <w:ind w:left="720"/>
        <w:rPr>
          <w:rFonts w:ascii="Times New Roman" w:hAnsi="Times New Roman"/>
        </w:rPr>
      </w:pPr>
    </w:p>
    <w:p w14:paraId="23633E21" w14:textId="77777777" w:rsidR="00F3670F" w:rsidRPr="00235B48" w:rsidRDefault="00F3670F" w:rsidP="00235B48">
      <w:pPr>
        <w:widowControl/>
        <w:numPr>
          <w:ilvl w:val="0"/>
          <w:numId w:val="5"/>
        </w:numPr>
        <w:tabs>
          <w:tab w:val="clear" w:pos="720"/>
          <w:tab w:val="left" w:pos="-1440"/>
        </w:tabs>
        <w:ind w:hanging="630"/>
        <w:rPr>
          <w:rFonts w:ascii="Times New Roman" w:hAnsi="Times New Roman"/>
          <w:i/>
          <w:iCs/>
          <w:sz w:val="20"/>
          <w:szCs w:val="20"/>
        </w:rPr>
      </w:pPr>
      <w:r w:rsidRPr="00235B48">
        <w:rPr>
          <w:rFonts w:ascii="Times New Roman" w:hAnsi="Times New Roman"/>
          <w:i/>
          <w:iCs/>
          <w:sz w:val="20"/>
          <w:szCs w:val="20"/>
        </w:rPr>
        <w:t>If seeking approval to not display the expiration date for OMB approval of the information collection, explain the reasons that display would be inappropriate.</w:t>
      </w:r>
    </w:p>
    <w:p w14:paraId="31532FD0" w14:textId="77777777" w:rsidR="00CC65B0" w:rsidRPr="00235B48" w:rsidRDefault="00CC65B0" w:rsidP="00176829">
      <w:pPr>
        <w:widowControl/>
        <w:tabs>
          <w:tab w:val="left" w:pos="-1440"/>
        </w:tabs>
        <w:ind w:left="720"/>
        <w:rPr>
          <w:rFonts w:ascii="Times New Roman" w:hAnsi="Times New Roman"/>
          <w:i/>
          <w:iCs/>
          <w:sz w:val="20"/>
          <w:szCs w:val="20"/>
        </w:rPr>
      </w:pPr>
    </w:p>
    <w:p w14:paraId="5F5DFE66" w14:textId="77777777" w:rsidR="0098013F" w:rsidRDefault="0098013F" w:rsidP="00176829">
      <w:pPr>
        <w:ind w:left="720"/>
        <w:rPr>
          <w:rFonts w:ascii="Times New Roman" w:hAnsi="Times New Roman"/>
        </w:rPr>
      </w:pPr>
      <w:r>
        <w:rPr>
          <w:rFonts w:ascii="Times New Roman" w:hAnsi="Times New Roman"/>
        </w:rPr>
        <w:t>The collection of information will display a currently valid OMB control number.</w:t>
      </w:r>
    </w:p>
    <w:p w14:paraId="33F585F8" w14:textId="77777777" w:rsidR="00475204" w:rsidRPr="00235B48" w:rsidRDefault="00475204" w:rsidP="00176829">
      <w:pPr>
        <w:widowControl/>
        <w:tabs>
          <w:tab w:val="left" w:pos="-1440"/>
        </w:tabs>
        <w:ind w:left="720"/>
        <w:rPr>
          <w:rFonts w:ascii="Times New Roman" w:hAnsi="Times New Roman"/>
          <w:i/>
          <w:iCs/>
          <w:sz w:val="20"/>
          <w:szCs w:val="20"/>
        </w:rPr>
      </w:pPr>
    </w:p>
    <w:p w14:paraId="6D2138AF" w14:textId="77777777"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18.</w:t>
      </w:r>
      <w:r w:rsidRPr="00235B48">
        <w:rPr>
          <w:rFonts w:ascii="Times New Roman" w:hAnsi="Times New Roman"/>
        </w:rPr>
        <w:tab/>
      </w:r>
      <w:r w:rsidRPr="00235B48">
        <w:rPr>
          <w:rFonts w:ascii="Times New Roman" w:hAnsi="Times New Roman"/>
          <w:i/>
          <w:iCs/>
          <w:sz w:val="20"/>
          <w:szCs w:val="20"/>
        </w:rPr>
        <w:t>Explain each exception to the certification statement identified in Item 19, "Certification for Paperwork Reduction Act Submission</w:t>
      </w:r>
      <w:r w:rsidR="0080517F">
        <w:rPr>
          <w:rFonts w:ascii="Times New Roman" w:hAnsi="Times New Roman"/>
          <w:i/>
          <w:iCs/>
          <w:sz w:val="20"/>
          <w:szCs w:val="20"/>
        </w:rPr>
        <w:t>.</w:t>
      </w:r>
      <w:r w:rsidRPr="00235B48">
        <w:rPr>
          <w:rFonts w:ascii="Times New Roman" w:hAnsi="Times New Roman"/>
          <w:i/>
          <w:iCs/>
          <w:sz w:val="20"/>
          <w:szCs w:val="20"/>
        </w:rPr>
        <w:t>"</w:t>
      </w:r>
    </w:p>
    <w:p w14:paraId="2E887741" w14:textId="77777777" w:rsidR="00F3670F" w:rsidRPr="00235B48" w:rsidRDefault="00F3670F" w:rsidP="00176829">
      <w:pPr>
        <w:widowControl/>
        <w:ind w:left="720"/>
        <w:rPr>
          <w:rFonts w:ascii="Times New Roman" w:hAnsi="Times New Roman"/>
        </w:rPr>
      </w:pPr>
    </w:p>
    <w:p w14:paraId="4453BED2" w14:textId="77777777" w:rsidR="00586B52" w:rsidRDefault="00586B52" w:rsidP="00176829">
      <w:pPr>
        <w:widowControl/>
        <w:ind w:left="720"/>
        <w:rPr>
          <w:rFonts w:ascii="Times New Roman" w:hAnsi="Times New Roman"/>
        </w:rPr>
      </w:pPr>
      <w:proofErr w:type="gramStart"/>
      <w:r w:rsidRPr="00235B48">
        <w:rPr>
          <w:rFonts w:ascii="Times New Roman" w:hAnsi="Times New Roman"/>
        </w:rPr>
        <w:t>None.</w:t>
      </w:r>
      <w:proofErr w:type="gramEnd"/>
    </w:p>
    <w:p w14:paraId="5BCC5FB2" w14:textId="77777777" w:rsidR="00475204" w:rsidRDefault="00475204" w:rsidP="00176829">
      <w:pPr>
        <w:widowControl/>
        <w:ind w:left="720"/>
        <w:rPr>
          <w:rFonts w:ascii="Times New Roman" w:hAnsi="Times New Roman"/>
        </w:rPr>
      </w:pPr>
    </w:p>
    <w:p w14:paraId="4A800E99" w14:textId="77777777" w:rsidR="00475204" w:rsidRDefault="00475204" w:rsidP="00475204">
      <w:pPr>
        <w:widowControl/>
        <w:outlineLvl w:val="0"/>
        <w:rPr>
          <w:rFonts w:ascii="Times New Roman" w:hAnsi="Times New Roman"/>
          <w:bCs/>
        </w:rPr>
      </w:pPr>
      <w:r>
        <w:rPr>
          <w:rFonts w:ascii="Times New Roman" w:hAnsi="Times New Roman"/>
          <w:b/>
          <w:bCs/>
        </w:rPr>
        <w:t>B</w:t>
      </w:r>
      <w:r w:rsidRPr="00235B48">
        <w:rPr>
          <w:rFonts w:ascii="Times New Roman" w:hAnsi="Times New Roman"/>
          <w:b/>
          <w:bCs/>
        </w:rPr>
        <w:t xml:space="preserve">.  </w:t>
      </w:r>
      <w:r>
        <w:rPr>
          <w:rFonts w:ascii="Times New Roman" w:hAnsi="Times New Roman"/>
          <w:b/>
          <w:bCs/>
        </w:rPr>
        <w:t>Statistical Methods</w:t>
      </w:r>
    </w:p>
    <w:p w14:paraId="2DBCE2BE" w14:textId="77777777" w:rsidR="00475204" w:rsidRDefault="00475204" w:rsidP="00176829">
      <w:pPr>
        <w:widowControl/>
        <w:ind w:left="720"/>
        <w:outlineLvl w:val="0"/>
        <w:rPr>
          <w:rFonts w:ascii="Times New Roman" w:hAnsi="Times New Roman"/>
          <w:bCs/>
        </w:rPr>
      </w:pPr>
    </w:p>
    <w:p w14:paraId="425360B9" w14:textId="77777777" w:rsidR="00475204" w:rsidRPr="00475204" w:rsidRDefault="00475204" w:rsidP="00176829">
      <w:pPr>
        <w:widowControl/>
        <w:ind w:left="720"/>
        <w:outlineLvl w:val="0"/>
        <w:rPr>
          <w:rFonts w:ascii="Times New Roman" w:hAnsi="Times New Roman"/>
        </w:rPr>
      </w:pPr>
      <w:r>
        <w:rPr>
          <w:rFonts w:ascii="Times New Roman" w:hAnsi="Times New Roman"/>
          <w:bCs/>
        </w:rPr>
        <w:t>This information collection does not employ statistical methods.</w:t>
      </w:r>
    </w:p>
    <w:p w14:paraId="13B280E9" w14:textId="77777777" w:rsidR="00475204" w:rsidRPr="00235B48" w:rsidRDefault="00475204" w:rsidP="00176829">
      <w:pPr>
        <w:widowControl/>
        <w:ind w:left="720"/>
        <w:rPr>
          <w:rFonts w:ascii="Times New Roman" w:hAnsi="Times New Roman"/>
        </w:rPr>
      </w:pPr>
    </w:p>
    <w:sectPr w:rsidR="00475204" w:rsidRPr="00235B48">
      <w:headerReference w:type="default" r:id="rId11"/>
      <w:footerReference w:type="default" r:id="rId12"/>
      <w:endnotePr>
        <w:numFmt w:val="decimal"/>
      </w:endnotePr>
      <w:type w:val="continuous"/>
      <w:pgSz w:w="12240" w:h="15840"/>
      <w:pgMar w:top="1354" w:right="1440" w:bottom="1440" w:left="1440" w:header="1354"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150A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3027A" w14:textId="77777777" w:rsidR="004D7458" w:rsidRDefault="004D7458">
      <w:r>
        <w:separator/>
      </w:r>
    </w:p>
  </w:endnote>
  <w:endnote w:type="continuationSeparator" w:id="0">
    <w:p w14:paraId="444AD838" w14:textId="77777777" w:rsidR="004D7458" w:rsidRDefault="004D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BA144" w14:textId="770DB7F6" w:rsidR="00A50EE3" w:rsidRPr="00C871F3" w:rsidRDefault="00A50EE3" w:rsidP="00541F6D">
    <w:pPr>
      <w:pStyle w:val="Footer"/>
      <w:jc w:val="center"/>
      <w:rPr>
        <w:rFonts w:ascii="Times New Roman" w:hAnsi="Times New Roman"/>
      </w:rPr>
    </w:pPr>
    <w:r w:rsidRPr="00C871F3">
      <w:rPr>
        <w:rFonts w:ascii="Times New Roman" w:hAnsi="Times New Roman"/>
      </w:rPr>
      <w:fldChar w:fldCharType="begin"/>
    </w:r>
    <w:r w:rsidRPr="00C871F3">
      <w:rPr>
        <w:rFonts w:ascii="Times New Roman" w:hAnsi="Times New Roman"/>
      </w:rPr>
      <w:instrText xml:space="preserve"> PAGE   \* MERGEFORMAT </w:instrText>
    </w:r>
    <w:r w:rsidRPr="00C871F3">
      <w:rPr>
        <w:rFonts w:ascii="Times New Roman" w:hAnsi="Times New Roman"/>
      </w:rPr>
      <w:fldChar w:fldCharType="separate"/>
    </w:r>
    <w:r w:rsidR="0025109F">
      <w:rPr>
        <w:rFonts w:ascii="Times New Roman" w:hAnsi="Times New Roman"/>
        <w:noProof/>
      </w:rPr>
      <w:t>15</w:t>
    </w:r>
    <w:r w:rsidRPr="00C871F3">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4EE63" w14:textId="77777777" w:rsidR="00A50EE3" w:rsidRDefault="00A50EE3" w:rsidP="00541F6D">
    <w:pPr>
      <w:pStyle w:val="Footer"/>
      <w:jc w:val="center"/>
    </w:pPr>
  </w:p>
  <w:p w14:paraId="59DA29C6" w14:textId="67322347" w:rsidR="00A50EE3" w:rsidRDefault="00A50EE3" w:rsidP="00541F6D">
    <w:pPr>
      <w:pStyle w:val="Footer"/>
      <w:jc w:val="center"/>
    </w:pPr>
    <w:r>
      <w:fldChar w:fldCharType="begin"/>
    </w:r>
    <w:r>
      <w:instrText xml:space="preserve"> PAGE   \* MERGEFORMAT </w:instrText>
    </w:r>
    <w:r>
      <w:fldChar w:fldCharType="separate"/>
    </w:r>
    <w:r w:rsidR="0025109F">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D979D" w14:textId="77777777" w:rsidR="004D7458" w:rsidRDefault="004D7458">
      <w:r>
        <w:separator/>
      </w:r>
    </w:p>
  </w:footnote>
  <w:footnote w:type="continuationSeparator" w:id="0">
    <w:p w14:paraId="0B866954" w14:textId="77777777" w:rsidR="004D7458" w:rsidRDefault="004D7458">
      <w:r>
        <w:continuationSeparator/>
      </w:r>
    </w:p>
  </w:footnote>
  <w:footnote w:id="1">
    <w:p w14:paraId="048F8360" w14:textId="77777777" w:rsidR="00A50EE3" w:rsidRDefault="00A50EE3">
      <w:pPr>
        <w:pStyle w:val="FootnoteText"/>
        <w:rPr>
          <w:rFonts w:ascii="Times New Roman" w:eastAsiaTheme="minorHAnsi" w:hAnsi="Times New Roman"/>
          <w:sz w:val="24"/>
          <w:szCs w:val="24"/>
        </w:rPr>
      </w:pPr>
      <w:r w:rsidRPr="006A565F">
        <w:rPr>
          <w:rStyle w:val="FootnoteReference"/>
          <w:rFonts w:ascii="Times New Roman" w:eastAsiaTheme="majorEastAsia" w:hAnsi="Times New Roman"/>
          <w:vertAlign w:val="superscript"/>
        </w:rPr>
        <w:footnoteRef/>
      </w:r>
      <w:r w:rsidRPr="006A565F">
        <w:rPr>
          <w:rFonts w:ascii="Times New Roman" w:hAnsi="Times New Roman"/>
        </w:rPr>
        <w:t xml:space="preserve"> Regulations at 29 CFR </w:t>
      </w:r>
      <w:proofErr w:type="gramStart"/>
      <w:r w:rsidRPr="006A565F">
        <w:rPr>
          <w:rFonts w:ascii="Times New Roman" w:hAnsi="Times New Roman"/>
        </w:rPr>
        <w:t>section</w:t>
      </w:r>
      <w:proofErr w:type="gramEnd"/>
      <w:r w:rsidRPr="006A565F">
        <w:rPr>
          <w:rFonts w:ascii="Times New Roman" w:hAnsi="Times New Roman"/>
        </w:rPr>
        <w:t xml:space="preserve"> 2570.30 to 2570.52 describe the procedures for applying for an administrative exemption under ERISA.</w:t>
      </w:r>
      <w:r w:rsidRPr="007F3F3C">
        <w:rPr>
          <w:rFonts w:ascii="Times New Roman" w:hAnsi="Times New Roman"/>
        </w:rPr>
        <w:t xml:space="preserve">  </w:t>
      </w:r>
      <w:r w:rsidRPr="006A565F">
        <w:rPr>
          <w:rFonts w:ascii="Times New Roman" w:hAnsi="Times New Roman"/>
        </w:rPr>
        <w:t>Code section 4975(c</w:t>
      </w:r>
      <w:proofErr w:type="gramStart"/>
      <w:r w:rsidRPr="006A565F">
        <w:rPr>
          <w:rFonts w:ascii="Times New Roman" w:hAnsi="Times New Roman"/>
        </w:rPr>
        <w:t>)(</w:t>
      </w:r>
      <w:proofErr w:type="gramEnd"/>
      <w:r w:rsidRPr="006A565F">
        <w:rPr>
          <w:rFonts w:ascii="Times New Roman" w:hAnsi="Times New Roman"/>
        </w:rPr>
        <w:t xml:space="preserve">2) authorizes the Secretary of the Treasury to grant exemptions from the parallel prohibited transaction provisions of the Code.  </w:t>
      </w:r>
      <w:r w:rsidRPr="006A565F">
        <w:rPr>
          <w:rFonts w:ascii="Times New Roman" w:eastAsiaTheme="minorHAnsi" w:hAnsi="Times New Roman"/>
        </w:rPr>
        <w:t>Reorganization Plan No. 4 of 1978 (5 U.S.C. app. at 214 (2000)) generally transferred the authority of the Secretary of the Treasury to issue administrative exemptions under Code section 4975 to the Secretary of Labor.</w:t>
      </w:r>
      <w:r w:rsidRPr="0078280B">
        <w:rPr>
          <w:rFonts w:ascii="Times New Roman" w:eastAsiaTheme="minorHAnsi" w:hAnsi="Times New Roman"/>
          <w:sz w:val="24"/>
          <w:szCs w:val="24"/>
        </w:rPr>
        <w:t xml:space="preserve">  </w:t>
      </w:r>
    </w:p>
  </w:footnote>
  <w:footnote w:id="2">
    <w:p w14:paraId="10AFA483" w14:textId="77777777" w:rsidR="00A50EE3" w:rsidRPr="00A21814" w:rsidRDefault="00A50EE3" w:rsidP="008E0D61">
      <w:pPr>
        <w:pStyle w:val="FootnoteText"/>
        <w:rPr>
          <w:rFonts w:ascii="Times New Roman" w:hAnsi="Times New Roman"/>
        </w:rPr>
      </w:pPr>
      <w:r w:rsidRPr="00612F60">
        <w:rPr>
          <w:rStyle w:val="FootnoteReference"/>
          <w:rFonts w:ascii="Times New Roman" w:hAnsi="Times New Roman"/>
          <w:vertAlign w:val="superscript"/>
        </w:rPr>
        <w:footnoteRef/>
      </w:r>
      <w:r w:rsidRPr="00A21814">
        <w:rPr>
          <w:rFonts w:ascii="Times New Roman" w:hAnsi="Times New Roman"/>
        </w:rPr>
        <w:t xml:space="preserve"> According to a</w:t>
      </w:r>
      <w:r>
        <w:rPr>
          <w:rFonts w:ascii="Times New Roman" w:hAnsi="Times New Roman"/>
        </w:rPr>
        <w:t>n</w:t>
      </w:r>
      <w:r w:rsidRPr="00A21814">
        <w:rPr>
          <w:rFonts w:ascii="Times New Roman" w:hAnsi="Times New Roman"/>
        </w:rPr>
        <w:t xml:space="preserve"> analysis of Form 5500 Schedule C data </w:t>
      </w:r>
      <w:r>
        <w:rPr>
          <w:rFonts w:ascii="Times New Roman" w:hAnsi="Times New Roman"/>
        </w:rPr>
        <w:t xml:space="preserve">conducted by </w:t>
      </w:r>
      <w:proofErr w:type="spellStart"/>
      <w:r>
        <w:rPr>
          <w:rFonts w:ascii="Times New Roman" w:hAnsi="Times New Roman"/>
        </w:rPr>
        <w:t>Brightscope</w:t>
      </w:r>
      <w:proofErr w:type="spellEnd"/>
      <w:r>
        <w:rPr>
          <w:rFonts w:ascii="Times New Roman" w:hAnsi="Times New Roman"/>
        </w:rPr>
        <w:t xml:space="preserve">, Inc. and </w:t>
      </w:r>
      <w:r w:rsidRPr="00A21814">
        <w:rPr>
          <w:rFonts w:ascii="Times New Roman" w:hAnsi="Times New Roman"/>
        </w:rPr>
        <w:t>provided to the Department, 66,962 plans reported advisers in 2012, 22,302 plans changed advisers from 2012 to 2013, and 16,196 plans changed advisers from 2013 to 2014.  [(22,302 + 16,196)/2] / 66,962 = 28.7 percent</w:t>
      </w:r>
    </w:p>
  </w:footnote>
  <w:footnote w:id="3">
    <w:p w14:paraId="3D46F6A1"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2012 </w:t>
      </w:r>
      <w:proofErr w:type="spellStart"/>
      <w:r w:rsidRPr="00541BBA">
        <w:rPr>
          <w:rFonts w:ascii="Times New Roman" w:hAnsi="Times New Roman"/>
        </w:rPr>
        <w:t>Cerulli</w:t>
      </w:r>
      <w:proofErr w:type="spellEnd"/>
      <w:r w:rsidRPr="00541BBA">
        <w:rPr>
          <w:rFonts w:ascii="Times New Roman" w:hAnsi="Times New Roman"/>
        </w:rPr>
        <w:t xml:space="preserve"> data shows that 20 percent of households opened a new account as a result of a new contact. See page 118 of Retail Investor Advice Relationships 2012.</w:t>
      </w:r>
    </w:p>
  </w:footnote>
  <w:footnote w:id="4">
    <w:p w14:paraId="66704B70" w14:textId="77777777" w:rsidR="00A50EE3" w:rsidRPr="00ED5305" w:rsidRDefault="00A50EE3">
      <w:pPr>
        <w:pStyle w:val="FootnoteText"/>
        <w:rPr>
          <w:rFonts w:ascii="Times New Roman" w:hAnsi="Times New Roman"/>
        </w:rPr>
      </w:pPr>
      <w:r w:rsidRPr="00ED5305">
        <w:rPr>
          <w:rStyle w:val="FootnoteReference"/>
          <w:rFonts w:ascii="Times New Roman" w:hAnsi="Times New Roman"/>
          <w:vertAlign w:val="superscript"/>
        </w:rPr>
        <w:footnoteRef/>
      </w:r>
      <w:r w:rsidRPr="00ED5305">
        <w:rPr>
          <w:rFonts w:ascii="Times New Roman" w:hAnsi="Times New Roman"/>
        </w:rPr>
        <w:t xml:space="preserve"> The burden for </w:t>
      </w:r>
      <w:r>
        <w:rPr>
          <w:rFonts w:ascii="Times New Roman" w:hAnsi="Times New Roman"/>
        </w:rPr>
        <w:t xml:space="preserve">the </w:t>
      </w:r>
      <w:r w:rsidRPr="00ED5305">
        <w:rPr>
          <w:rFonts w:ascii="Times New Roman" w:hAnsi="Times New Roman"/>
        </w:rPr>
        <w:t>disclosures required for advisers recommending proprietary products</w:t>
      </w:r>
      <w:r>
        <w:rPr>
          <w:rFonts w:ascii="Times New Roman" w:hAnsi="Times New Roman"/>
        </w:rPr>
        <w:t xml:space="preserve"> as part of a limited investment menu, as required in Section IV,</w:t>
      </w:r>
      <w:r w:rsidRPr="00ED5305">
        <w:rPr>
          <w:rFonts w:ascii="Times New Roman" w:hAnsi="Times New Roman"/>
        </w:rPr>
        <w:t xml:space="preserve"> is included in the estimates for this disclosure.</w:t>
      </w:r>
    </w:p>
  </w:footnote>
  <w:footnote w:id="5">
    <w:p w14:paraId="7D0AF66E"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According to data from the National Telecommunications and Information Agency (NTIA), 33.4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28.1 percent receiving electronic disclosure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 overall</w:t>
      </w:r>
    </w:p>
  </w:footnote>
  <w:footnote w:id="6">
    <w:p w14:paraId="289CC5A2"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According to data from the NTIA, 72.4 percent of individuals age 25 and older have access to the internet.  According to a Pew Research Center survey, 61 percent of internet users use online banking, which is used as the proxy for the number of internet users who will opt in for electronic disclosure.  Combining these data produces an estimate of 44.1 percent of individuals who will receive electronic disclosures.</w:t>
      </w:r>
    </w:p>
  </w:footnote>
  <w:footnote w:id="7">
    <w:p w14:paraId="2156B271"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15,000</w:t>
      </w:r>
      <w:r w:rsidRPr="00541BBA">
        <w:rPr>
          <w:rFonts w:ascii="Times New Roman" w:hAnsi="Times New Roman"/>
        </w:rPr>
        <w:t xml:space="preserve"> ERISA Plan Investors x 48.2 percent paper) + (</w:t>
      </w:r>
      <w:r>
        <w:rPr>
          <w:rFonts w:ascii="Times New Roman" w:hAnsi="Times New Roman"/>
        </w:rPr>
        <w:t>212,000</w:t>
      </w:r>
      <w:r w:rsidRPr="00541BBA">
        <w:rPr>
          <w:rFonts w:ascii="Times New Roman" w:hAnsi="Times New Roman"/>
        </w:rPr>
        <w:t xml:space="preserve"> IRA</w:t>
      </w:r>
      <w:r>
        <w:rPr>
          <w:rFonts w:ascii="Times New Roman" w:hAnsi="Times New Roman"/>
        </w:rPr>
        <w:t>s</w:t>
      </w:r>
      <w:r w:rsidRPr="00541BBA">
        <w:rPr>
          <w:rFonts w:ascii="Times New Roman" w:hAnsi="Times New Roman"/>
        </w:rPr>
        <w:t xml:space="preserve"> and non-ERISA Plan Investors x 55.9 percent paper</w:t>
      </w:r>
      <w:r>
        <w:rPr>
          <w:rFonts w:ascii="Times New Roman" w:hAnsi="Times New Roman"/>
        </w:rPr>
        <w:t>)</w:t>
      </w:r>
      <w:r w:rsidRPr="00541BBA">
        <w:rPr>
          <w:rFonts w:ascii="Times New Roman" w:hAnsi="Times New Roman"/>
        </w:rPr>
        <w:t xml:space="preserve"> = </w:t>
      </w:r>
      <w:r>
        <w:rPr>
          <w:rFonts w:ascii="Times New Roman" w:hAnsi="Times New Roman"/>
        </w:rPr>
        <w:t>126,000</w:t>
      </w:r>
      <w:r w:rsidRPr="00541BBA">
        <w:rPr>
          <w:rFonts w:ascii="Times New Roman" w:hAnsi="Times New Roman"/>
        </w:rPr>
        <w:t xml:space="preserve"> </w:t>
      </w:r>
      <w:r>
        <w:rPr>
          <w:rFonts w:ascii="Times New Roman" w:hAnsi="Times New Roman"/>
        </w:rPr>
        <w:t xml:space="preserve">paper </w:t>
      </w:r>
      <w:r w:rsidRPr="00541BBA">
        <w:rPr>
          <w:rFonts w:ascii="Times New Roman" w:hAnsi="Times New Roman"/>
        </w:rPr>
        <w:t>transition disclosures</w:t>
      </w:r>
    </w:p>
  </w:footnote>
  <w:footnote w:id="8">
    <w:p w14:paraId="160863AF" w14:textId="77777777" w:rsidR="00A50EE3" w:rsidRPr="00C40304" w:rsidRDefault="00A50EE3">
      <w:pPr>
        <w:pStyle w:val="FootnoteText"/>
        <w:rPr>
          <w:rFonts w:ascii="Times New Roman" w:hAnsi="Times New Roman"/>
        </w:rPr>
      </w:pPr>
      <w:r w:rsidRPr="00C40304">
        <w:rPr>
          <w:rStyle w:val="FootnoteReference"/>
          <w:rFonts w:ascii="Times New Roman" w:hAnsi="Times New Roman"/>
          <w:vertAlign w:val="superscript"/>
        </w:rPr>
        <w:footnoteRef/>
      </w:r>
      <w:r w:rsidRPr="00C40304">
        <w:rPr>
          <w:rFonts w:ascii="Times New Roman" w:hAnsi="Times New Roman"/>
        </w:rPr>
        <w:t xml:space="preserve"> For a description of the Department’s methodology for calculating wage rates, see </w:t>
      </w:r>
      <w:r w:rsidRPr="006E799E">
        <w:rPr>
          <w:rFonts w:ascii="Times New Roman" w:hAnsi="Times New Roman"/>
        </w:rPr>
        <w:t>http://www.dol.gov/ebsa/pdf/labor-cost-inputs-used-in-ebsa-opr-ria-and-pra-burden-calculations-</w:t>
      </w:r>
      <w:r>
        <w:rPr>
          <w:rFonts w:ascii="Times New Roman" w:hAnsi="Times New Roman"/>
        </w:rPr>
        <w:t>august</w:t>
      </w:r>
      <w:r w:rsidRPr="006E799E">
        <w:rPr>
          <w:rFonts w:ascii="Times New Roman" w:hAnsi="Times New Roman"/>
        </w:rPr>
        <w:t>-2016.pdf</w:t>
      </w:r>
      <w:r w:rsidRPr="00C40304">
        <w:rPr>
          <w:rFonts w:ascii="Times New Roman" w:hAnsi="Times New Roman"/>
        </w:rPr>
        <w:t>.</w:t>
      </w:r>
    </w:p>
  </w:footnote>
  <w:footnote w:id="9">
    <w:p w14:paraId="5AE4E0C0"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126,000</w:t>
      </w:r>
      <w:r w:rsidRPr="00541BBA">
        <w:rPr>
          <w:rFonts w:ascii="Times New Roman" w:hAnsi="Times New Roman"/>
        </w:rPr>
        <w:t xml:space="preserve"> paper </w:t>
      </w:r>
      <w:r>
        <w:rPr>
          <w:rFonts w:ascii="Times New Roman" w:hAnsi="Times New Roman"/>
        </w:rPr>
        <w:t xml:space="preserve">transition </w:t>
      </w:r>
      <w:r w:rsidRPr="00541BBA">
        <w:rPr>
          <w:rFonts w:ascii="Times New Roman" w:hAnsi="Times New Roman"/>
        </w:rPr>
        <w:t xml:space="preserve">disclosures x 2 minutes per disclosure = </w:t>
      </w:r>
      <w:r>
        <w:rPr>
          <w:rFonts w:ascii="Times New Roman" w:hAnsi="Times New Roman"/>
        </w:rPr>
        <w:t>4</w:t>
      </w:r>
      <w:r w:rsidRPr="00541BBA">
        <w:rPr>
          <w:rFonts w:ascii="Times New Roman" w:hAnsi="Times New Roman"/>
        </w:rPr>
        <w:t>,000 hours</w:t>
      </w:r>
    </w:p>
  </w:footnote>
  <w:footnote w:id="10">
    <w:p w14:paraId="198F1E16"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4</w:t>
      </w:r>
      <w:r w:rsidRPr="00541BBA">
        <w:rPr>
          <w:rFonts w:ascii="Times New Roman" w:hAnsi="Times New Roman"/>
        </w:rPr>
        <w:t>,000 hours x $5</w:t>
      </w:r>
      <w:r>
        <w:rPr>
          <w:rFonts w:ascii="Times New Roman" w:hAnsi="Times New Roman"/>
        </w:rPr>
        <w:t>4.74</w:t>
      </w:r>
      <w:r w:rsidRPr="00541BBA">
        <w:rPr>
          <w:rFonts w:ascii="Times New Roman" w:hAnsi="Times New Roman"/>
        </w:rPr>
        <w:t xml:space="preserve"> per hour </w:t>
      </w:r>
      <w:r>
        <w:rPr>
          <w:rFonts w:ascii="Times New Roman" w:hAnsi="Times New Roman"/>
        </w:rPr>
        <w:t>=</w:t>
      </w:r>
      <w:r w:rsidRPr="00541BBA">
        <w:rPr>
          <w:rFonts w:ascii="Times New Roman" w:hAnsi="Times New Roman"/>
        </w:rPr>
        <w:t xml:space="preserve"> $</w:t>
      </w:r>
      <w:r>
        <w:rPr>
          <w:rFonts w:ascii="Times New Roman" w:hAnsi="Times New Roman"/>
        </w:rPr>
        <w:t>230,000</w:t>
      </w:r>
    </w:p>
  </w:footnote>
  <w:footnote w:id="11">
    <w:p w14:paraId="228200E5" w14:textId="77777777" w:rsidR="00A50EE3" w:rsidRPr="00FA3A54" w:rsidRDefault="00A50EE3" w:rsidP="008E0D61">
      <w:pPr>
        <w:pStyle w:val="FootnoteText"/>
        <w:rPr>
          <w:rFonts w:ascii="Times New Roman" w:hAnsi="Times New Roman"/>
        </w:rPr>
      </w:pPr>
      <w:r w:rsidRPr="00FA3A54">
        <w:rPr>
          <w:rStyle w:val="FootnoteReference"/>
          <w:rFonts w:ascii="Times New Roman" w:hAnsi="Times New Roman"/>
          <w:vertAlign w:val="superscript"/>
        </w:rPr>
        <w:footnoteRef/>
      </w:r>
      <w:r w:rsidRPr="00FA3A54">
        <w:rPr>
          <w:rFonts w:ascii="Times New Roman" w:hAnsi="Times New Roman"/>
        </w:rPr>
        <w:t xml:space="preserve"> </w:t>
      </w:r>
      <w:r>
        <w:rPr>
          <w:rFonts w:ascii="Times New Roman" w:hAnsi="Times New Roman"/>
        </w:rPr>
        <w:t xml:space="preserve">15,000 </w:t>
      </w:r>
      <w:r w:rsidRPr="00FA3A54">
        <w:rPr>
          <w:rFonts w:ascii="Times New Roman" w:hAnsi="Times New Roman"/>
        </w:rPr>
        <w:t xml:space="preserve">ERISA Plan Investors x 28.7 percent entering new advisory relationships = </w:t>
      </w:r>
      <w:r>
        <w:rPr>
          <w:rFonts w:ascii="Times New Roman" w:hAnsi="Times New Roman"/>
        </w:rPr>
        <w:t>4</w:t>
      </w:r>
      <w:r w:rsidRPr="00FA3A54">
        <w:rPr>
          <w:rFonts w:ascii="Times New Roman" w:hAnsi="Times New Roman"/>
        </w:rPr>
        <w:t xml:space="preserve">,000 ERISA Plan Investors entering new relationships with advisers </w:t>
      </w:r>
    </w:p>
  </w:footnote>
  <w:footnote w:id="12">
    <w:p w14:paraId="70690EEE" w14:textId="77777777" w:rsidR="00A50EE3" w:rsidRPr="00206567" w:rsidRDefault="00A50EE3" w:rsidP="008E0D61">
      <w:pPr>
        <w:pStyle w:val="FootnoteText"/>
        <w:rPr>
          <w:rFonts w:ascii="Times New Roman" w:hAnsi="Times New Roman"/>
        </w:rPr>
      </w:pPr>
      <w:r w:rsidRPr="00206567">
        <w:rPr>
          <w:rStyle w:val="FootnoteReference"/>
          <w:rFonts w:ascii="Times New Roman" w:hAnsi="Times New Roman"/>
          <w:vertAlign w:val="superscript"/>
        </w:rPr>
        <w:footnoteRef/>
      </w:r>
      <w:r w:rsidRPr="00206567">
        <w:rPr>
          <w:rFonts w:ascii="Times New Roman" w:hAnsi="Times New Roman"/>
        </w:rPr>
        <w:t xml:space="preserve"> </w:t>
      </w:r>
      <w:r>
        <w:rPr>
          <w:rFonts w:ascii="Times New Roman" w:hAnsi="Times New Roman"/>
        </w:rPr>
        <w:t>212,000</w:t>
      </w:r>
      <w:r w:rsidRPr="00206567">
        <w:rPr>
          <w:rFonts w:ascii="Times New Roman" w:hAnsi="Times New Roman"/>
        </w:rPr>
        <w:t xml:space="preserve"> IRAs and non-ERISA Plan Investors x 20 percent entering new advisory relationships = </w:t>
      </w:r>
      <w:r>
        <w:rPr>
          <w:rFonts w:ascii="Times New Roman" w:hAnsi="Times New Roman"/>
        </w:rPr>
        <w:t>42,000</w:t>
      </w:r>
      <w:r w:rsidRPr="00206567">
        <w:rPr>
          <w:rFonts w:ascii="Times New Roman" w:hAnsi="Times New Roman"/>
        </w:rPr>
        <w:t xml:space="preserve"> IRAs and non-ERISA Plan Investors entering new relationships with advisers</w:t>
      </w:r>
    </w:p>
  </w:footnote>
  <w:footnote w:id="13">
    <w:p w14:paraId="096EB414"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15,000</w:t>
      </w:r>
      <w:r w:rsidRPr="00541BBA">
        <w:rPr>
          <w:rFonts w:ascii="Times New Roman" w:hAnsi="Times New Roman"/>
        </w:rPr>
        <w:t xml:space="preserve"> ERISA Plan Investors x 48.2 percent paper) + (</w:t>
      </w:r>
      <w:r>
        <w:rPr>
          <w:rFonts w:ascii="Times New Roman" w:hAnsi="Times New Roman"/>
        </w:rPr>
        <w:t>212,000</w:t>
      </w:r>
      <w:r w:rsidRPr="00541BBA">
        <w:rPr>
          <w:rFonts w:ascii="Times New Roman" w:hAnsi="Times New Roman"/>
        </w:rPr>
        <w:t xml:space="preserve"> IRA</w:t>
      </w:r>
      <w:r>
        <w:rPr>
          <w:rFonts w:ascii="Times New Roman" w:hAnsi="Times New Roman"/>
        </w:rPr>
        <w:t>s</w:t>
      </w:r>
      <w:r w:rsidRPr="00541BBA">
        <w:rPr>
          <w:rFonts w:ascii="Times New Roman" w:hAnsi="Times New Roman"/>
        </w:rPr>
        <w:t xml:space="preserve"> and non-ERISA Plan Investors x 55.9 percent paper</w:t>
      </w:r>
      <w:r>
        <w:rPr>
          <w:rFonts w:ascii="Times New Roman" w:hAnsi="Times New Roman"/>
        </w:rPr>
        <w:t xml:space="preserve">) </w:t>
      </w:r>
      <w:r w:rsidRPr="00541BBA">
        <w:rPr>
          <w:rFonts w:ascii="Times New Roman" w:hAnsi="Times New Roman"/>
        </w:rPr>
        <w:t xml:space="preserve"> = </w:t>
      </w:r>
      <w:r>
        <w:rPr>
          <w:rFonts w:ascii="Times New Roman" w:hAnsi="Times New Roman"/>
        </w:rPr>
        <w:t>126,000</w:t>
      </w:r>
      <w:r w:rsidRPr="00541BBA">
        <w:rPr>
          <w:rFonts w:ascii="Times New Roman" w:hAnsi="Times New Roman"/>
        </w:rPr>
        <w:t xml:space="preserve"> paper contract disclosures and contracts</w:t>
      </w:r>
    </w:p>
  </w:footnote>
  <w:footnote w:id="14">
    <w:p w14:paraId="76FF213A"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4</w:t>
      </w:r>
      <w:r w:rsidRPr="00541BBA">
        <w:rPr>
          <w:rFonts w:ascii="Times New Roman" w:hAnsi="Times New Roman"/>
        </w:rPr>
        <w:t>,000 ERISA Plan Investors x 48.2 percent paper) + (</w:t>
      </w:r>
      <w:r>
        <w:rPr>
          <w:rFonts w:ascii="Times New Roman" w:hAnsi="Times New Roman"/>
        </w:rPr>
        <w:t>42,000</w:t>
      </w:r>
      <w:r w:rsidRPr="00541BBA">
        <w:rPr>
          <w:rFonts w:ascii="Times New Roman" w:hAnsi="Times New Roman"/>
        </w:rPr>
        <w:t xml:space="preserve"> IRAs and non-ERISA Plan Investors x 55.9 percent paper) = </w:t>
      </w:r>
      <w:r>
        <w:rPr>
          <w:rFonts w:ascii="Times New Roman" w:hAnsi="Times New Roman"/>
        </w:rPr>
        <w:t>26,000</w:t>
      </w:r>
      <w:r w:rsidRPr="00541BBA">
        <w:rPr>
          <w:rFonts w:ascii="Times New Roman" w:hAnsi="Times New Roman"/>
        </w:rPr>
        <w:t xml:space="preserve"> paper contract disclosures and contracts</w:t>
      </w:r>
    </w:p>
  </w:footnote>
  <w:footnote w:id="15">
    <w:p w14:paraId="34AAB697"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126,000</w:t>
      </w:r>
      <w:r w:rsidRPr="00541BBA">
        <w:rPr>
          <w:rFonts w:ascii="Times New Roman" w:hAnsi="Times New Roman"/>
        </w:rPr>
        <w:t xml:space="preserve"> paper contract disclosures and contracts x 2 minutes per contract or disclosure = </w:t>
      </w:r>
      <w:r>
        <w:rPr>
          <w:rFonts w:ascii="Times New Roman" w:hAnsi="Times New Roman"/>
        </w:rPr>
        <w:t>4</w:t>
      </w:r>
      <w:r w:rsidRPr="00541BBA">
        <w:rPr>
          <w:rFonts w:ascii="Times New Roman" w:hAnsi="Times New Roman"/>
        </w:rPr>
        <w:t>,000 hours</w:t>
      </w:r>
    </w:p>
  </w:footnote>
  <w:footnote w:id="16">
    <w:p w14:paraId="142B96E6"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4</w:t>
      </w:r>
      <w:r w:rsidRPr="00541BBA">
        <w:rPr>
          <w:rFonts w:ascii="Times New Roman" w:hAnsi="Times New Roman"/>
        </w:rPr>
        <w:t>,000 hours x $5</w:t>
      </w:r>
      <w:r>
        <w:rPr>
          <w:rFonts w:ascii="Times New Roman" w:hAnsi="Times New Roman"/>
        </w:rPr>
        <w:t>4.74</w:t>
      </w:r>
      <w:r w:rsidRPr="00541BBA">
        <w:rPr>
          <w:rFonts w:ascii="Times New Roman" w:hAnsi="Times New Roman"/>
        </w:rPr>
        <w:t xml:space="preserve"> per hour = $</w:t>
      </w:r>
      <w:r>
        <w:rPr>
          <w:rFonts w:ascii="Times New Roman" w:hAnsi="Times New Roman"/>
        </w:rPr>
        <w:t>230,000</w:t>
      </w:r>
    </w:p>
  </w:footnote>
  <w:footnote w:id="17">
    <w:p w14:paraId="6748B970"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26,000</w:t>
      </w:r>
      <w:r w:rsidRPr="00541BBA">
        <w:rPr>
          <w:rFonts w:ascii="Times New Roman" w:hAnsi="Times New Roman"/>
        </w:rPr>
        <w:t xml:space="preserve"> paper contract disclosures and contracts x 2 minutes per contract or disclosure = </w:t>
      </w:r>
      <w:r>
        <w:rPr>
          <w:rFonts w:ascii="Times New Roman" w:hAnsi="Times New Roman"/>
        </w:rPr>
        <w:t>900</w:t>
      </w:r>
      <w:r w:rsidRPr="00541BBA">
        <w:rPr>
          <w:rFonts w:ascii="Times New Roman" w:hAnsi="Times New Roman"/>
        </w:rPr>
        <w:t xml:space="preserve"> hours</w:t>
      </w:r>
    </w:p>
  </w:footnote>
  <w:footnote w:id="18">
    <w:p w14:paraId="6BFEED41" w14:textId="77777777" w:rsidR="00A50EE3" w:rsidRPr="00541BBA" w:rsidRDefault="00A50EE3" w:rsidP="008E0D61">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900</w:t>
      </w:r>
      <w:r w:rsidRPr="00541BBA">
        <w:rPr>
          <w:rFonts w:ascii="Times New Roman" w:hAnsi="Times New Roman"/>
        </w:rPr>
        <w:t xml:space="preserve"> hours x $5</w:t>
      </w:r>
      <w:r>
        <w:rPr>
          <w:rFonts w:ascii="Times New Roman" w:hAnsi="Times New Roman"/>
        </w:rPr>
        <w:t>4.74</w:t>
      </w:r>
      <w:r w:rsidRPr="00541BBA">
        <w:rPr>
          <w:rFonts w:ascii="Times New Roman" w:hAnsi="Times New Roman"/>
        </w:rPr>
        <w:t xml:space="preserve"> per hour = $</w:t>
      </w:r>
      <w:r>
        <w:rPr>
          <w:rFonts w:ascii="Times New Roman" w:hAnsi="Times New Roman"/>
        </w:rPr>
        <w:t>47,000</w:t>
      </w:r>
    </w:p>
  </w:footnote>
  <w:footnote w:id="19">
    <w:p w14:paraId="2DE0C236" w14:textId="77777777" w:rsidR="00A50EE3" w:rsidRPr="00B53087" w:rsidRDefault="00A50EE3" w:rsidP="008E0D61">
      <w:pPr>
        <w:pStyle w:val="FootnoteText"/>
        <w:rPr>
          <w:rFonts w:ascii="Times New Roman" w:hAnsi="Times New Roman"/>
        </w:rPr>
      </w:pPr>
      <w:r w:rsidRPr="00B53087">
        <w:rPr>
          <w:rStyle w:val="FootnoteReference"/>
          <w:rFonts w:ascii="Times New Roman" w:hAnsi="Times New Roman"/>
          <w:vertAlign w:val="superscript"/>
        </w:rPr>
        <w:footnoteRef/>
      </w:r>
      <w:r w:rsidRPr="00B53087">
        <w:rPr>
          <w:rFonts w:ascii="Times New Roman" w:hAnsi="Times New Roman"/>
        </w:rPr>
        <w:t xml:space="preserve"> </w:t>
      </w:r>
      <w:r w:rsidRPr="006B0A93">
        <w:rPr>
          <w:rFonts w:ascii="Times New Roman" w:hAnsi="Times New Roman"/>
        </w:rPr>
        <w:t>(15,000 ERISA Plan Investors x 48.2 percent paper) + (212,000 IRAs and non-ERISA Plan Investors x 55.9 percent paper)  = 126,000</w:t>
      </w:r>
      <w:r w:rsidRPr="00C871F3">
        <w:rPr>
          <w:rFonts w:ascii="Times New Roman" w:hAnsi="Times New Roman"/>
        </w:rPr>
        <w:t xml:space="preserve"> </w:t>
      </w:r>
      <w:r>
        <w:rPr>
          <w:rFonts w:ascii="Times New Roman" w:hAnsi="Times New Roman"/>
        </w:rPr>
        <w:t xml:space="preserve">paper </w:t>
      </w:r>
      <w:r w:rsidRPr="00C871F3">
        <w:rPr>
          <w:rFonts w:ascii="Times New Roman" w:hAnsi="Times New Roman"/>
        </w:rPr>
        <w:t>pre-transaction disclosures</w:t>
      </w:r>
    </w:p>
  </w:footnote>
  <w:footnote w:id="20">
    <w:p w14:paraId="2287652A" w14:textId="77777777" w:rsidR="00A50EE3" w:rsidRPr="00AC27CD" w:rsidRDefault="00A50EE3" w:rsidP="008E0D61">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w:t>
      </w:r>
      <w:r>
        <w:rPr>
          <w:rFonts w:ascii="Times New Roman" w:hAnsi="Times New Roman"/>
        </w:rPr>
        <w:t>126,000</w:t>
      </w:r>
      <w:r w:rsidRPr="00AC27CD">
        <w:rPr>
          <w:rFonts w:ascii="Times New Roman" w:hAnsi="Times New Roman"/>
        </w:rPr>
        <w:t xml:space="preserve"> paper </w:t>
      </w:r>
      <w:r>
        <w:rPr>
          <w:rFonts w:ascii="Times New Roman" w:hAnsi="Times New Roman"/>
        </w:rPr>
        <w:t>pre-transaction</w:t>
      </w:r>
      <w:r w:rsidRPr="00AC27CD">
        <w:rPr>
          <w:rFonts w:ascii="Times New Roman" w:hAnsi="Times New Roman"/>
        </w:rPr>
        <w:t xml:space="preserve"> disclosures x 2 minutes per disclosure = </w:t>
      </w:r>
      <w:r>
        <w:rPr>
          <w:rFonts w:ascii="Times New Roman" w:hAnsi="Times New Roman"/>
        </w:rPr>
        <w:t>4,000</w:t>
      </w:r>
      <w:r w:rsidRPr="00AC27CD">
        <w:rPr>
          <w:rFonts w:ascii="Times New Roman" w:hAnsi="Times New Roman"/>
        </w:rPr>
        <w:t xml:space="preserve"> hours</w:t>
      </w:r>
    </w:p>
  </w:footnote>
  <w:footnote w:id="21">
    <w:p w14:paraId="3F40C40A" w14:textId="77777777" w:rsidR="00A50EE3" w:rsidRPr="00AC27CD" w:rsidRDefault="00A50EE3" w:rsidP="008E0D61">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w:t>
      </w:r>
      <w:r>
        <w:rPr>
          <w:rFonts w:ascii="Times New Roman" w:hAnsi="Times New Roman"/>
        </w:rPr>
        <w:t>4,000</w:t>
      </w:r>
      <w:r w:rsidRPr="00AC27CD">
        <w:rPr>
          <w:rFonts w:ascii="Times New Roman" w:hAnsi="Times New Roman"/>
        </w:rPr>
        <w:t xml:space="preserve"> hours x $5</w:t>
      </w:r>
      <w:r>
        <w:rPr>
          <w:rFonts w:ascii="Times New Roman" w:hAnsi="Times New Roman"/>
        </w:rPr>
        <w:t>4.74</w:t>
      </w:r>
      <w:r w:rsidRPr="00AC27CD">
        <w:rPr>
          <w:rFonts w:ascii="Times New Roman" w:hAnsi="Times New Roman"/>
        </w:rPr>
        <w:t xml:space="preserve"> per hour = $</w:t>
      </w:r>
      <w:r>
        <w:rPr>
          <w:rFonts w:ascii="Times New Roman" w:hAnsi="Times New Roman"/>
        </w:rPr>
        <w:t>230,000</w:t>
      </w:r>
    </w:p>
  </w:footnote>
  <w:footnote w:id="22">
    <w:p w14:paraId="32AD8DEC" w14:textId="0AA330C7" w:rsidR="00A50EE3" w:rsidRPr="00C812D5" w:rsidRDefault="00A50EE3" w:rsidP="008E0D61">
      <w:pPr>
        <w:pStyle w:val="FootnoteText"/>
        <w:rPr>
          <w:rFonts w:ascii="Times New Roman" w:hAnsi="Times New Roman"/>
        </w:rPr>
      </w:pPr>
      <w:r w:rsidRPr="00C812D5">
        <w:rPr>
          <w:rStyle w:val="FootnoteReference"/>
          <w:rFonts w:ascii="Times New Roman" w:hAnsi="Times New Roman"/>
          <w:vertAlign w:val="superscript"/>
        </w:rPr>
        <w:footnoteRef/>
      </w:r>
      <w:r w:rsidRPr="00C812D5">
        <w:rPr>
          <w:rFonts w:ascii="Times New Roman" w:hAnsi="Times New Roman"/>
        </w:rPr>
        <w:t xml:space="preserve"> </w:t>
      </w:r>
      <w:r>
        <w:rPr>
          <w:rFonts w:ascii="Times New Roman" w:hAnsi="Times New Roman"/>
        </w:rPr>
        <w:t>(</w:t>
      </w:r>
      <w:r w:rsidR="00282968">
        <w:rPr>
          <w:rFonts w:ascii="Times New Roman" w:hAnsi="Times New Roman"/>
        </w:rPr>
        <w:t>19</w:t>
      </w:r>
      <w:r w:rsidRPr="00C812D5">
        <w:rPr>
          <w:rFonts w:ascii="Times New Roman" w:hAnsi="Times New Roman"/>
        </w:rPr>
        <w:t xml:space="preserve"> </w:t>
      </w:r>
      <w:r>
        <w:rPr>
          <w:rFonts w:ascii="Times New Roman" w:hAnsi="Times New Roman"/>
        </w:rPr>
        <w:t>IMOs</w:t>
      </w:r>
      <w:r w:rsidRPr="00C812D5">
        <w:rPr>
          <w:rFonts w:ascii="Times New Roman" w:hAnsi="Times New Roman"/>
        </w:rPr>
        <w:t xml:space="preserve"> using exemption x 10 requests per</w:t>
      </w:r>
      <w:r>
        <w:rPr>
          <w:rFonts w:ascii="Times New Roman" w:hAnsi="Times New Roman"/>
        </w:rPr>
        <w:t xml:space="preserve"> year) *((</w:t>
      </w:r>
      <w:r w:rsidRPr="00C871F3">
        <w:rPr>
          <w:rFonts w:ascii="Times New Roman" w:hAnsi="Times New Roman"/>
        </w:rPr>
        <w:t xml:space="preserve">9,000 DB plans x </w:t>
      </w:r>
      <w:r>
        <w:rPr>
          <w:rFonts w:ascii="Times New Roman" w:hAnsi="Times New Roman"/>
        </w:rPr>
        <w:t>48.2 percent paper</w:t>
      </w:r>
      <w:r w:rsidRPr="00C871F3">
        <w:rPr>
          <w:rFonts w:ascii="Times New Roman" w:hAnsi="Times New Roman"/>
        </w:rPr>
        <w:t>) + (</w:t>
      </w:r>
      <w:r>
        <w:rPr>
          <w:rFonts w:ascii="Times New Roman" w:hAnsi="Times New Roman"/>
        </w:rPr>
        <w:t>2</w:t>
      </w:r>
      <w:r w:rsidRPr="00C871F3">
        <w:rPr>
          <w:rFonts w:ascii="Times New Roman" w:hAnsi="Times New Roman"/>
        </w:rPr>
        <w:t xml:space="preserve">9,000 DC plans x </w:t>
      </w:r>
      <w:r>
        <w:rPr>
          <w:rFonts w:ascii="Times New Roman" w:hAnsi="Times New Roman"/>
        </w:rPr>
        <w:t>48.2 percent paper</w:t>
      </w:r>
      <w:r w:rsidRPr="00C871F3">
        <w:rPr>
          <w:rFonts w:ascii="Times New Roman" w:hAnsi="Times New Roman"/>
        </w:rPr>
        <w:t xml:space="preserve">) + </w:t>
      </w:r>
      <w:r>
        <w:rPr>
          <w:rFonts w:ascii="Times New Roman" w:hAnsi="Times New Roman"/>
        </w:rPr>
        <w:t>(</w:t>
      </w:r>
      <w:r w:rsidRPr="00C871F3">
        <w:rPr>
          <w:rFonts w:ascii="Times New Roman" w:hAnsi="Times New Roman"/>
        </w:rPr>
        <w:t>1.</w:t>
      </w:r>
      <w:r>
        <w:rPr>
          <w:rFonts w:ascii="Times New Roman" w:hAnsi="Times New Roman"/>
        </w:rPr>
        <w:t>1</w:t>
      </w:r>
      <w:r w:rsidRPr="00C871F3">
        <w:rPr>
          <w:rFonts w:ascii="Times New Roman" w:hAnsi="Times New Roman"/>
        </w:rPr>
        <w:t xml:space="preserve"> million DC plan participants </w:t>
      </w:r>
      <w:r>
        <w:rPr>
          <w:rFonts w:ascii="Times New Roman" w:hAnsi="Times New Roman"/>
        </w:rPr>
        <w:t>x 48.2 percent paper</w:t>
      </w:r>
      <w:r w:rsidRPr="00C871F3">
        <w:rPr>
          <w:rFonts w:ascii="Times New Roman" w:hAnsi="Times New Roman"/>
        </w:rPr>
        <w:t>) + (2</w:t>
      </w:r>
      <w:r>
        <w:rPr>
          <w:rFonts w:ascii="Times New Roman" w:hAnsi="Times New Roman"/>
        </w:rPr>
        <w:t>9.9</w:t>
      </w:r>
      <w:r w:rsidRPr="00C871F3">
        <w:rPr>
          <w:rFonts w:ascii="Times New Roman" w:hAnsi="Times New Roman"/>
        </w:rPr>
        <w:t xml:space="preserve"> million IRAs </w:t>
      </w:r>
      <w:r>
        <w:rPr>
          <w:rFonts w:ascii="Times New Roman" w:hAnsi="Times New Roman"/>
        </w:rPr>
        <w:t>x 55.9 percent paper</w:t>
      </w:r>
      <w:r w:rsidRPr="00C871F3">
        <w:rPr>
          <w:rFonts w:ascii="Times New Roman" w:hAnsi="Times New Roman"/>
        </w:rPr>
        <w:t>)</w:t>
      </w:r>
      <w:r>
        <w:rPr>
          <w:rFonts w:ascii="Times New Roman" w:hAnsi="Times New Roman"/>
        </w:rPr>
        <w:t>) / (</w:t>
      </w:r>
      <w:r w:rsidRPr="00C871F3">
        <w:rPr>
          <w:rFonts w:ascii="Times New Roman" w:hAnsi="Times New Roman"/>
        </w:rPr>
        <w:t xml:space="preserve">9,000 DB plans + </w:t>
      </w:r>
      <w:r>
        <w:rPr>
          <w:rFonts w:ascii="Times New Roman" w:hAnsi="Times New Roman"/>
        </w:rPr>
        <w:t>2</w:t>
      </w:r>
      <w:r w:rsidRPr="00C871F3">
        <w:rPr>
          <w:rFonts w:ascii="Times New Roman" w:hAnsi="Times New Roman"/>
        </w:rPr>
        <w:t>9,000 DC plans + 1.</w:t>
      </w:r>
      <w:r>
        <w:rPr>
          <w:rFonts w:ascii="Times New Roman" w:hAnsi="Times New Roman"/>
        </w:rPr>
        <w:t>1</w:t>
      </w:r>
      <w:r w:rsidRPr="00C871F3">
        <w:rPr>
          <w:rFonts w:ascii="Times New Roman" w:hAnsi="Times New Roman"/>
        </w:rPr>
        <w:t xml:space="preserve"> million DC plan participants + 2</w:t>
      </w:r>
      <w:r>
        <w:rPr>
          <w:rFonts w:ascii="Times New Roman" w:hAnsi="Times New Roman"/>
        </w:rPr>
        <w:t>9.9</w:t>
      </w:r>
      <w:r w:rsidRPr="00C871F3">
        <w:rPr>
          <w:rFonts w:ascii="Times New Roman" w:hAnsi="Times New Roman"/>
        </w:rPr>
        <w:t xml:space="preserve"> million IRAs)</w:t>
      </w:r>
      <w:r>
        <w:rPr>
          <w:rFonts w:ascii="Times New Roman" w:hAnsi="Times New Roman"/>
        </w:rPr>
        <w:t xml:space="preserve"> = 1</w:t>
      </w:r>
      <w:r w:rsidR="00282968">
        <w:rPr>
          <w:rFonts w:ascii="Times New Roman" w:hAnsi="Times New Roman"/>
        </w:rPr>
        <w:t>05</w:t>
      </w:r>
      <w:r>
        <w:rPr>
          <w:rFonts w:ascii="Times New Roman" w:hAnsi="Times New Roman"/>
        </w:rPr>
        <w:t xml:space="preserve"> detailed disclosures on paper</w:t>
      </w:r>
    </w:p>
  </w:footnote>
  <w:footnote w:id="23">
    <w:p w14:paraId="472A6BDA" w14:textId="3192E789" w:rsidR="00A50EE3" w:rsidRPr="002E3A96" w:rsidRDefault="00A50EE3" w:rsidP="008E0D61">
      <w:pPr>
        <w:pStyle w:val="FootnoteText"/>
        <w:rPr>
          <w:rFonts w:ascii="Times New Roman" w:hAnsi="Times New Roman"/>
        </w:rPr>
      </w:pPr>
      <w:r w:rsidRPr="002E3A96">
        <w:rPr>
          <w:rStyle w:val="FootnoteReference"/>
          <w:rFonts w:ascii="Times New Roman" w:hAnsi="Times New Roman"/>
          <w:vertAlign w:val="superscript"/>
        </w:rPr>
        <w:footnoteRef/>
      </w:r>
      <w:r w:rsidRPr="002E3A96">
        <w:rPr>
          <w:rFonts w:ascii="Times New Roman" w:hAnsi="Times New Roman"/>
        </w:rPr>
        <w:t xml:space="preserve"> </w:t>
      </w:r>
      <w:r>
        <w:rPr>
          <w:rFonts w:ascii="Times New Roman" w:hAnsi="Times New Roman"/>
        </w:rPr>
        <w:t>1</w:t>
      </w:r>
      <w:r w:rsidR="00282968">
        <w:rPr>
          <w:rFonts w:ascii="Times New Roman" w:hAnsi="Times New Roman"/>
        </w:rPr>
        <w:t>05</w:t>
      </w:r>
      <w:r w:rsidRPr="002E3A96">
        <w:rPr>
          <w:rFonts w:ascii="Times New Roman" w:hAnsi="Times New Roman"/>
        </w:rPr>
        <w:t xml:space="preserve"> detailed disclosures on paper x 2 minutes per disclosure = </w:t>
      </w:r>
      <w:r>
        <w:rPr>
          <w:rFonts w:ascii="Times New Roman" w:hAnsi="Times New Roman"/>
        </w:rPr>
        <w:t>4</w:t>
      </w:r>
      <w:r w:rsidRPr="002E3A96">
        <w:rPr>
          <w:rFonts w:ascii="Times New Roman" w:hAnsi="Times New Roman"/>
        </w:rPr>
        <w:t xml:space="preserve"> hours</w:t>
      </w:r>
    </w:p>
  </w:footnote>
  <w:footnote w:id="24">
    <w:p w14:paraId="41787139" w14:textId="6BC930CF" w:rsidR="00A50EE3" w:rsidRPr="002E3A96" w:rsidRDefault="00A50EE3" w:rsidP="008E0D61">
      <w:pPr>
        <w:pStyle w:val="FootnoteText"/>
        <w:rPr>
          <w:rFonts w:ascii="Times New Roman" w:hAnsi="Times New Roman"/>
        </w:rPr>
      </w:pPr>
      <w:r w:rsidRPr="002E3A96">
        <w:rPr>
          <w:rStyle w:val="FootnoteReference"/>
          <w:rFonts w:ascii="Times New Roman" w:hAnsi="Times New Roman"/>
          <w:vertAlign w:val="superscript"/>
        </w:rPr>
        <w:footnoteRef/>
      </w:r>
      <w:r w:rsidRPr="002E3A96">
        <w:rPr>
          <w:rFonts w:ascii="Times New Roman" w:hAnsi="Times New Roman"/>
        </w:rPr>
        <w:t xml:space="preserve"> </w:t>
      </w:r>
      <w:r>
        <w:rPr>
          <w:rFonts w:ascii="Times New Roman" w:hAnsi="Times New Roman"/>
        </w:rPr>
        <w:t>4</w:t>
      </w:r>
      <w:r w:rsidRPr="002E3A96">
        <w:rPr>
          <w:rFonts w:ascii="Times New Roman" w:hAnsi="Times New Roman"/>
        </w:rPr>
        <w:t xml:space="preserve"> hours x $5</w:t>
      </w:r>
      <w:r>
        <w:rPr>
          <w:rFonts w:ascii="Times New Roman" w:hAnsi="Times New Roman"/>
        </w:rPr>
        <w:t>4.74</w:t>
      </w:r>
      <w:r w:rsidRPr="002E3A96">
        <w:rPr>
          <w:rFonts w:ascii="Times New Roman" w:hAnsi="Times New Roman"/>
        </w:rPr>
        <w:t xml:space="preserve"> per hour = $</w:t>
      </w:r>
      <w:r w:rsidR="00282968">
        <w:rPr>
          <w:rFonts w:ascii="Times New Roman" w:hAnsi="Times New Roman"/>
        </w:rPr>
        <w:t>192</w:t>
      </w:r>
    </w:p>
  </w:footnote>
  <w:footnote w:id="25">
    <w:p w14:paraId="449C682E" w14:textId="77777777" w:rsidR="00A50EE3" w:rsidRPr="00B53087" w:rsidRDefault="00A50EE3" w:rsidP="00795141">
      <w:pPr>
        <w:pStyle w:val="FootnoteText"/>
        <w:rPr>
          <w:rFonts w:ascii="Times New Roman" w:hAnsi="Times New Roman"/>
        </w:rPr>
      </w:pPr>
      <w:r w:rsidRPr="00B53087">
        <w:rPr>
          <w:rStyle w:val="FootnoteReference"/>
          <w:rFonts w:ascii="Times New Roman" w:hAnsi="Times New Roman"/>
          <w:vertAlign w:val="superscript"/>
        </w:rPr>
        <w:footnoteRef/>
      </w:r>
      <w:r w:rsidRPr="00B53087">
        <w:rPr>
          <w:rFonts w:ascii="Times New Roman" w:hAnsi="Times New Roman"/>
        </w:rPr>
        <w:t xml:space="preserve"> </w:t>
      </w:r>
      <w:r w:rsidRPr="006B0A93">
        <w:rPr>
          <w:rFonts w:ascii="Times New Roman" w:hAnsi="Times New Roman"/>
        </w:rPr>
        <w:t>(15,000 ERISA Plan Investors x 48.2 percent paper) + (212,000 IRAs and non-ERISA Plan Investors x 55.9 percent paper)  = 126,000</w:t>
      </w:r>
      <w:r w:rsidRPr="00C871F3">
        <w:rPr>
          <w:rFonts w:ascii="Times New Roman" w:hAnsi="Times New Roman"/>
        </w:rPr>
        <w:t xml:space="preserve"> </w:t>
      </w:r>
      <w:r>
        <w:rPr>
          <w:rFonts w:ascii="Times New Roman" w:hAnsi="Times New Roman"/>
        </w:rPr>
        <w:t>paper annuity</w:t>
      </w:r>
      <w:r w:rsidRPr="00C871F3">
        <w:rPr>
          <w:rFonts w:ascii="Times New Roman" w:hAnsi="Times New Roman"/>
        </w:rPr>
        <w:t xml:space="preserve"> </w:t>
      </w:r>
      <w:r>
        <w:rPr>
          <w:rFonts w:ascii="Times New Roman" w:hAnsi="Times New Roman"/>
        </w:rPr>
        <w:t xml:space="preserve">transaction </w:t>
      </w:r>
      <w:r w:rsidRPr="00C871F3">
        <w:rPr>
          <w:rFonts w:ascii="Times New Roman" w:hAnsi="Times New Roman"/>
        </w:rPr>
        <w:t>disclosures</w:t>
      </w:r>
    </w:p>
  </w:footnote>
  <w:footnote w:id="26">
    <w:p w14:paraId="3F5589B3" w14:textId="77777777" w:rsidR="00A50EE3" w:rsidRPr="00AC27CD" w:rsidRDefault="00A50EE3" w:rsidP="00795141">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w:t>
      </w:r>
      <w:r>
        <w:rPr>
          <w:rFonts w:ascii="Times New Roman" w:hAnsi="Times New Roman"/>
        </w:rPr>
        <w:t>126,000</w:t>
      </w:r>
      <w:r w:rsidRPr="00AC27CD">
        <w:rPr>
          <w:rFonts w:ascii="Times New Roman" w:hAnsi="Times New Roman"/>
        </w:rPr>
        <w:t xml:space="preserve"> paper </w:t>
      </w:r>
      <w:r>
        <w:rPr>
          <w:rFonts w:ascii="Times New Roman" w:hAnsi="Times New Roman"/>
        </w:rPr>
        <w:t>annuity transaction</w:t>
      </w:r>
      <w:r w:rsidRPr="00AC27CD">
        <w:rPr>
          <w:rFonts w:ascii="Times New Roman" w:hAnsi="Times New Roman"/>
        </w:rPr>
        <w:t xml:space="preserve"> disclosures x 2 minutes per disclosure = </w:t>
      </w:r>
      <w:r>
        <w:rPr>
          <w:rFonts w:ascii="Times New Roman" w:hAnsi="Times New Roman"/>
        </w:rPr>
        <w:t>4,000</w:t>
      </w:r>
      <w:r w:rsidRPr="00AC27CD">
        <w:rPr>
          <w:rFonts w:ascii="Times New Roman" w:hAnsi="Times New Roman"/>
        </w:rPr>
        <w:t xml:space="preserve"> hours</w:t>
      </w:r>
    </w:p>
  </w:footnote>
  <w:footnote w:id="27">
    <w:p w14:paraId="4F905B76" w14:textId="77777777" w:rsidR="00A50EE3" w:rsidRPr="00AC27CD" w:rsidRDefault="00A50EE3" w:rsidP="00795141">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w:t>
      </w:r>
      <w:r>
        <w:rPr>
          <w:rFonts w:ascii="Times New Roman" w:hAnsi="Times New Roman"/>
        </w:rPr>
        <w:t>4,000</w:t>
      </w:r>
      <w:r w:rsidRPr="00AC27CD">
        <w:rPr>
          <w:rFonts w:ascii="Times New Roman" w:hAnsi="Times New Roman"/>
        </w:rPr>
        <w:t xml:space="preserve"> hours x $5</w:t>
      </w:r>
      <w:r>
        <w:rPr>
          <w:rFonts w:ascii="Times New Roman" w:hAnsi="Times New Roman"/>
        </w:rPr>
        <w:t>4.74</w:t>
      </w:r>
      <w:r w:rsidRPr="00AC27CD">
        <w:rPr>
          <w:rFonts w:ascii="Times New Roman" w:hAnsi="Times New Roman"/>
        </w:rPr>
        <w:t xml:space="preserve"> per hour = $</w:t>
      </w:r>
      <w:r>
        <w:rPr>
          <w:rFonts w:ascii="Times New Roman" w:hAnsi="Times New Roman"/>
        </w:rPr>
        <w:t>230,000</w:t>
      </w:r>
    </w:p>
  </w:footnote>
  <w:footnote w:id="28">
    <w:p w14:paraId="7011A9FC" w14:textId="77777777" w:rsidR="00A50EE3" w:rsidRPr="00541BBA" w:rsidRDefault="00A50EE3" w:rsidP="004005FE">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sidRPr="00B25DD0">
        <w:rPr>
          <w:rFonts w:ascii="Times New Roman" w:hAnsi="Times New Roman"/>
        </w:rPr>
        <w:t xml:space="preserve">This rate is the average of the hourly rate of an attorney with 4-7 years of experience and an attorney with 8-10 years of experience, taken from the </w:t>
      </w:r>
      <w:proofErr w:type="spellStart"/>
      <w:r w:rsidRPr="00B25DD0">
        <w:rPr>
          <w:rFonts w:ascii="Times New Roman" w:hAnsi="Times New Roman"/>
        </w:rPr>
        <w:t>Laffey</w:t>
      </w:r>
      <w:proofErr w:type="spellEnd"/>
      <w:r w:rsidRPr="00B25DD0">
        <w:rPr>
          <w:rFonts w:ascii="Times New Roman" w:hAnsi="Times New Roman"/>
        </w:rPr>
        <w:t xml:space="preserve"> Matrix.  See http://www.justice.gov/sites/default/files/usao-dc/legacy/2014/07/14/Laffey%20Matrix_2014-2015.pdf</w:t>
      </w:r>
    </w:p>
  </w:footnote>
  <w:footnote w:id="29">
    <w:p w14:paraId="70B32CDE" w14:textId="0B40BAD2" w:rsidR="00A50EE3" w:rsidRPr="000A7689" w:rsidRDefault="00A50EE3" w:rsidP="004005FE">
      <w:pPr>
        <w:pStyle w:val="FootnoteText"/>
        <w:rPr>
          <w:rFonts w:ascii="Times New Roman" w:hAnsi="Times New Roman"/>
        </w:rPr>
      </w:pPr>
      <w:r w:rsidRPr="000A7689">
        <w:rPr>
          <w:rStyle w:val="FootnoteReference"/>
          <w:rFonts w:ascii="Times New Roman" w:hAnsi="Times New Roman"/>
          <w:vertAlign w:val="superscript"/>
        </w:rPr>
        <w:footnoteRef/>
      </w:r>
      <w:r w:rsidRPr="000A7689">
        <w:rPr>
          <w:rFonts w:ascii="Times New Roman" w:hAnsi="Times New Roman"/>
        </w:rPr>
        <w:t xml:space="preserve"> (3 hours and 47 minutes to draft contracts </w:t>
      </w:r>
      <w:r w:rsidR="0025109F">
        <w:rPr>
          <w:rFonts w:ascii="Times New Roman" w:hAnsi="Times New Roman"/>
        </w:rPr>
        <w:t xml:space="preserve">for IRAs </w:t>
      </w:r>
      <w:r w:rsidRPr="000A7689">
        <w:rPr>
          <w:rFonts w:ascii="Times New Roman" w:hAnsi="Times New Roman"/>
        </w:rPr>
        <w:t xml:space="preserve">and contract disclosures </w:t>
      </w:r>
      <w:r w:rsidR="0025109F">
        <w:rPr>
          <w:rFonts w:ascii="Times New Roman" w:hAnsi="Times New Roman"/>
        </w:rPr>
        <w:t xml:space="preserve">for plans </w:t>
      </w:r>
      <w:r w:rsidRPr="000A7689">
        <w:rPr>
          <w:rFonts w:ascii="Times New Roman" w:hAnsi="Times New Roman"/>
        </w:rPr>
        <w:t xml:space="preserve">+ 1 hour and </w:t>
      </w:r>
      <w:r>
        <w:rPr>
          <w:rFonts w:ascii="Times New Roman" w:hAnsi="Times New Roman"/>
        </w:rPr>
        <w:t>38</w:t>
      </w:r>
      <w:r w:rsidRPr="000A7689">
        <w:rPr>
          <w:rFonts w:ascii="Times New Roman" w:hAnsi="Times New Roman"/>
        </w:rPr>
        <w:t xml:space="preserve"> minutes to draft </w:t>
      </w:r>
      <w:r>
        <w:rPr>
          <w:rFonts w:ascii="Times New Roman" w:hAnsi="Times New Roman"/>
        </w:rPr>
        <w:t>pre-transaction</w:t>
      </w:r>
      <w:r w:rsidRPr="000A7689">
        <w:rPr>
          <w:rFonts w:ascii="Times New Roman" w:hAnsi="Times New Roman"/>
        </w:rPr>
        <w:t xml:space="preserve"> disclosures </w:t>
      </w:r>
      <w:r>
        <w:rPr>
          <w:rFonts w:ascii="Times New Roman" w:hAnsi="Times New Roman"/>
        </w:rPr>
        <w:t xml:space="preserve">+ 15 minutes to draft notices to the Department </w:t>
      </w:r>
      <w:r w:rsidRPr="000A7689">
        <w:rPr>
          <w:rFonts w:ascii="Times New Roman" w:hAnsi="Times New Roman"/>
        </w:rPr>
        <w:t>+ 2 hours and 5 minutes to draft transition disclosures) x $335.00 per hour = $3,</w:t>
      </w:r>
      <w:r>
        <w:rPr>
          <w:rFonts w:ascii="Times New Roman" w:hAnsi="Times New Roman"/>
        </w:rPr>
        <w:t>857</w:t>
      </w:r>
    </w:p>
  </w:footnote>
  <w:footnote w:id="30">
    <w:p w14:paraId="24CD3876" w14:textId="701E1437" w:rsidR="00A50EE3" w:rsidRPr="002D0CD5" w:rsidRDefault="00A50EE3" w:rsidP="004005FE">
      <w:pPr>
        <w:pStyle w:val="FootnoteText"/>
        <w:rPr>
          <w:rFonts w:ascii="Times New Roman" w:hAnsi="Times New Roman"/>
        </w:rPr>
      </w:pPr>
      <w:r w:rsidRPr="002D0CD5">
        <w:rPr>
          <w:rStyle w:val="FootnoteReference"/>
          <w:rFonts w:ascii="Times New Roman" w:hAnsi="Times New Roman"/>
          <w:vertAlign w:val="superscript"/>
        </w:rPr>
        <w:footnoteRef/>
      </w:r>
      <w:r w:rsidRPr="002D0CD5">
        <w:rPr>
          <w:rFonts w:ascii="Times New Roman" w:hAnsi="Times New Roman"/>
        </w:rPr>
        <w:t xml:space="preserve"> (3 hours and 47 minutes to update contracts </w:t>
      </w:r>
      <w:r w:rsidR="0025109F">
        <w:rPr>
          <w:rFonts w:ascii="Times New Roman" w:hAnsi="Times New Roman"/>
        </w:rPr>
        <w:t xml:space="preserve">for IRAs </w:t>
      </w:r>
      <w:r w:rsidRPr="002D0CD5">
        <w:rPr>
          <w:rFonts w:ascii="Times New Roman" w:hAnsi="Times New Roman"/>
        </w:rPr>
        <w:t>and contract disclosures</w:t>
      </w:r>
      <w:r w:rsidR="0025109F">
        <w:rPr>
          <w:rFonts w:ascii="Times New Roman" w:hAnsi="Times New Roman"/>
        </w:rPr>
        <w:t xml:space="preserve"> for </w:t>
      </w:r>
      <w:r w:rsidR="0025109F">
        <w:rPr>
          <w:rFonts w:ascii="Times New Roman" w:hAnsi="Times New Roman"/>
        </w:rPr>
        <w:t>plans</w:t>
      </w:r>
      <w:bookmarkStart w:id="1" w:name="_GoBack"/>
      <w:bookmarkEnd w:id="1"/>
      <w:r w:rsidR="00B51C30">
        <w:rPr>
          <w:rFonts w:ascii="Times New Roman" w:hAnsi="Times New Roman"/>
        </w:rPr>
        <w:t xml:space="preserve"> + </w:t>
      </w:r>
      <w:r w:rsidRPr="002D0CD5">
        <w:rPr>
          <w:rFonts w:ascii="Times New Roman" w:hAnsi="Times New Roman"/>
        </w:rPr>
        <w:t xml:space="preserve">1 hour and </w:t>
      </w:r>
      <w:r>
        <w:rPr>
          <w:rFonts w:ascii="Times New Roman" w:hAnsi="Times New Roman"/>
        </w:rPr>
        <w:t>38</w:t>
      </w:r>
      <w:r w:rsidRPr="002D0CD5">
        <w:rPr>
          <w:rFonts w:ascii="Times New Roman" w:hAnsi="Times New Roman"/>
        </w:rPr>
        <w:t xml:space="preserve"> minutes to update annual disclosures) x </w:t>
      </w:r>
      <w:r>
        <w:rPr>
          <w:rFonts w:ascii="Times New Roman" w:hAnsi="Times New Roman"/>
        </w:rPr>
        <w:t xml:space="preserve">$335.00 per hour = </w:t>
      </w:r>
      <w:r w:rsidRPr="002D0CD5">
        <w:rPr>
          <w:rFonts w:ascii="Times New Roman" w:hAnsi="Times New Roman"/>
        </w:rPr>
        <w:t>$</w:t>
      </w:r>
      <w:r>
        <w:rPr>
          <w:rFonts w:ascii="Times New Roman" w:hAnsi="Times New Roman"/>
        </w:rPr>
        <w:t>3,076</w:t>
      </w:r>
    </w:p>
  </w:footnote>
  <w:footnote w:id="31">
    <w:p w14:paraId="6FFBCB6D" w14:textId="5EC78A91" w:rsidR="00A50EE3" w:rsidRPr="00ED5305" w:rsidRDefault="00A50EE3">
      <w:pPr>
        <w:pStyle w:val="FootnoteText"/>
        <w:rPr>
          <w:rFonts w:ascii="Times New Roman" w:hAnsi="Times New Roman"/>
        </w:rPr>
      </w:pPr>
      <w:r w:rsidRPr="00C40304">
        <w:rPr>
          <w:rStyle w:val="FootnoteReference"/>
          <w:rFonts w:ascii="Times New Roman" w:hAnsi="Times New Roman"/>
          <w:vertAlign w:val="superscript"/>
        </w:rPr>
        <w:footnoteRef/>
      </w:r>
      <w:r w:rsidRPr="00ED5305">
        <w:rPr>
          <w:rFonts w:ascii="Times New Roman" w:hAnsi="Times New Roman"/>
        </w:rPr>
        <w:t xml:space="preserve"> </w:t>
      </w:r>
      <w:r w:rsidR="00660120">
        <w:rPr>
          <w:rFonts w:ascii="Times New Roman" w:hAnsi="Times New Roman"/>
        </w:rPr>
        <w:t>19</w:t>
      </w:r>
      <w:r w:rsidR="00723B3F">
        <w:rPr>
          <w:rFonts w:ascii="Times New Roman" w:hAnsi="Times New Roman"/>
        </w:rPr>
        <w:t xml:space="preserve"> IMOs</w:t>
      </w:r>
      <w:r w:rsidRPr="00ED5305">
        <w:rPr>
          <w:rFonts w:ascii="Times New Roman" w:hAnsi="Times New Roman"/>
        </w:rPr>
        <w:t xml:space="preserve"> x 1</w:t>
      </w:r>
      <w:r w:rsidR="00723B3F">
        <w:rPr>
          <w:rFonts w:ascii="Times New Roman" w:hAnsi="Times New Roman"/>
        </w:rPr>
        <w:t>.5</w:t>
      </w:r>
      <w:r w:rsidRPr="00ED5305">
        <w:rPr>
          <w:rFonts w:ascii="Times New Roman" w:hAnsi="Times New Roman"/>
        </w:rPr>
        <w:t xml:space="preserve"> hour</w:t>
      </w:r>
      <w:r w:rsidR="00723B3F">
        <w:rPr>
          <w:rFonts w:ascii="Times New Roman" w:hAnsi="Times New Roman"/>
        </w:rPr>
        <w:t>s</w:t>
      </w:r>
      <w:r w:rsidRPr="00ED5305">
        <w:rPr>
          <w:rFonts w:ascii="Times New Roman" w:hAnsi="Times New Roman"/>
        </w:rPr>
        <w:t xml:space="preserve"> x $335.00 per hour = $</w:t>
      </w:r>
      <w:r w:rsidR="00723B3F">
        <w:rPr>
          <w:rFonts w:ascii="Times New Roman" w:hAnsi="Times New Roman"/>
        </w:rPr>
        <w:t>1</w:t>
      </w:r>
      <w:r w:rsidR="001377CF">
        <w:rPr>
          <w:rFonts w:ascii="Times New Roman" w:hAnsi="Times New Roman"/>
        </w:rPr>
        <w:t>0</w:t>
      </w:r>
      <w:r w:rsidR="00723B3F">
        <w:rPr>
          <w:rFonts w:ascii="Times New Roman" w:hAnsi="Times New Roman"/>
        </w:rPr>
        <w:t>,000</w:t>
      </w:r>
    </w:p>
  </w:footnote>
  <w:footnote w:id="32">
    <w:p w14:paraId="29B7F628" w14:textId="77777777" w:rsidR="00A50EE3" w:rsidRPr="00CF7656" w:rsidRDefault="00A50EE3" w:rsidP="004005FE">
      <w:pPr>
        <w:pStyle w:val="FootnoteText"/>
        <w:rPr>
          <w:rFonts w:ascii="Times New Roman" w:hAnsi="Times New Roman"/>
        </w:rPr>
      </w:pPr>
      <w:r w:rsidRPr="00CF7656">
        <w:rPr>
          <w:rStyle w:val="FootnoteReference"/>
          <w:rFonts w:ascii="Times New Roman" w:hAnsi="Times New Roman"/>
          <w:vertAlign w:val="superscript"/>
        </w:rPr>
        <w:footnoteRef/>
      </w:r>
      <w:r w:rsidRPr="00CF7656">
        <w:rPr>
          <w:rFonts w:ascii="Times New Roman" w:hAnsi="Times New Roman"/>
        </w:rPr>
        <w:t xml:space="preserve"> </w:t>
      </w:r>
      <w:r>
        <w:rPr>
          <w:rFonts w:ascii="Times New Roman" w:hAnsi="Times New Roman"/>
        </w:rPr>
        <w:t>(</w:t>
      </w:r>
      <w:r w:rsidR="00DB77D6">
        <w:rPr>
          <w:rFonts w:ascii="Times New Roman" w:hAnsi="Times New Roman"/>
        </w:rPr>
        <w:t>126,000</w:t>
      </w:r>
      <w:r w:rsidRPr="00CF7656">
        <w:rPr>
          <w:rFonts w:ascii="Times New Roman" w:hAnsi="Times New Roman"/>
        </w:rPr>
        <w:t xml:space="preserve"> paper transition disclosures x </w:t>
      </w:r>
      <w:r>
        <w:rPr>
          <w:rFonts w:ascii="Times New Roman" w:hAnsi="Times New Roman"/>
        </w:rPr>
        <w:t>(</w:t>
      </w:r>
      <w:r w:rsidRPr="00CF7656">
        <w:rPr>
          <w:rFonts w:ascii="Times New Roman" w:hAnsi="Times New Roman"/>
        </w:rPr>
        <w:t>(3 pages x $0.05 per page</w:t>
      </w:r>
      <w:r>
        <w:rPr>
          <w:rFonts w:ascii="Times New Roman" w:hAnsi="Times New Roman"/>
        </w:rPr>
        <w:t>) + $0.4</w:t>
      </w:r>
      <w:r w:rsidR="00DB77D6">
        <w:rPr>
          <w:rFonts w:ascii="Times New Roman" w:hAnsi="Times New Roman"/>
        </w:rPr>
        <w:t>7</w:t>
      </w:r>
      <w:r>
        <w:rPr>
          <w:rFonts w:ascii="Times New Roman" w:hAnsi="Times New Roman"/>
        </w:rPr>
        <w:t xml:space="preserve"> postage)) + (</w:t>
      </w:r>
      <w:r w:rsidR="00DB77D6">
        <w:rPr>
          <w:rFonts w:ascii="Times New Roman" w:hAnsi="Times New Roman"/>
        </w:rPr>
        <w:t>126,000</w:t>
      </w:r>
      <w:r>
        <w:rPr>
          <w:rFonts w:ascii="Times New Roman" w:hAnsi="Times New Roman"/>
        </w:rPr>
        <w:t xml:space="preserve"> paper contract disclosures and contracts x (15 pages x $0.05 per page) + $0.4</w:t>
      </w:r>
      <w:r w:rsidR="00DB77D6">
        <w:rPr>
          <w:rFonts w:ascii="Times New Roman" w:hAnsi="Times New Roman"/>
        </w:rPr>
        <w:t>7</w:t>
      </w:r>
      <w:r>
        <w:rPr>
          <w:rFonts w:ascii="Times New Roman" w:hAnsi="Times New Roman"/>
        </w:rPr>
        <w:t xml:space="preserve"> postage)) + (</w:t>
      </w:r>
      <w:r w:rsidR="00002D5A">
        <w:rPr>
          <w:rFonts w:ascii="Times New Roman" w:hAnsi="Times New Roman"/>
        </w:rPr>
        <w:t xml:space="preserve">126,000 paper annuity-specific pre-transaction disclosures </w:t>
      </w:r>
      <w:r w:rsidRPr="00CF7656">
        <w:rPr>
          <w:rFonts w:ascii="Times New Roman" w:hAnsi="Times New Roman"/>
        </w:rPr>
        <w:t xml:space="preserve">x </w:t>
      </w:r>
      <w:r>
        <w:rPr>
          <w:rFonts w:ascii="Times New Roman" w:hAnsi="Times New Roman"/>
        </w:rPr>
        <w:t>(</w:t>
      </w:r>
      <w:r w:rsidRPr="00CF7656">
        <w:rPr>
          <w:rFonts w:ascii="Times New Roman" w:hAnsi="Times New Roman"/>
        </w:rPr>
        <w:t>(</w:t>
      </w:r>
      <w:r>
        <w:rPr>
          <w:rFonts w:ascii="Times New Roman" w:hAnsi="Times New Roman"/>
        </w:rPr>
        <w:t>1</w:t>
      </w:r>
      <w:r w:rsidRPr="00CF7656">
        <w:rPr>
          <w:rFonts w:ascii="Times New Roman" w:hAnsi="Times New Roman"/>
        </w:rPr>
        <w:t xml:space="preserve"> page x $0.05 per page</w:t>
      </w:r>
      <w:r>
        <w:rPr>
          <w:rFonts w:ascii="Times New Roman" w:hAnsi="Times New Roman"/>
        </w:rPr>
        <w:t>) + $0.4</w:t>
      </w:r>
      <w:r w:rsidR="00002D5A">
        <w:rPr>
          <w:rFonts w:ascii="Times New Roman" w:hAnsi="Times New Roman"/>
        </w:rPr>
        <w:t>7</w:t>
      </w:r>
      <w:r>
        <w:rPr>
          <w:rFonts w:ascii="Times New Roman" w:hAnsi="Times New Roman"/>
        </w:rPr>
        <w:t xml:space="preserve"> postage))  = $</w:t>
      </w:r>
      <w:r w:rsidR="00002D5A">
        <w:rPr>
          <w:rFonts w:ascii="Times New Roman" w:hAnsi="Times New Roman"/>
        </w:rPr>
        <w:t>297,000</w:t>
      </w:r>
    </w:p>
  </w:footnote>
  <w:footnote w:id="33">
    <w:p w14:paraId="116B2331" w14:textId="281BC80D" w:rsidR="00A50EE3" w:rsidRPr="005A37AE" w:rsidRDefault="00A50EE3" w:rsidP="004005FE">
      <w:pPr>
        <w:pStyle w:val="FootnoteText"/>
        <w:rPr>
          <w:rFonts w:ascii="Times New Roman" w:hAnsi="Times New Roman"/>
        </w:rPr>
      </w:pPr>
      <w:r w:rsidRPr="005A37AE">
        <w:rPr>
          <w:rStyle w:val="FootnoteReference"/>
          <w:rFonts w:ascii="Times New Roman" w:hAnsi="Times New Roman"/>
          <w:vertAlign w:val="superscript"/>
        </w:rPr>
        <w:footnoteRef/>
      </w:r>
      <w:r w:rsidRPr="005A37AE">
        <w:rPr>
          <w:rFonts w:ascii="Times New Roman" w:hAnsi="Times New Roman"/>
        </w:rPr>
        <w:t xml:space="preserve"> (</w:t>
      </w:r>
      <w:r w:rsidR="00C15553">
        <w:rPr>
          <w:rFonts w:ascii="Times New Roman" w:hAnsi="Times New Roman"/>
        </w:rPr>
        <w:t>26,000</w:t>
      </w:r>
      <w:r w:rsidRPr="005A37AE">
        <w:rPr>
          <w:rFonts w:ascii="Times New Roman" w:hAnsi="Times New Roman"/>
        </w:rPr>
        <w:t xml:space="preserve"> paper contract disclosures and contracts x (15 pages x $0.05 per page) + $0.4</w:t>
      </w:r>
      <w:r w:rsidR="00C15553">
        <w:rPr>
          <w:rFonts w:ascii="Times New Roman" w:hAnsi="Times New Roman"/>
        </w:rPr>
        <w:t>7</w:t>
      </w:r>
      <w:r w:rsidRPr="005A37AE">
        <w:rPr>
          <w:rFonts w:ascii="Times New Roman" w:hAnsi="Times New Roman"/>
        </w:rPr>
        <w:t xml:space="preserve"> postage)) + </w:t>
      </w:r>
      <w:r>
        <w:rPr>
          <w:rFonts w:ascii="Times New Roman" w:hAnsi="Times New Roman"/>
        </w:rPr>
        <w:t>(</w:t>
      </w:r>
      <w:r w:rsidR="00C15553">
        <w:rPr>
          <w:rFonts w:ascii="Times New Roman" w:hAnsi="Times New Roman"/>
        </w:rPr>
        <w:t>126,000</w:t>
      </w:r>
      <w:r>
        <w:rPr>
          <w:rFonts w:ascii="Times New Roman" w:hAnsi="Times New Roman"/>
        </w:rPr>
        <w:t xml:space="preserve"> paper pre-transaction disclosures x (3 pages x $0.05 per page) + $0.4</w:t>
      </w:r>
      <w:r w:rsidR="00C15553">
        <w:rPr>
          <w:rFonts w:ascii="Times New Roman" w:hAnsi="Times New Roman"/>
        </w:rPr>
        <w:t>7</w:t>
      </w:r>
      <w:r>
        <w:rPr>
          <w:rFonts w:ascii="Times New Roman" w:hAnsi="Times New Roman"/>
        </w:rPr>
        <w:t xml:space="preserve"> postage)) + (</w:t>
      </w:r>
      <w:r w:rsidR="006C6600">
        <w:rPr>
          <w:rFonts w:ascii="Times New Roman" w:hAnsi="Times New Roman"/>
        </w:rPr>
        <w:t>1</w:t>
      </w:r>
      <w:r w:rsidR="00E0440F">
        <w:rPr>
          <w:rFonts w:ascii="Times New Roman" w:hAnsi="Times New Roman"/>
        </w:rPr>
        <w:t>05</w:t>
      </w:r>
      <w:r>
        <w:rPr>
          <w:rFonts w:ascii="Times New Roman" w:hAnsi="Times New Roman"/>
        </w:rPr>
        <w:t xml:space="preserve"> paper detailed disclosures x (5 pages x $0.05 per page) + $0.4</w:t>
      </w:r>
      <w:r w:rsidR="006C6600">
        <w:rPr>
          <w:rFonts w:ascii="Times New Roman" w:hAnsi="Times New Roman"/>
        </w:rPr>
        <w:t>7</w:t>
      </w:r>
      <w:r>
        <w:rPr>
          <w:rFonts w:ascii="Times New Roman" w:hAnsi="Times New Roman"/>
        </w:rPr>
        <w:t xml:space="preserve"> postage))</w:t>
      </w:r>
      <w:r w:rsidRPr="006206A5">
        <w:t xml:space="preserve"> </w:t>
      </w:r>
      <w:r w:rsidRPr="006206A5">
        <w:rPr>
          <w:rFonts w:ascii="Times New Roman" w:hAnsi="Times New Roman"/>
        </w:rPr>
        <w:t>+ (</w:t>
      </w:r>
      <w:r w:rsidR="006C6600" w:rsidRPr="006C6600">
        <w:rPr>
          <w:rFonts w:ascii="Times New Roman" w:hAnsi="Times New Roman"/>
        </w:rPr>
        <w:t>126,000 paper annuity-specific pre-transaction disclosures</w:t>
      </w:r>
      <w:r w:rsidRPr="006206A5">
        <w:rPr>
          <w:rFonts w:ascii="Times New Roman" w:hAnsi="Times New Roman"/>
        </w:rPr>
        <w:t xml:space="preserve"> x ((1 page x $0.05 per page) + $0.4</w:t>
      </w:r>
      <w:r w:rsidR="006C6600">
        <w:rPr>
          <w:rFonts w:ascii="Times New Roman" w:hAnsi="Times New Roman"/>
        </w:rPr>
        <w:t>7</w:t>
      </w:r>
      <w:r w:rsidRPr="006206A5">
        <w:rPr>
          <w:rFonts w:ascii="Times New Roman" w:hAnsi="Times New Roman"/>
        </w:rPr>
        <w:t xml:space="preserve"> postage))  </w:t>
      </w:r>
      <w:r>
        <w:rPr>
          <w:rFonts w:ascii="Times New Roman" w:hAnsi="Times New Roman"/>
        </w:rPr>
        <w:t>= $</w:t>
      </w:r>
      <w:r w:rsidR="006C6600">
        <w:rPr>
          <w:rFonts w:ascii="Times New Roman" w:hAnsi="Times New Roman"/>
        </w:rPr>
        <w:t>175,000</w:t>
      </w:r>
    </w:p>
  </w:footnote>
  <w:footnote w:id="34">
    <w:p w14:paraId="5631CD4A" w14:textId="06E848D0" w:rsidR="00A50EE3" w:rsidRPr="00055F7A" w:rsidRDefault="00A50EE3" w:rsidP="004005FE">
      <w:pPr>
        <w:pStyle w:val="FootnoteText"/>
        <w:rPr>
          <w:rFonts w:ascii="Times New Roman" w:hAnsi="Times New Roman"/>
        </w:rPr>
      </w:pPr>
      <w:r w:rsidRPr="00055F7A">
        <w:rPr>
          <w:rStyle w:val="FootnoteReference"/>
          <w:rFonts w:ascii="Times New Roman" w:hAnsi="Times New Roman"/>
          <w:vertAlign w:val="superscript"/>
        </w:rPr>
        <w:footnoteRef/>
      </w:r>
      <w:r w:rsidRPr="00055F7A">
        <w:rPr>
          <w:rFonts w:ascii="Times New Roman" w:hAnsi="Times New Roman"/>
        </w:rPr>
        <w:t xml:space="preserve"> $</w:t>
      </w:r>
      <w:r w:rsidR="00955BAA">
        <w:rPr>
          <w:rFonts w:ascii="Times New Roman" w:hAnsi="Times New Roman"/>
        </w:rPr>
        <w:t>12</w:t>
      </w:r>
      <w:r w:rsidR="00EE01C2">
        <w:rPr>
          <w:rFonts w:ascii="Times New Roman" w:hAnsi="Times New Roman"/>
        </w:rPr>
        <w:t>6.1</w:t>
      </w:r>
      <w:r w:rsidR="00955BAA">
        <w:rPr>
          <w:rFonts w:ascii="Times New Roman" w:hAnsi="Times New Roman"/>
        </w:rPr>
        <w:t xml:space="preserve"> million</w:t>
      </w:r>
      <w:r w:rsidRPr="00055F7A">
        <w:rPr>
          <w:rFonts w:ascii="Times New Roman" w:hAnsi="Times New Roman"/>
        </w:rPr>
        <w:t xml:space="preserve"> service provider costs + </w:t>
      </w:r>
      <w:r>
        <w:rPr>
          <w:rFonts w:ascii="Times New Roman" w:hAnsi="Times New Roman"/>
        </w:rPr>
        <w:t>$</w:t>
      </w:r>
      <w:r w:rsidR="00955BAA">
        <w:rPr>
          <w:rFonts w:ascii="Times New Roman" w:hAnsi="Times New Roman"/>
        </w:rPr>
        <w:t>1</w:t>
      </w:r>
      <w:r w:rsidR="00EE01C2">
        <w:rPr>
          <w:rFonts w:ascii="Times New Roman" w:hAnsi="Times New Roman"/>
        </w:rPr>
        <w:t>0</w:t>
      </w:r>
      <w:r w:rsidR="00955BAA">
        <w:rPr>
          <w:rFonts w:ascii="Times New Roman" w:hAnsi="Times New Roman"/>
        </w:rPr>
        <w:t>,000 annuity-</w:t>
      </w:r>
      <w:r w:rsidR="008F23A9">
        <w:rPr>
          <w:rFonts w:ascii="Times New Roman" w:hAnsi="Times New Roman"/>
        </w:rPr>
        <w:t>specific</w:t>
      </w:r>
      <w:r>
        <w:rPr>
          <w:rFonts w:ascii="Times New Roman" w:hAnsi="Times New Roman"/>
        </w:rPr>
        <w:t xml:space="preserve"> legal costs + </w:t>
      </w:r>
      <w:r w:rsidRPr="00055F7A">
        <w:rPr>
          <w:rFonts w:ascii="Times New Roman" w:hAnsi="Times New Roman"/>
        </w:rPr>
        <w:t>$</w:t>
      </w:r>
      <w:r w:rsidR="008F23A9">
        <w:rPr>
          <w:rFonts w:ascii="Times New Roman" w:hAnsi="Times New Roman"/>
        </w:rPr>
        <w:t>297,000</w:t>
      </w:r>
      <w:r w:rsidRPr="00055F7A">
        <w:rPr>
          <w:rFonts w:ascii="Times New Roman" w:hAnsi="Times New Roman"/>
        </w:rPr>
        <w:t xml:space="preserve"> materials and postage costs = $</w:t>
      </w:r>
      <w:r w:rsidR="008F23A9">
        <w:rPr>
          <w:rFonts w:ascii="Times New Roman" w:hAnsi="Times New Roman"/>
        </w:rPr>
        <w:t>12</w:t>
      </w:r>
      <w:r w:rsidR="00657EE6">
        <w:rPr>
          <w:rFonts w:ascii="Times New Roman" w:hAnsi="Times New Roman"/>
        </w:rPr>
        <w:t>6</w:t>
      </w:r>
      <w:r w:rsidR="008F23A9">
        <w:rPr>
          <w:rFonts w:ascii="Times New Roman" w:hAnsi="Times New Roman"/>
        </w:rPr>
        <w:t>.</w:t>
      </w:r>
      <w:r w:rsidR="00657EE6">
        <w:rPr>
          <w:rFonts w:ascii="Times New Roman" w:hAnsi="Times New Roman"/>
        </w:rPr>
        <w:t>4</w:t>
      </w:r>
      <w:r w:rsidR="008F23A9">
        <w:rPr>
          <w:rFonts w:ascii="Times New Roman" w:hAnsi="Times New Roman"/>
        </w:rPr>
        <w:t xml:space="preserve"> million</w:t>
      </w:r>
      <w:r w:rsidRPr="00055F7A">
        <w:rPr>
          <w:rFonts w:ascii="Times New Roman" w:hAnsi="Times New Roman"/>
        </w:rPr>
        <w:t xml:space="preserve"> total costs</w:t>
      </w:r>
    </w:p>
  </w:footnote>
  <w:footnote w:id="35">
    <w:p w14:paraId="4F9D7C74" w14:textId="3E45FA22" w:rsidR="00A50EE3" w:rsidRPr="00055F7A" w:rsidRDefault="00A50EE3" w:rsidP="004005FE">
      <w:pPr>
        <w:pStyle w:val="FootnoteText"/>
        <w:rPr>
          <w:rFonts w:ascii="Times New Roman" w:hAnsi="Times New Roman"/>
        </w:rPr>
      </w:pPr>
      <w:r w:rsidRPr="00055F7A">
        <w:rPr>
          <w:rStyle w:val="FootnoteReference"/>
          <w:rFonts w:ascii="Times New Roman" w:hAnsi="Times New Roman"/>
          <w:vertAlign w:val="superscript"/>
        </w:rPr>
        <w:footnoteRef/>
      </w:r>
      <w:r w:rsidRPr="00055F7A">
        <w:rPr>
          <w:rFonts w:ascii="Times New Roman" w:hAnsi="Times New Roman"/>
        </w:rPr>
        <w:t xml:space="preserve"> $</w:t>
      </w:r>
      <w:r w:rsidR="006A3B4C">
        <w:rPr>
          <w:rFonts w:ascii="Times New Roman" w:hAnsi="Times New Roman"/>
        </w:rPr>
        <w:t>3</w:t>
      </w:r>
      <w:r w:rsidR="00E0440F">
        <w:rPr>
          <w:rFonts w:ascii="Times New Roman" w:hAnsi="Times New Roman"/>
        </w:rPr>
        <w:t>1.4</w:t>
      </w:r>
      <w:r w:rsidRPr="00055F7A">
        <w:rPr>
          <w:rFonts w:ascii="Times New Roman" w:hAnsi="Times New Roman"/>
        </w:rPr>
        <w:t xml:space="preserve"> million service provider costs + </w:t>
      </w:r>
      <w:r>
        <w:rPr>
          <w:rFonts w:ascii="Times New Roman" w:hAnsi="Times New Roman"/>
        </w:rPr>
        <w:t>$</w:t>
      </w:r>
      <w:r w:rsidR="006A3B4C" w:rsidRPr="006A3B4C">
        <w:rPr>
          <w:rFonts w:ascii="Times New Roman" w:hAnsi="Times New Roman"/>
        </w:rPr>
        <w:t>1</w:t>
      </w:r>
      <w:r w:rsidR="00E0440F">
        <w:rPr>
          <w:rFonts w:ascii="Times New Roman" w:hAnsi="Times New Roman"/>
        </w:rPr>
        <w:t>0</w:t>
      </w:r>
      <w:r w:rsidR="006A3B4C" w:rsidRPr="006A3B4C">
        <w:rPr>
          <w:rFonts w:ascii="Times New Roman" w:hAnsi="Times New Roman"/>
        </w:rPr>
        <w:t xml:space="preserve">,000 annuity-specific </w:t>
      </w:r>
      <w:r>
        <w:rPr>
          <w:rFonts w:ascii="Times New Roman" w:hAnsi="Times New Roman"/>
        </w:rPr>
        <w:t xml:space="preserve">legal costs + </w:t>
      </w:r>
      <w:r w:rsidRPr="00055F7A">
        <w:rPr>
          <w:rFonts w:ascii="Times New Roman" w:hAnsi="Times New Roman"/>
        </w:rPr>
        <w:t>$</w:t>
      </w:r>
      <w:r w:rsidR="006A3B4C">
        <w:rPr>
          <w:rFonts w:ascii="Times New Roman" w:hAnsi="Times New Roman"/>
        </w:rPr>
        <w:t>175,000</w:t>
      </w:r>
      <w:r w:rsidRPr="00055F7A">
        <w:rPr>
          <w:rFonts w:ascii="Times New Roman" w:hAnsi="Times New Roman"/>
        </w:rPr>
        <w:t xml:space="preserve"> materials and postage costs = $</w:t>
      </w:r>
      <w:r w:rsidR="006A3B4C">
        <w:rPr>
          <w:rFonts w:ascii="Times New Roman" w:hAnsi="Times New Roman"/>
        </w:rPr>
        <w:t>3</w:t>
      </w:r>
      <w:r w:rsidR="00657EE6">
        <w:rPr>
          <w:rFonts w:ascii="Times New Roman" w:hAnsi="Times New Roman"/>
        </w:rPr>
        <w:t>1</w:t>
      </w:r>
      <w:r w:rsidR="006A3B4C">
        <w:rPr>
          <w:rFonts w:ascii="Times New Roman" w:hAnsi="Times New Roman"/>
        </w:rPr>
        <w:t>.</w:t>
      </w:r>
      <w:r w:rsidR="00657EE6">
        <w:rPr>
          <w:rFonts w:ascii="Times New Roman" w:hAnsi="Times New Roman"/>
        </w:rPr>
        <w:t>6</w:t>
      </w:r>
      <w:r w:rsidRPr="00055F7A">
        <w:rPr>
          <w:rFonts w:ascii="Times New Roman" w:hAnsi="Times New Roman"/>
        </w:rPr>
        <w:t xml:space="preserve"> million total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A657D" w14:textId="77777777" w:rsidR="00A50EE3" w:rsidRPr="005E3C47" w:rsidRDefault="00A50EE3" w:rsidP="004005FE">
    <w:pPr>
      <w:pStyle w:val="Heading1"/>
      <w:spacing w:before="0"/>
      <w:jc w:val="right"/>
      <w:rPr>
        <w:rFonts w:ascii="Times New Roman" w:hAnsi="Times New Roman" w:cs="Times New Roman"/>
        <w:color w:val="auto"/>
        <w:sz w:val="20"/>
        <w:szCs w:val="20"/>
      </w:rPr>
    </w:pPr>
    <w:r>
      <w:rPr>
        <w:rFonts w:ascii="Times New Roman" w:hAnsi="Times New Roman" w:cs="Times New Roman"/>
        <w:color w:val="auto"/>
        <w:sz w:val="20"/>
        <w:szCs w:val="20"/>
      </w:rPr>
      <w:t xml:space="preserve">Insurance Marketing Organization </w:t>
    </w:r>
    <w:r w:rsidRPr="005E3C47">
      <w:rPr>
        <w:rFonts w:ascii="Times New Roman" w:hAnsi="Times New Roman" w:cs="Times New Roman"/>
        <w:color w:val="auto"/>
        <w:sz w:val="20"/>
        <w:szCs w:val="20"/>
      </w:rPr>
      <w:t>Exemption</w:t>
    </w:r>
  </w:p>
  <w:p w14:paraId="0B4430F9" w14:textId="77777777" w:rsidR="00A50EE3" w:rsidRPr="005E3C47" w:rsidRDefault="00A50EE3" w:rsidP="004005FE">
    <w:pPr>
      <w:pStyle w:val="Heading1"/>
      <w:spacing w:before="0"/>
      <w:jc w:val="right"/>
      <w:rPr>
        <w:rFonts w:ascii="Times New Roman" w:hAnsi="Times New Roman" w:cs="Times New Roman"/>
        <w:color w:val="auto"/>
        <w:sz w:val="20"/>
        <w:szCs w:val="20"/>
      </w:rPr>
    </w:pPr>
    <w:r>
      <w:rPr>
        <w:rFonts w:ascii="Times New Roman" w:hAnsi="Times New Roman" w:cs="Times New Roman"/>
        <w:color w:val="auto"/>
        <w:sz w:val="20"/>
        <w:szCs w:val="20"/>
      </w:rPr>
      <w:t xml:space="preserve">OMB Control Number </w:t>
    </w:r>
    <w:r w:rsidRPr="005E3C47">
      <w:rPr>
        <w:rFonts w:ascii="Times New Roman" w:hAnsi="Times New Roman" w:cs="Times New Roman"/>
        <w:color w:val="auto"/>
        <w:sz w:val="20"/>
        <w:szCs w:val="20"/>
      </w:rPr>
      <w:t>1210-</w:t>
    </w:r>
    <w:r>
      <w:rPr>
        <w:rFonts w:ascii="Times New Roman" w:hAnsi="Times New Roman" w:cs="Times New Roman"/>
        <w:color w:val="auto"/>
        <w:sz w:val="20"/>
        <w:szCs w:val="20"/>
      </w:rPr>
      <w:t>NEW</w:t>
    </w:r>
  </w:p>
  <w:p w14:paraId="52177BA6" w14:textId="757B978A" w:rsidR="00A50EE3" w:rsidRPr="00D229D4" w:rsidRDefault="00E476B0" w:rsidP="00A40345">
    <w:pPr>
      <w:pStyle w:val="Heading1"/>
      <w:spacing w:before="0"/>
      <w:jc w:val="right"/>
      <w:rPr>
        <w:rFonts w:ascii="Times New Roman" w:hAnsi="Times New Roman"/>
        <w:sz w:val="20"/>
        <w:szCs w:val="20"/>
      </w:rPr>
    </w:pPr>
    <w:r>
      <w:rPr>
        <w:rFonts w:ascii="Times New Roman" w:hAnsi="Times New Roman" w:cs="Times New Roman"/>
        <w:color w:val="auto"/>
        <w:sz w:val="20"/>
        <w:szCs w:val="20"/>
      </w:rPr>
      <w:t>January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5C4D4" w14:textId="77777777" w:rsidR="00AB14FD" w:rsidRPr="00AB14FD" w:rsidRDefault="00AB14FD" w:rsidP="00AB14FD">
    <w:pPr>
      <w:keepNext/>
      <w:keepLines/>
      <w:jc w:val="right"/>
      <w:outlineLvl w:val="0"/>
      <w:rPr>
        <w:rFonts w:ascii="Times New Roman" w:eastAsiaTheme="majorEastAsia" w:hAnsi="Times New Roman"/>
        <w:b/>
        <w:bCs/>
        <w:sz w:val="20"/>
        <w:szCs w:val="20"/>
      </w:rPr>
    </w:pPr>
    <w:r w:rsidRPr="00AB14FD">
      <w:rPr>
        <w:rFonts w:ascii="Times New Roman" w:eastAsiaTheme="majorEastAsia" w:hAnsi="Times New Roman"/>
        <w:b/>
        <w:bCs/>
        <w:sz w:val="20"/>
        <w:szCs w:val="20"/>
      </w:rPr>
      <w:t>Insurance Marketing Organization Exemption</w:t>
    </w:r>
  </w:p>
  <w:p w14:paraId="32CCB8A2" w14:textId="77777777" w:rsidR="00AB14FD" w:rsidRPr="00AB14FD" w:rsidRDefault="00AB14FD" w:rsidP="00AB14FD">
    <w:pPr>
      <w:keepNext/>
      <w:keepLines/>
      <w:jc w:val="right"/>
      <w:outlineLvl w:val="0"/>
      <w:rPr>
        <w:rFonts w:ascii="Times New Roman" w:eastAsiaTheme="majorEastAsia" w:hAnsi="Times New Roman"/>
        <w:b/>
        <w:bCs/>
        <w:sz w:val="20"/>
        <w:szCs w:val="20"/>
      </w:rPr>
    </w:pPr>
    <w:r w:rsidRPr="00AB14FD">
      <w:rPr>
        <w:rFonts w:ascii="Times New Roman" w:eastAsiaTheme="majorEastAsia" w:hAnsi="Times New Roman"/>
        <w:b/>
        <w:bCs/>
        <w:sz w:val="20"/>
        <w:szCs w:val="20"/>
      </w:rPr>
      <w:t>OMB Control Number 1210-NEW</w:t>
    </w:r>
  </w:p>
  <w:p w14:paraId="6513CAFB" w14:textId="47FE4B2D" w:rsidR="00A50EE3" w:rsidRPr="00AC2A80" w:rsidRDefault="00E476B0">
    <w:pPr>
      <w:ind w:firstLine="7920"/>
      <w:jc w:val="right"/>
      <w:rPr>
        <w:rFonts w:ascii="Times New Roman" w:hAnsi="Times New Roman"/>
        <w:b/>
        <w:sz w:val="20"/>
        <w:szCs w:val="20"/>
      </w:rPr>
    </w:pPr>
    <w:r>
      <w:rPr>
        <w:rFonts w:ascii="Times New Roman" w:eastAsiaTheme="majorEastAsia" w:hAnsi="Times New Roman"/>
        <w:b/>
        <w:bCs/>
        <w:sz w:val="20"/>
        <w:szCs w:val="20"/>
      </w:rPr>
      <w:t>January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22645E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7090DE0"/>
    <w:multiLevelType w:val="hybridMultilevel"/>
    <w:tmpl w:val="1D907AF0"/>
    <w:lvl w:ilvl="0" w:tplc="E7681B7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4D3DDA"/>
    <w:multiLevelType w:val="hybridMultilevel"/>
    <w:tmpl w:val="04CE9F6C"/>
    <w:lvl w:ilvl="0" w:tplc="E6E21048">
      <w:start w:val="1"/>
      <w:numFmt w:val="bullet"/>
      <w:lvlText w:val="•"/>
      <w:lvlJc w:val="left"/>
      <w:pPr>
        <w:ind w:left="1080" w:hanging="360"/>
      </w:pPr>
      <w:rPr>
        <w:rFonts w:hint="default"/>
        <w:color w:val="000099"/>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E45B2B"/>
    <w:multiLevelType w:val="hybridMultilevel"/>
    <w:tmpl w:val="8CBC6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3A170C"/>
    <w:multiLevelType w:val="hybridMultilevel"/>
    <w:tmpl w:val="B32E6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3F2741"/>
    <w:multiLevelType w:val="hybridMultilevel"/>
    <w:tmpl w:val="828A487A"/>
    <w:lvl w:ilvl="0" w:tplc="6046D81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213F8F"/>
    <w:multiLevelType w:val="hybridMultilevel"/>
    <w:tmpl w:val="2870B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rPr>
          <w:sz w:val="24"/>
          <w:szCs w:val="24"/>
        </w:rPr>
      </w:lvl>
    </w:lvlOverride>
  </w:num>
  <w:num w:numId="5">
    <w:abstractNumId w:val="5"/>
  </w:num>
  <w:num w:numId="6">
    <w:abstractNumId w:val="3"/>
  </w:num>
  <w:num w:numId="7">
    <w:abstractNumId w:val="6"/>
  </w:num>
  <w:num w:numId="8">
    <w:abstractNumId w:val="7"/>
  </w:num>
  <w:num w:numId="9">
    <w:abstractNumId w:val="2"/>
  </w:num>
  <w:num w:numId="10">
    <w:abstractNumId w:val="1"/>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Lloyd">
    <w15:presenceInfo w15:providerId="Windows Live" w15:userId="c7b359b4466626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activeWritingStyle w:appName="MSWord" w:lang="en-US" w:vendorID="64" w:dllVersion="0"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B2"/>
    <w:rsid w:val="00002D5A"/>
    <w:rsid w:val="0000307E"/>
    <w:rsid w:val="00005B9D"/>
    <w:rsid w:val="00011926"/>
    <w:rsid w:val="000161DA"/>
    <w:rsid w:val="00016BD6"/>
    <w:rsid w:val="00017B24"/>
    <w:rsid w:val="00023C9C"/>
    <w:rsid w:val="00025932"/>
    <w:rsid w:val="00027AD1"/>
    <w:rsid w:val="00032BA6"/>
    <w:rsid w:val="0003582C"/>
    <w:rsid w:val="00035D57"/>
    <w:rsid w:val="00035EEC"/>
    <w:rsid w:val="00036897"/>
    <w:rsid w:val="00037342"/>
    <w:rsid w:val="00042AE8"/>
    <w:rsid w:val="0004789D"/>
    <w:rsid w:val="00050782"/>
    <w:rsid w:val="00050FCD"/>
    <w:rsid w:val="00051F87"/>
    <w:rsid w:val="00052C90"/>
    <w:rsid w:val="00053D90"/>
    <w:rsid w:val="00055F15"/>
    <w:rsid w:val="00056178"/>
    <w:rsid w:val="00056CFD"/>
    <w:rsid w:val="00060955"/>
    <w:rsid w:val="00064FC4"/>
    <w:rsid w:val="00071ACC"/>
    <w:rsid w:val="000746C8"/>
    <w:rsid w:val="00077245"/>
    <w:rsid w:val="00081718"/>
    <w:rsid w:val="0008220D"/>
    <w:rsid w:val="00083CBB"/>
    <w:rsid w:val="00086B84"/>
    <w:rsid w:val="00086E08"/>
    <w:rsid w:val="0009110A"/>
    <w:rsid w:val="000930A5"/>
    <w:rsid w:val="00094534"/>
    <w:rsid w:val="00095B1E"/>
    <w:rsid w:val="00096526"/>
    <w:rsid w:val="000A13E9"/>
    <w:rsid w:val="000A1A97"/>
    <w:rsid w:val="000A36E0"/>
    <w:rsid w:val="000A5912"/>
    <w:rsid w:val="000A745A"/>
    <w:rsid w:val="000B2A59"/>
    <w:rsid w:val="000B33E5"/>
    <w:rsid w:val="000B73EE"/>
    <w:rsid w:val="000C623B"/>
    <w:rsid w:val="000C6C76"/>
    <w:rsid w:val="000D4E21"/>
    <w:rsid w:val="000E0784"/>
    <w:rsid w:val="000E1156"/>
    <w:rsid w:val="000E2F26"/>
    <w:rsid w:val="000E3E6A"/>
    <w:rsid w:val="000E5A4F"/>
    <w:rsid w:val="000E7909"/>
    <w:rsid w:val="000F1E7F"/>
    <w:rsid w:val="000F27E6"/>
    <w:rsid w:val="000F47CB"/>
    <w:rsid w:val="000F4CA6"/>
    <w:rsid w:val="000F7F3C"/>
    <w:rsid w:val="001022EF"/>
    <w:rsid w:val="0010308D"/>
    <w:rsid w:val="001037F9"/>
    <w:rsid w:val="00106138"/>
    <w:rsid w:val="001075C9"/>
    <w:rsid w:val="00107793"/>
    <w:rsid w:val="0010798A"/>
    <w:rsid w:val="0011176D"/>
    <w:rsid w:val="00115A07"/>
    <w:rsid w:val="0011732B"/>
    <w:rsid w:val="001174DB"/>
    <w:rsid w:val="00120F59"/>
    <w:rsid w:val="00121051"/>
    <w:rsid w:val="00122D70"/>
    <w:rsid w:val="00124093"/>
    <w:rsid w:val="00125C8A"/>
    <w:rsid w:val="00125E59"/>
    <w:rsid w:val="00127AAC"/>
    <w:rsid w:val="00130F98"/>
    <w:rsid w:val="00135D3F"/>
    <w:rsid w:val="001377CF"/>
    <w:rsid w:val="00141C5D"/>
    <w:rsid w:val="00141F49"/>
    <w:rsid w:val="00146A1E"/>
    <w:rsid w:val="00147662"/>
    <w:rsid w:val="001503DE"/>
    <w:rsid w:val="00151310"/>
    <w:rsid w:val="001531B7"/>
    <w:rsid w:val="001534C9"/>
    <w:rsid w:val="00162809"/>
    <w:rsid w:val="00164F42"/>
    <w:rsid w:val="00167408"/>
    <w:rsid w:val="00170217"/>
    <w:rsid w:val="00170C9E"/>
    <w:rsid w:val="0017169C"/>
    <w:rsid w:val="00176590"/>
    <w:rsid w:val="00176829"/>
    <w:rsid w:val="001807F0"/>
    <w:rsid w:val="00180CDE"/>
    <w:rsid w:val="00181056"/>
    <w:rsid w:val="0018383A"/>
    <w:rsid w:val="00184544"/>
    <w:rsid w:val="001845AE"/>
    <w:rsid w:val="00185B27"/>
    <w:rsid w:val="00186F7A"/>
    <w:rsid w:val="0018762D"/>
    <w:rsid w:val="00190A4A"/>
    <w:rsid w:val="00192E1F"/>
    <w:rsid w:val="001938A5"/>
    <w:rsid w:val="001A009A"/>
    <w:rsid w:val="001A083E"/>
    <w:rsid w:val="001A0AF5"/>
    <w:rsid w:val="001A47D1"/>
    <w:rsid w:val="001A61FC"/>
    <w:rsid w:val="001B1D9C"/>
    <w:rsid w:val="001B4268"/>
    <w:rsid w:val="001B6595"/>
    <w:rsid w:val="001B7DBC"/>
    <w:rsid w:val="001D039E"/>
    <w:rsid w:val="001D06E4"/>
    <w:rsid w:val="001D11ED"/>
    <w:rsid w:val="001D2253"/>
    <w:rsid w:val="001D6342"/>
    <w:rsid w:val="001D69A5"/>
    <w:rsid w:val="001E2E5A"/>
    <w:rsid w:val="001F1CB8"/>
    <w:rsid w:val="001F1DDF"/>
    <w:rsid w:val="001F6BF2"/>
    <w:rsid w:val="002043DF"/>
    <w:rsid w:val="00206033"/>
    <w:rsid w:val="00206A09"/>
    <w:rsid w:val="00213639"/>
    <w:rsid w:val="00214EB3"/>
    <w:rsid w:val="0021698D"/>
    <w:rsid w:val="00225667"/>
    <w:rsid w:val="00231511"/>
    <w:rsid w:val="002322CA"/>
    <w:rsid w:val="00235B48"/>
    <w:rsid w:val="00236C3C"/>
    <w:rsid w:val="0024351B"/>
    <w:rsid w:val="00244025"/>
    <w:rsid w:val="00246FB1"/>
    <w:rsid w:val="002473B5"/>
    <w:rsid w:val="0025109F"/>
    <w:rsid w:val="00252E19"/>
    <w:rsid w:val="00253598"/>
    <w:rsid w:val="002545B7"/>
    <w:rsid w:val="00255A3C"/>
    <w:rsid w:val="0026123F"/>
    <w:rsid w:val="00261479"/>
    <w:rsid w:val="00266481"/>
    <w:rsid w:val="00266850"/>
    <w:rsid w:val="00266EDF"/>
    <w:rsid w:val="0026788F"/>
    <w:rsid w:val="0027087C"/>
    <w:rsid w:val="0027458F"/>
    <w:rsid w:val="00274E41"/>
    <w:rsid w:val="00275538"/>
    <w:rsid w:val="00281E9E"/>
    <w:rsid w:val="00282968"/>
    <w:rsid w:val="002838C0"/>
    <w:rsid w:val="00283DF2"/>
    <w:rsid w:val="0028488A"/>
    <w:rsid w:val="00287350"/>
    <w:rsid w:val="002952AB"/>
    <w:rsid w:val="00297496"/>
    <w:rsid w:val="002A36A8"/>
    <w:rsid w:val="002A3B6A"/>
    <w:rsid w:val="002A49B1"/>
    <w:rsid w:val="002A53E8"/>
    <w:rsid w:val="002A7E08"/>
    <w:rsid w:val="002B0A04"/>
    <w:rsid w:val="002B36B3"/>
    <w:rsid w:val="002B464C"/>
    <w:rsid w:val="002B56E5"/>
    <w:rsid w:val="002C02D8"/>
    <w:rsid w:val="002C230B"/>
    <w:rsid w:val="002C6994"/>
    <w:rsid w:val="002D32A9"/>
    <w:rsid w:val="002E172C"/>
    <w:rsid w:val="002E2F5D"/>
    <w:rsid w:val="002E36D9"/>
    <w:rsid w:val="002E3719"/>
    <w:rsid w:val="002E46A1"/>
    <w:rsid w:val="002E4E55"/>
    <w:rsid w:val="002F4663"/>
    <w:rsid w:val="002F475C"/>
    <w:rsid w:val="00300D26"/>
    <w:rsid w:val="003013D4"/>
    <w:rsid w:val="003036FF"/>
    <w:rsid w:val="003079FF"/>
    <w:rsid w:val="00307CD5"/>
    <w:rsid w:val="00310B99"/>
    <w:rsid w:val="00313C65"/>
    <w:rsid w:val="00314208"/>
    <w:rsid w:val="00314282"/>
    <w:rsid w:val="003173F9"/>
    <w:rsid w:val="00320BD8"/>
    <w:rsid w:val="00321524"/>
    <w:rsid w:val="0032614D"/>
    <w:rsid w:val="00330CCD"/>
    <w:rsid w:val="003329A4"/>
    <w:rsid w:val="00333A5F"/>
    <w:rsid w:val="00334825"/>
    <w:rsid w:val="00336285"/>
    <w:rsid w:val="00341105"/>
    <w:rsid w:val="00343898"/>
    <w:rsid w:val="00346280"/>
    <w:rsid w:val="003465EB"/>
    <w:rsid w:val="00346D15"/>
    <w:rsid w:val="0034754B"/>
    <w:rsid w:val="0034785F"/>
    <w:rsid w:val="003550BF"/>
    <w:rsid w:val="00356710"/>
    <w:rsid w:val="00356D5B"/>
    <w:rsid w:val="00360DC4"/>
    <w:rsid w:val="00367BDB"/>
    <w:rsid w:val="0037026E"/>
    <w:rsid w:val="003816A1"/>
    <w:rsid w:val="003838AE"/>
    <w:rsid w:val="00384AEC"/>
    <w:rsid w:val="0038552B"/>
    <w:rsid w:val="00385CFC"/>
    <w:rsid w:val="00386949"/>
    <w:rsid w:val="00392ADD"/>
    <w:rsid w:val="00395C1F"/>
    <w:rsid w:val="003A16BA"/>
    <w:rsid w:val="003A21C1"/>
    <w:rsid w:val="003A5560"/>
    <w:rsid w:val="003A7E06"/>
    <w:rsid w:val="003B178A"/>
    <w:rsid w:val="003B35C2"/>
    <w:rsid w:val="003B3904"/>
    <w:rsid w:val="003B4625"/>
    <w:rsid w:val="003B6997"/>
    <w:rsid w:val="003C6011"/>
    <w:rsid w:val="003C7BA5"/>
    <w:rsid w:val="003D0096"/>
    <w:rsid w:val="003D1521"/>
    <w:rsid w:val="003D1D8B"/>
    <w:rsid w:val="003D3ACC"/>
    <w:rsid w:val="003D43AE"/>
    <w:rsid w:val="003D5BAC"/>
    <w:rsid w:val="003D71A2"/>
    <w:rsid w:val="003D7A2D"/>
    <w:rsid w:val="003E0FAC"/>
    <w:rsid w:val="003E28F6"/>
    <w:rsid w:val="003E43D3"/>
    <w:rsid w:val="003E45EE"/>
    <w:rsid w:val="003E64D9"/>
    <w:rsid w:val="003F3113"/>
    <w:rsid w:val="003F39BE"/>
    <w:rsid w:val="003F3C6E"/>
    <w:rsid w:val="004005FE"/>
    <w:rsid w:val="00400920"/>
    <w:rsid w:val="00400932"/>
    <w:rsid w:val="00405086"/>
    <w:rsid w:val="0040585D"/>
    <w:rsid w:val="00410C54"/>
    <w:rsid w:val="004158FF"/>
    <w:rsid w:val="00416E65"/>
    <w:rsid w:val="004172E2"/>
    <w:rsid w:val="00421CE6"/>
    <w:rsid w:val="00424085"/>
    <w:rsid w:val="00426763"/>
    <w:rsid w:val="004275D4"/>
    <w:rsid w:val="00431EE1"/>
    <w:rsid w:val="0043267E"/>
    <w:rsid w:val="0043303C"/>
    <w:rsid w:val="004342CA"/>
    <w:rsid w:val="0043451E"/>
    <w:rsid w:val="00436A32"/>
    <w:rsid w:val="0044435A"/>
    <w:rsid w:val="00444795"/>
    <w:rsid w:val="00445B46"/>
    <w:rsid w:val="0044727C"/>
    <w:rsid w:val="00456561"/>
    <w:rsid w:val="00457E30"/>
    <w:rsid w:val="004612F7"/>
    <w:rsid w:val="00472882"/>
    <w:rsid w:val="0047500F"/>
    <w:rsid w:val="00475204"/>
    <w:rsid w:val="0048386B"/>
    <w:rsid w:val="00484B84"/>
    <w:rsid w:val="004850C8"/>
    <w:rsid w:val="00486F87"/>
    <w:rsid w:val="0048708F"/>
    <w:rsid w:val="004875B9"/>
    <w:rsid w:val="00491CEA"/>
    <w:rsid w:val="00491F77"/>
    <w:rsid w:val="0049266B"/>
    <w:rsid w:val="004960AD"/>
    <w:rsid w:val="004A1371"/>
    <w:rsid w:val="004A1B02"/>
    <w:rsid w:val="004A30F5"/>
    <w:rsid w:val="004A55DE"/>
    <w:rsid w:val="004A57CF"/>
    <w:rsid w:val="004A7ED5"/>
    <w:rsid w:val="004B0755"/>
    <w:rsid w:val="004B1282"/>
    <w:rsid w:val="004B54CA"/>
    <w:rsid w:val="004B5C29"/>
    <w:rsid w:val="004B5F9F"/>
    <w:rsid w:val="004C7172"/>
    <w:rsid w:val="004D1676"/>
    <w:rsid w:val="004D18EE"/>
    <w:rsid w:val="004D4B58"/>
    <w:rsid w:val="004D5CFD"/>
    <w:rsid w:val="004D7458"/>
    <w:rsid w:val="004E1D3C"/>
    <w:rsid w:val="004E33C7"/>
    <w:rsid w:val="004E3994"/>
    <w:rsid w:val="004E3DC1"/>
    <w:rsid w:val="004E6238"/>
    <w:rsid w:val="004E6C54"/>
    <w:rsid w:val="004F0204"/>
    <w:rsid w:val="004F0FB6"/>
    <w:rsid w:val="004F3568"/>
    <w:rsid w:val="004F433B"/>
    <w:rsid w:val="00500B6C"/>
    <w:rsid w:val="0050232D"/>
    <w:rsid w:val="005077F2"/>
    <w:rsid w:val="0051082B"/>
    <w:rsid w:val="005156CF"/>
    <w:rsid w:val="00516053"/>
    <w:rsid w:val="00516E21"/>
    <w:rsid w:val="005222C3"/>
    <w:rsid w:val="0052354A"/>
    <w:rsid w:val="00523815"/>
    <w:rsid w:val="00525182"/>
    <w:rsid w:val="005278BF"/>
    <w:rsid w:val="00531817"/>
    <w:rsid w:val="00532368"/>
    <w:rsid w:val="00534AD6"/>
    <w:rsid w:val="00536C6C"/>
    <w:rsid w:val="0053789C"/>
    <w:rsid w:val="00540DA6"/>
    <w:rsid w:val="00541F6D"/>
    <w:rsid w:val="005438AF"/>
    <w:rsid w:val="00546544"/>
    <w:rsid w:val="005473E2"/>
    <w:rsid w:val="00551D9F"/>
    <w:rsid w:val="00557439"/>
    <w:rsid w:val="00560E62"/>
    <w:rsid w:val="0056339E"/>
    <w:rsid w:val="00565446"/>
    <w:rsid w:val="0056557B"/>
    <w:rsid w:val="005702BB"/>
    <w:rsid w:val="00573A9F"/>
    <w:rsid w:val="0057444C"/>
    <w:rsid w:val="005748FC"/>
    <w:rsid w:val="00575B6D"/>
    <w:rsid w:val="00580110"/>
    <w:rsid w:val="0058453C"/>
    <w:rsid w:val="00586B52"/>
    <w:rsid w:val="00586F18"/>
    <w:rsid w:val="0058745F"/>
    <w:rsid w:val="00591047"/>
    <w:rsid w:val="00594689"/>
    <w:rsid w:val="005958CF"/>
    <w:rsid w:val="005962C6"/>
    <w:rsid w:val="00596F84"/>
    <w:rsid w:val="005A0FA1"/>
    <w:rsid w:val="005A140D"/>
    <w:rsid w:val="005A4C0E"/>
    <w:rsid w:val="005A505D"/>
    <w:rsid w:val="005A5298"/>
    <w:rsid w:val="005A72B6"/>
    <w:rsid w:val="005B099C"/>
    <w:rsid w:val="005B3B59"/>
    <w:rsid w:val="005B506D"/>
    <w:rsid w:val="005B641C"/>
    <w:rsid w:val="005C24D3"/>
    <w:rsid w:val="005C5F3C"/>
    <w:rsid w:val="005C6D5B"/>
    <w:rsid w:val="005C784B"/>
    <w:rsid w:val="005C7C67"/>
    <w:rsid w:val="005D2CF4"/>
    <w:rsid w:val="005D3A01"/>
    <w:rsid w:val="005D46A6"/>
    <w:rsid w:val="005D72B5"/>
    <w:rsid w:val="005E1D0D"/>
    <w:rsid w:val="005E2587"/>
    <w:rsid w:val="005E36E2"/>
    <w:rsid w:val="005E56AE"/>
    <w:rsid w:val="005E5CB6"/>
    <w:rsid w:val="005E6615"/>
    <w:rsid w:val="005F011C"/>
    <w:rsid w:val="005F1E77"/>
    <w:rsid w:val="005F1F4C"/>
    <w:rsid w:val="005F2806"/>
    <w:rsid w:val="005F331B"/>
    <w:rsid w:val="005F33D3"/>
    <w:rsid w:val="005F7748"/>
    <w:rsid w:val="006016C8"/>
    <w:rsid w:val="006037A4"/>
    <w:rsid w:val="006061E4"/>
    <w:rsid w:val="006206A5"/>
    <w:rsid w:val="00622521"/>
    <w:rsid w:val="00625824"/>
    <w:rsid w:val="00626CEA"/>
    <w:rsid w:val="006305FF"/>
    <w:rsid w:val="00631945"/>
    <w:rsid w:val="006320D6"/>
    <w:rsid w:val="00633B2B"/>
    <w:rsid w:val="00633D0E"/>
    <w:rsid w:val="00635990"/>
    <w:rsid w:val="0063617A"/>
    <w:rsid w:val="00636752"/>
    <w:rsid w:val="006419C6"/>
    <w:rsid w:val="00643355"/>
    <w:rsid w:val="00643B92"/>
    <w:rsid w:val="006440F3"/>
    <w:rsid w:val="00645493"/>
    <w:rsid w:val="006464FA"/>
    <w:rsid w:val="00646722"/>
    <w:rsid w:val="006508FE"/>
    <w:rsid w:val="00650EA3"/>
    <w:rsid w:val="00652645"/>
    <w:rsid w:val="00652808"/>
    <w:rsid w:val="00653834"/>
    <w:rsid w:val="00653B95"/>
    <w:rsid w:val="00653CC1"/>
    <w:rsid w:val="00657E1F"/>
    <w:rsid w:val="00657EE6"/>
    <w:rsid w:val="00660120"/>
    <w:rsid w:val="006615E9"/>
    <w:rsid w:val="00672161"/>
    <w:rsid w:val="006723EC"/>
    <w:rsid w:val="00672CAD"/>
    <w:rsid w:val="006755C0"/>
    <w:rsid w:val="00675A8A"/>
    <w:rsid w:val="00675F93"/>
    <w:rsid w:val="00681902"/>
    <w:rsid w:val="00685E2F"/>
    <w:rsid w:val="0069198A"/>
    <w:rsid w:val="00691CDE"/>
    <w:rsid w:val="0069378C"/>
    <w:rsid w:val="006953FA"/>
    <w:rsid w:val="0069719F"/>
    <w:rsid w:val="006A3B4C"/>
    <w:rsid w:val="006A4D80"/>
    <w:rsid w:val="006A53AC"/>
    <w:rsid w:val="006A7BFC"/>
    <w:rsid w:val="006B0577"/>
    <w:rsid w:val="006B0A93"/>
    <w:rsid w:val="006B1F54"/>
    <w:rsid w:val="006B55DB"/>
    <w:rsid w:val="006C4505"/>
    <w:rsid w:val="006C6600"/>
    <w:rsid w:val="006D071C"/>
    <w:rsid w:val="006D26A0"/>
    <w:rsid w:val="006D450E"/>
    <w:rsid w:val="006E2312"/>
    <w:rsid w:val="006E2CBF"/>
    <w:rsid w:val="006E4DCB"/>
    <w:rsid w:val="006E6D9B"/>
    <w:rsid w:val="006E6E49"/>
    <w:rsid w:val="006E7303"/>
    <w:rsid w:val="006E799E"/>
    <w:rsid w:val="006F2E23"/>
    <w:rsid w:val="006F4841"/>
    <w:rsid w:val="0070488A"/>
    <w:rsid w:val="007056F5"/>
    <w:rsid w:val="00705EEA"/>
    <w:rsid w:val="00716F0E"/>
    <w:rsid w:val="00717F34"/>
    <w:rsid w:val="00720427"/>
    <w:rsid w:val="0072154E"/>
    <w:rsid w:val="00723B3F"/>
    <w:rsid w:val="00724F28"/>
    <w:rsid w:val="00730767"/>
    <w:rsid w:val="00733479"/>
    <w:rsid w:val="00734BA3"/>
    <w:rsid w:val="007367D2"/>
    <w:rsid w:val="00737736"/>
    <w:rsid w:val="0074025B"/>
    <w:rsid w:val="00741FC0"/>
    <w:rsid w:val="00746709"/>
    <w:rsid w:val="007469C2"/>
    <w:rsid w:val="00747506"/>
    <w:rsid w:val="00747797"/>
    <w:rsid w:val="007557A2"/>
    <w:rsid w:val="00756456"/>
    <w:rsid w:val="0075739B"/>
    <w:rsid w:val="007607F6"/>
    <w:rsid w:val="00765476"/>
    <w:rsid w:val="00765614"/>
    <w:rsid w:val="00766335"/>
    <w:rsid w:val="00766E66"/>
    <w:rsid w:val="007672B5"/>
    <w:rsid w:val="00774F8E"/>
    <w:rsid w:val="00780DB6"/>
    <w:rsid w:val="00783B50"/>
    <w:rsid w:val="00784FD1"/>
    <w:rsid w:val="00787555"/>
    <w:rsid w:val="0079199A"/>
    <w:rsid w:val="00793C1C"/>
    <w:rsid w:val="00795141"/>
    <w:rsid w:val="007957FD"/>
    <w:rsid w:val="007A1894"/>
    <w:rsid w:val="007A314A"/>
    <w:rsid w:val="007A3257"/>
    <w:rsid w:val="007A50CD"/>
    <w:rsid w:val="007A7C8F"/>
    <w:rsid w:val="007A7D4D"/>
    <w:rsid w:val="007A7EB4"/>
    <w:rsid w:val="007B2693"/>
    <w:rsid w:val="007B3040"/>
    <w:rsid w:val="007C054E"/>
    <w:rsid w:val="007C057C"/>
    <w:rsid w:val="007C0837"/>
    <w:rsid w:val="007C30F2"/>
    <w:rsid w:val="007C3945"/>
    <w:rsid w:val="007C4AE7"/>
    <w:rsid w:val="007C5283"/>
    <w:rsid w:val="007D2CB8"/>
    <w:rsid w:val="007D38E6"/>
    <w:rsid w:val="007D625F"/>
    <w:rsid w:val="007D75F2"/>
    <w:rsid w:val="007E1313"/>
    <w:rsid w:val="007E2D08"/>
    <w:rsid w:val="007F0D11"/>
    <w:rsid w:val="007F1BE6"/>
    <w:rsid w:val="007F2856"/>
    <w:rsid w:val="007F3999"/>
    <w:rsid w:val="007F72A5"/>
    <w:rsid w:val="0080062F"/>
    <w:rsid w:val="00800692"/>
    <w:rsid w:val="008022D5"/>
    <w:rsid w:val="00803A52"/>
    <w:rsid w:val="0080517F"/>
    <w:rsid w:val="00805EB9"/>
    <w:rsid w:val="008069FE"/>
    <w:rsid w:val="00807A48"/>
    <w:rsid w:val="0081302D"/>
    <w:rsid w:val="00813B1D"/>
    <w:rsid w:val="00814DAB"/>
    <w:rsid w:val="0081565C"/>
    <w:rsid w:val="0081683B"/>
    <w:rsid w:val="00816964"/>
    <w:rsid w:val="00816F97"/>
    <w:rsid w:val="00817C13"/>
    <w:rsid w:val="00826A79"/>
    <w:rsid w:val="00827ACA"/>
    <w:rsid w:val="00833431"/>
    <w:rsid w:val="0083382F"/>
    <w:rsid w:val="00842412"/>
    <w:rsid w:val="00842614"/>
    <w:rsid w:val="0084313F"/>
    <w:rsid w:val="00845480"/>
    <w:rsid w:val="00846808"/>
    <w:rsid w:val="00847780"/>
    <w:rsid w:val="00850C17"/>
    <w:rsid w:val="00852DFA"/>
    <w:rsid w:val="00852F85"/>
    <w:rsid w:val="0085566C"/>
    <w:rsid w:val="00857EE7"/>
    <w:rsid w:val="00860444"/>
    <w:rsid w:val="0086272E"/>
    <w:rsid w:val="00863948"/>
    <w:rsid w:val="008652FF"/>
    <w:rsid w:val="008658D1"/>
    <w:rsid w:val="008709A7"/>
    <w:rsid w:val="00871894"/>
    <w:rsid w:val="008805FB"/>
    <w:rsid w:val="00880BEC"/>
    <w:rsid w:val="00884B1A"/>
    <w:rsid w:val="00884E68"/>
    <w:rsid w:val="00886E24"/>
    <w:rsid w:val="00890242"/>
    <w:rsid w:val="00892A6C"/>
    <w:rsid w:val="008A1E97"/>
    <w:rsid w:val="008A26BD"/>
    <w:rsid w:val="008A32B2"/>
    <w:rsid w:val="008A355B"/>
    <w:rsid w:val="008A35F3"/>
    <w:rsid w:val="008A3CC6"/>
    <w:rsid w:val="008A7561"/>
    <w:rsid w:val="008A7816"/>
    <w:rsid w:val="008B22D3"/>
    <w:rsid w:val="008B2372"/>
    <w:rsid w:val="008B414B"/>
    <w:rsid w:val="008B4401"/>
    <w:rsid w:val="008B59D7"/>
    <w:rsid w:val="008B64C7"/>
    <w:rsid w:val="008C0D19"/>
    <w:rsid w:val="008C331B"/>
    <w:rsid w:val="008C3987"/>
    <w:rsid w:val="008C7AA2"/>
    <w:rsid w:val="008D140D"/>
    <w:rsid w:val="008D174D"/>
    <w:rsid w:val="008D27BA"/>
    <w:rsid w:val="008D339C"/>
    <w:rsid w:val="008D4303"/>
    <w:rsid w:val="008D52A1"/>
    <w:rsid w:val="008D771C"/>
    <w:rsid w:val="008D7ED8"/>
    <w:rsid w:val="008E0D61"/>
    <w:rsid w:val="008E3423"/>
    <w:rsid w:val="008F23A9"/>
    <w:rsid w:val="008F307A"/>
    <w:rsid w:val="008F35B1"/>
    <w:rsid w:val="00900974"/>
    <w:rsid w:val="0090264B"/>
    <w:rsid w:val="00902F60"/>
    <w:rsid w:val="0090313C"/>
    <w:rsid w:val="00903D15"/>
    <w:rsid w:val="00910E30"/>
    <w:rsid w:val="00911B00"/>
    <w:rsid w:val="00911BA8"/>
    <w:rsid w:val="00913A4A"/>
    <w:rsid w:val="00915397"/>
    <w:rsid w:val="0091560E"/>
    <w:rsid w:val="009164C4"/>
    <w:rsid w:val="00917D44"/>
    <w:rsid w:val="0092038E"/>
    <w:rsid w:val="00922FA3"/>
    <w:rsid w:val="00923A03"/>
    <w:rsid w:val="00927DDB"/>
    <w:rsid w:val="00930B07"/>
    <w:rsid w:val="00930C60"/>
    <w:rsid w:val="00931099"/>
    <w:rsid w:val="009315B7"/>
    <w:rsid w:val="00936E77"/>
    <w:rsid w:val="009378F4"/>
    <w:rsid w:val="00941BFC"/>
    <w:rsid w:val="009436AD"/>
    <w:rsid w:val="00943A4B"/>
    <w:rsid w:val="00950A7F"/>
    <w:rsid w:val="00953D15"/>
    <w:rsid w:val="00955128"/>
    <w:rsid w:val="00955BAA"/>
    <w:rsid w:val="0095652C"/>
    <w:rsid w:val="0095653D"/>
    <w:rsid w:val="00956DE9"/>
    <w:rsid w:val="009641DB"/>
    <w:rsid w:val="009674AB"/>
    <w:rsid w:val="00971F9C"/>
    <w:rsid w:val="0097255B"/>
    <w:rsid w:val="009727DF"/>
    <w:rsid w:val="00973BD0"/>
    <w:rsid w:val="00974027"/>
    <w:rsid w:val="0098013F"/>
    <w:rsid w:val="00980B24"/>
    <w:rsid w:val="0098252A"/>
    <w:rsid w:val="00982948"/>
    <w:rsid w:val="00984598"/>
    <w:rsid w:val="00984BB9"/>
    <w:rsid w:val="00987A62"/>
    <w:rsid w:val="00992787"/>
    <w:rsid w:val="00992F76"/>
    <w:rsid w:val="009956DF"/>
    <w:rsid w:val="009959B7"/>
    <w:rsid w:val="00996A95"/>
    <w:rsid w:val="00996C89"/>
    <w:rsid w:val="009A139C"/>
    <w:rsid w:val="009A16BF"/>
    <w:rsid w:val="009A44F1"/>
    <w:rsid w:val="009A574B"/>
    <w:rsid w:val="009B12AC"/>
    <w:rsid w:val="009B385B"/>
    <w:rsid w:val="009C10CA"/>
    <w:rsid w:val="009C16E7"/>
    <w:rsid w:val="009C2C1C"/>
    <w:rsid w:val="009C31D3"/>
    <w:rsid w:val="009C6649"/>
    <w:rsid w:val="009D06F1"/>
    <w:rsid w:val="009D0DC1"/>
    <w:rsid w:val="009D5C27"/>
    <w:rsid w:val="009E0B42"/>
    <w:rsid w:val="009E215E"/>
    <w:rsid w:val="009E54F6"/>
    <w:rsid w:val="009F04F5"/>
    <w:rsid w:val="009F39F2"/>
    <w:rsid w:val="009F4152"/>
    <w:rsid w:val="009F5057"/>
    <w:rsid w:val="009F5EFA"/>
    <w:rsid w:val="009F6B2C"/>
    <w:rsid w:val="00A100F8"/>
    <w:rsid w:val="00A12FAC"/>
    <w:rsid w:val="00A24412"/>
    <w:rsid w:val="00A246C4"/>
    <w:rsid w:val="00A251C4"/>
    <w:rsid w:val="00A251EB"/>
    <w:rsid w:val="00A2694C"/>
    <w:rsid w:val="00A26D29"/>
    <w:rsid w:val="00A26D30"/>
    <w:rsid w:val="00A27BCC"/>
    <w:rsid w:val="00A27F28"/>
    <w:rsid w:val="00A30B47"/>
    <w:rsid w:val="00A3143A"/>
    <w:rsid w:val="00A31921"/>
    <w:rsid w:val="00A3211B"/>
    <w:rsid w:val="00A341CF"/>
    <w:rsid w:val="00A34400"/>
    <w:rsid w:val="00A40345"/>
    <w:rsid w:val="00A41524"/>
    <w:rsid w:val="00A422BF"/>
    <w:rsid w:val="00A43EBF"/>
    <w:rsid w:val="00A44672"/>
    <w:rsid w:val="00A44B96"/>
    <w:rsid w:val="00A461B0"/>
    <w:rsid w:val="00A50EE3"/>
    <w:rsid w:val="00A53E85"/>
    <w:rsid w:val="00A54177"/>
    <w:rsid w:val="00A553F7"/>
    <w:rsid w:val="00A55B21"/>
    <w:rsid w:val="00A56C09"/>
    <w:rsid w:val="00A57917"/>
    <w:rsid w:val="00A61A54"/>
    <w:rsid w:val="00A61D19"/>
    <w:rsid w:val="00A6617D"/>
    <w:rsid w:val="00A70462"/>
    <w:rsid w:val="00A711AA"/>
    <w:rsid w:val="00A72BCB"/>
    <w:rsid w:val="00A72F91"/>
    <w:rsid w:val="00A73E63"/>
    <w:rsid w:val="00A74141"/>
    <w:rsid w:val="00A81EE9"/>
    <w:rsid w:val="00A8409D"/>
    <w:rsid w:val="00A849B1"/>
    <w:rsid w:val="00A86D41"/>
    <w:rsid w:val="00A87777"/>
    <w:rsid w:val="00A974F9"/>
    <w:rsid w:val="00A97951"/>
    <w:rsid w:val="00AA0D37"/>
    <w:rsid w:val="00AA3E9B"/>
    <w:rsid w:val="00AA4D55"/>
    <w:rsid w:val="00AA73D3"/>
    <w:rsid w:val="00AB14FD"/>
    <w:rsid w:val="00AB25C5"/>
    <w:rsid w:val="00AB47B5"/>
    <w:rsid w:val="00AB500A"/>
    <w:rsid w:val="00AB5080"/>
    <w:rsid w:val="00AC2A80"/>
    <w:rsid w:val="00AC3192"/>
    <w:rsid w:val="00AC66B9"/>
    <w:rsid w:val="00AD3B02"/>
    <w:rsid w:val="00AD4CF8"/>
    <w:rsid w:val="00AD64BE"/>
    <w:rsid w:val="00AD7FB5"/>
    <w:rsid w:val="00AE54A1"/>
    <w:rsid w:val="00AF37DE"/>
    <w:rsid w:val="00AF6A04"/>
    <w:rsid w:val="00B023CE"/>
    <w:rsid w:val="00B0424E"/>
    <w:rsid w:val="00B049D4"/>
    <w:rsid w:val="00B052DC"/>
    <w:rsid w:val="00B06B58"/>
    <w:rsid w:val="00B12F80"/>
    <w:rsid w:val="00B13BCA"/>
    <w:rsid w:val="00B144E8"/>
    <w:rsid w:val="00B15A9F"/>
    <w:rsid w:val="00B16F95"/>
    <w:rsid w:val="00B212CF"/>
    <w:rsid w:val="00B24A31"/>
    <w:rsid w:val="00B24FF0"/>
    <w:rsid w:val="00B27EA5"/>
    <w:rsid w:val="00B30D8B"/>
    <w:rsid w:val="00B30F7E"/>
    <w:rsid w:val="00B31CBB"/>
    <w:rsid w:val="00B32948"/>
    <w:rsid w:val="00B32AE1"/>
    <w:rsid w:val="00B32C31"/>
    <w:rsid w:val="00B36996"/>
    <w:rsid w:val="00B40752"/>
    <w:rsid w:val="00B40B73"/>
    <w:rsid w:val="00B40CB0"/>
    <w:rsid w:val="00B4177A"/>
    <w:rsid w:val="00B41D75"/>
    <w:rsid w:val="00B430C0"/>
    <w:rsid w:val="00B45447"/>
    <w:rsid w:val="00B45521"/>
    <w:rsid w:val="00B468B9"/>
    <w:rsid w:val="00B478AB"/>
    <w:rsid w:val="00B5006D"/>
    <w:rsid w:val="00B51C30"/>
    <w:rsid w:val="00B54950"/>
    <w:rsid w:val="00B57D04"/>
    <w:rsid w:val="00B60821"/>
    <w:rsid w:val="00B6305C"/>
    <w:rsid w:val="00B6636B"/>
    <w:rsid w:val="00B677AF"/>
    <w:rsid w:val="00B70530"/>
    <w:rsid w:val="00B70775"/>
    <w:rsid w:val="00B70A56"/>
    <w:rsid w:val="00B716D8"/>
    <w:rsid w:val="00B726EC"/>
    <w:rsid w:val="00B730EB"/>
    <w:rsid w:val="00B75F2F"/>
    <w:rsid w:val="00B82B09"/>
    <w:rsid w:val="00B83EAC"/>
    <w:rsid w:val="00B84CB4"/>
    <w:rsid w:val="00B850DC"/>
    <w:rsid w:val="00B876B7"/>
    <w:rsid w:val="00B91E32"/>
    <w:rsid w:val="00B93A19"/>
    <w:rsid w:val="00B94333"/>
    <w:rsid w:val="00B96D6A"/>
    <w:rsid w:val="00B9723F"/>
    <w:rsid w:val="00B975EE"/>
    <w:rsid w:val="00B97D8F"/>
    <w:rsid w:val="00BB09C3"/>
    <w:rsid w:val="00BB3E9A"/>
    <w:rsid w:val="00BB705E"/>
    <w:rsid w:val="00BB7EDC"/>
    <w:rsid w:val="00BC098D"/>
    <w:rsid w:val="00BD3F54"/>
    <w:rsid w:val="00BE025B"/>
    <w:rsid w:val="00BE0F70"/>
    <w:rsid w:val="00BE19E3"/>
    <w:rsid w:val="00BE3D72"/>
    <w:rsid w:val="00BE7820"/>
    <w:rsid w:val="00BE7F60"/>
    <w:rsid w:val="00BF1CD2"/>
    <w:rsid w:val="00BF2740"/>
    <w:rsid w:val="00BF4644"/>
    <w:rsid w:val="00BF7468"/>
    <w:rsid w:val="00C0687C"/>
    <w:rsid w:val="00C07EBA"/>
    <w:rsid w:val="00C15553"/>
    <w:rsid w:val="00C20014"/>
    <w:rsid w:val="00C21020"/>
    <w:rsid w:val="00C21CE5"/>
    <w:rsid w:val="00C21E90"/>
    <w:rsid w:val="00C21EBA"/>
    <w:rsid w:val="00C26293"/>
    <w:rsid w:val="00C36446"/>
    <w:rsid w:val="00C3667F"/>
    <w:rsid w:val="00C37DE5"/>
    <w:rsid w:val="00C40304"/>
    <w:rsid w:val="00C42F70"/>
    <w:rsid w:val="00C431AF"/>
    <w:rsid w:val="00C43DFC"/>
    <w:rsid w:val="00C46C5B"/>
    <w:rsid w:val="00C46F32"/>
    <w:rsid w:val="00C4718C"/>
    <w:rsid w:val="00C47662"/>
    <w:rsid w:val="00C5086D"/>
    <w:rsid w:val="00C51EB3"/>
    <w:rsid w:val="00C56546"/>
    <w:rsid w:val="00C57E5C"/>
    <w:rsid w:val="00C60392"/>
    <w:rsid w:val="00C603E8"/>
    <w:rsid w:val="00C63739"/>
    <w:rsid w:val="00C6642F"/>
    <w:rsid w:val="00C72C15"/>
    <w:rsid w:val="00C72E5F"/>
    <w:rsid w:val="00C74980"/>
    <w:rsid w:val="00C750A0"/>
    <w:rsid w:val="00C751BE"/>
    <w:rsid w:val="00C759E2"/>
    <w:rsid w:val="00C766EF"/>
    <w:rsid w:val="00C771C2"/>
    <w:rsid w:val="00C77A83"/>
    <w:rsid w:val="00C80F67"/>
    <w:rsid w:val="00C83A86"/>
    <w:rsid w:val="00C87E3B"/>
    <w:rsid w:val="00C9130B"/>
    <w:rsid w:val="00C91E55"/>
    <w:rsid w:val="00C97C13"/>
    <w:rsid w:val="00CA0390"/>
    <w:rsid w:val="00CA03AF"/>
    <w:rsid w:val="00CA317D"/>
    <w:rsid w:val="00CA3C66"/>
    <w:rsid w:val="00CA45BD"/>
    <w:rsid w:val="00CA51CD"/>
    <w:rsid w:val="00CA744C"/>
    <w:rsid w:val="00CB033E"/>
    <w:rsid w:val="00CB3A6D"/>
    <w:rsid w:val="00CB4D2B"/>
    <w:rsid w:val="00CB63C3"/>
    <w:rsid w:val="00CC14ED"/>
    <w:rsid w:val="00CC1D7C"/>
    <w:rsid w:val="00CC1DEE"/>
    <w:rsid w:val="00CC4651"/>
    <w:rsid w:val="00CC65B0"/>
    <w:rsid w:val="00CD0891"/>
    <w:rsid w:val="00CD2037"/>
    <w:rsid w:val="00CD2D02"/>
    <w:rsid w:val="00CD50B2"/>
    <w:rsid w:val="00CD591F"/>
    <w:rsid w:val="00CD608F"/>
    <w:rsid w:val="00CD6FD3"/>
    <w:rsid w:val="00CD720E"/>
    <w:rsid w:val="00CD7778"/>
    <w:rsid w:val="00CE5AF2"/>
    <w:rsid w:val="00CE5F75"/>
    <w:rsid w:val="00CE712E"/>
    <w:rsid w:val="00CE7A90"/>
    <w:rsid w:val="00CF41E4"/>
    <w:rsid w:val="00CF42E4"/>
    <w:rsid w:val="00CF4E5A"/>
    <w:rsid w:val="00CF53DD"/>
    <w:rsid w:val="00CF5481"/>
    <w:rsid w:val="00CF7901"/>
    <w:rsid w:val="00D031D7"/>
    <w:rsid w:val="00D03332"/>
    <w:rsid w:val="00D03880"/>
    <w:rsid w:val="00D04E46"/>
    <w:rsid w:val="00D05089"/>
    <w:rsid w:val="00D07637"/>
    <w:rsid w:val="00D10697"/>
    <w:rsid w:val="00D127CB"/>
    <w:rsid w:val="00D13A8D"/>
    <w:rsid w:val="00D1433B"/>
    <w:rsid w:val="00D203BF"/>
    <w:rsid w:val="00D226F3"/>
    <w:rsid w:val="00D229D4"/>
    <w:rsid w:val="00D23CE8"/>
    <w:rsid w:val="00D262C2"/>
    <w:rsid w:val="00D30F13"/>
    <w:rsid w:val="00D317D1"/>
    <w:rsid w:val="00D319C5"/>
    <w:rsid w:val="00D3419F"/>
    <w:rsid w:val="00D364E8"/>
    <w:rsid w:val="00D37478"/>
    <w:rsid w:val="00D51284"/>
    <w:rsid w:val="00D5603E"/>
    <w:rsid w:val="00D562AA"/>
    <w:rsid w:val="00D5675E"/>
    <w:rsid w:val="00D6678C"/>
    <w:rsid w:val="00D67379"/>
    <w:rsid w:val="00D67DDE"/>
    <w:rsid w:val="00D708CA"/>
    <w:rsid w:val="00D70F68"/>
    <w:rsid w:val="00D71EE1"/>
    <w:rsid w:val="00D73DC4"/>
    <w:rsid w:val="00D7440B"/>
    <w:rsid w:val="00D80EE0"/>
    <w:rsid w:val="00D87E53"/>
    <w:rsid w:val="00D901EB"/>
    <w:rsid w:val="00D90974"/>
    <w:rsid w:val="00D93BEE"/>
    <w:rsid w:val="00D9717F"/>
    <w:rsid w:val="00D978F7"/>
    <w:rsid w:val="00DA0512"/>
    <w:rsid w:val="00DA1826"/>
    <w:rsid w:val="00DA2152"/>
    <w:rsid w:val="00DA45F3"/>
    <w:rsid w:val="00DA6FB3"/>
    <w:rsid w:val="00DB5701"/>
    <w:rsid w:val="00DB5D4F"/>
    <w:rsid w:val="00DB5EE7"/>
    <w:rsid w:val="00DB649C"/>
    <w:rsid w:val="00DB7693"/>
    <w:rsid w:val="00DB77D6"/>
    <w:rsid w:val="00DC0931"/>
    <w:rsid w:val="00DC1C7D"/>
    <w:rsid w:val="00DC1D78"/>
    <w:rsid w:val="00DC3147"/>
    <w:rsid w:val="00DD0538"/>
    <w:rsid w:val="00DD1D6D"/>
    <w:rsid w:val="00DD4790"/>
    <w:rsid w:val="00DD5AD7"/>
    <w:rsid w:val="00DD68AA"/>
    <w:rsid w:val="00DE0523"/>
    <w:rsid w:val="00DE306F"/>
    <w:rsid w:val="00DF3741"/>
    <w:rsid w:val="00DF3ADA"/>
    <w:rsid w:val="00DF559B"/>
    <w:rsid w:val="00DF78C8"/>
    <w:rsid w:val="00E00958"/>
    <w:rsid w:val="00E00AC2"/>
    <w:rsid w:val="00E0308C"/>
    <w:rsid w:val="00E0440F"/>
    <w:rsid w:val="00E0600C"/>
    <w:rsid w:val="00E06B18"/>
    <w:rsid w:val="00E06F3B"/>
    <w:rsid w:val="00E07A95"/>
    <w:rsid w:val="00E11151"/>
    <w:rsid w:val="00E12855"/>
    <w:rsid w:val="00E22E8E"/>
    <w:rsid w:val="00E254DE"/>
    <w:rsid w:val="00E30C09"/>
    <w:rsid w:val="00E31E14"/>
    <w:rsid w:val="00E35193"/>
    <w:rsid w:val="00E3582A"/>
    <w:rsid w:val="00E3768B"/>
    <w:rsid w:val="00E438BD"/>
    <w:rsid w:val="00E44A3F"/>
    <w:rsid w:val="00E45C97"/>
    <w:rsid w:val="00E470A8"/>
    <w:rsid w:val="00E476B0"/>
    <w:rsid w:val="00E5064D"/>
    <w:rsid w:val="00E50DBF"/>
    <w:rsid w:val="00E50E1D"/>
    <w:rsid w:val="00E53E14"/>
    <w:rsid w:val="00E541C5"/>
    <w:rsid w:val="00E551C4"/>
    <w:rsid w:val="00E60A1A"/>
    <w:rsid w:val="00E60D0E"/>
    <w:rsid w:val="00E62AC9"/>
    <w:rsid w:val="00E63497"/>
    <w:rsid w:val="00E640B0"/>
    <w:rsid w:val="00E6758C"/>
    <w:rsid w:val="00E67B4B"/>
    <w:rsid w:val="00E71CC3"/>
    <w:rsid w:val="00E733BA"/>
    <w:rsid w:val="00E7445D"/>
    <w:rsid w:val="00E7695E"/>
    <w:rsid w:val="00E8085F"/>
    <w:rsid w:val="00E97172"/>
    <w:rsid w:val="00E9788A"/>
    <w:rsid w:val="00E97EE1"/>
    <w:rsid w:val="00E97FA3"/>
    <w:rsid w:val="00EA24FA"/>
    <w:rsid w:val="00EA6A3A"/>
    <w:rsid w:val="00EA6BD3"/>
    <w:rsid w:val="00EB1A85"/>
    <w:rsid w:val="00EB4577"/>
    <w:rsid w:val="00EB5095"/>
    <w:rsid w:val="00EB57DC"/>
    <w:rsid w:val="00EB5D9E"/>
    <w:rsid w:val="00EB790D"/>
    <w:rsid w:val="00EC50D0"/>
    <w:rsid w:val="00EC673B"/>
    <w:rsid w:val="00EC69FC"/>
    <w:rsid w:val="00EC70DB"/>
    <w:rsid w:val="00EC7FE6"/>
    <w:rsid w:val="00ED05A9"/>
    <w:rsid w:val="00ED306B"/>
    <w:rsid w:val="00ED5305"/>
    <w:rsid w:val="00ED62D7"/>
    <w:rsid w:val="00EE01C2"/>
    <w:rsid w:val="00EE0A26"/>
    <w:rsid w:val="00EE2131"/>
    <w:rsid w:val="00EE27F3"/>
    <w:rsid w:val="00EE37F8"/>
    <w:rsid w:val="00EE3AB7"/>
    <w:rsid w:val="00EE4763"/>
    <w:rsid w:val="00EE49E2"/>
    <w:rsid w:val="00EE53D9"/>
    <w:rsid w:val="00EF1A07"/>
    <w:rsid w:val="00EF459B"/>
    <w:rsid w:val="00EF5A6E"/>
    <w:rsid w:val="00EF6CD2"/>
    <w:rsid w:val="00F00FBA"/>
    <w:rsid w:val="00F01B98"/>
    <w:rsid w:val="00F0398F"/>
    <w:rsid w:val="00F06693"/>
    <w:rsid w:val="00F068D3"/>
    <w:rsid w:val="00F1066D"/>
    <w:rsid w:val="00F134A0"/>
    <w:rsid w:val="00F13DBD"/>
    <w:rsid w:val="00F17AFA"/>
    <w:rsid w:val="00F21867"/>
    <w:rsid w:val="00F21885"/>
    <w:rsid w:val="00F219C8"/>
    <w:rsid w:val="00F2439E"/>
    <w:rsid w:val="00F24D6C"/>
    <w:rsid w:val="00F254BF"/>
    <w:rsid w:val="00F26EAE"/>
    <w:rsid w:val="00F3670F"/>
    <w:rsid w:val="00F370BB"/>
    <w:rsid w:val="00F406C3"/>
    <w:rsid w:val="00F50B19"/>
    <w:rsid w:val="00F52573"/>
    <w:rsid w:val="00F621D9"/>
    <w:rsid w:val="00F657AC"/>
    <w:rsid w:val="00F72121"/>
    <w:rsid w:val="00F74547"/>
    <w:rsid w:val="00F7764B"/>
    <w:rsid w:val="00F800F4"/>
    <w:rsid w:val="00F811FA"/>
    <w:rsid w:val="00F814FF"/>
    <w:rsid w:val="00F82673"/>
    <w:rsid w:val="00F82B08"/>
    <w:rsid w:val="00F82BEE"/>
    <w:rsid w:val="00F84482"/>
    <w:rsid w:val="00F85CEE"/>
    <w:rsid w:val="00F87529"/>
    <w:rsid w:val="00F9435E"/>
    <w:rsid w:val="00F961D2"/>
    <w:rsid w:val="00F97900"/>
    <w:rsid w:val="00FA43FE"/>
    <w:rsid w:val="00FA5B6E"/>
    <w:rsid w:val="00FA783F"/>
    <w:rsid w:val="00FB276B"/>
    <w:rsid w:val="00FB7851"/>
    <w:rsid w:val="00FC0161"/>
    <w:rsid w:val="00FC0F2B"/>
    <w:rsid w:val="00FC3D74"/>
    <w:rsid w:val="00FC7D24"/>
    <w:rsid w:val="00FD3378"/>
    <w:rsid w:val="00FD5245"/>
    <w:rsid w:val="00FD608E"/>
    <w:rsid w:val="00FE226D"/>
    <w:rsid w:val="00FE238F"/>
    <w:rsid w:val="00FE3018"/>
    <w:rsid w:val="00FF3099"/>
    <w:rsid w:val="00FF6B8D"/>
    <w:rsid w:val="00FF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DA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FD"/>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00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uiPriority w:val="99"/>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Revision">
    <w:name w:val="Revision"/>
    <w:hidden/>
    <w:uiPriority w:val="99"/>
    <w:semiHidden/>
    <w:rsid w:val="00E71CC3"/>
    <w:rPr>
      <w:rFonts w:ascii="Courier" w:hAnsi="Courier"/>
      <w:sz w:val="24"/>
      <w:szCs w:val="24"/>
    </w:rPr>
  </w:style>
  <w:style w:type="character" w:customStyle="1" w:styleId="FootnoteTextChar">
    <w:name w:val="Footnote Text Char"/>
    <w:link w:val="FootnoteText"/>
    <w:uiPriority w:val="99"/>
    <w:semiHidden/>
    <w:rsid w:val="008E0D61"/>
    <w:rPr>
      <w:rFonts w:ascii="Courier" w:hAnsi="Courier"/>
    </w:rPr>
  </w:style>
  <w:style w:type="table" w:styleId="TableGrid">
    <w:name w:val="Table Grid"/>
    <w:basedOn w:val="TableNormal"/>
    <w:uiPriority w:val="59"/>
    <w:rsid w:val="008E0D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005F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41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FD"/>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00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uiPriority w:val="99"/>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Revision">
    <w:name w:val="Revision"/>
    <w:hidden/>
    <w:uiPriority w:val="99"/>
    <w:semiHidden/>
    <w:rsid w:val="00E71CC3"/>
    <w:rPr>
      <w:rFonts w:ascii="Courier" w:hAnsi="Courier"/>
      <w:sz w:val="24"/>
      <w:szCs w:val="24"/>
    </w:rPr>
  </w:style>
  <w:style w:type="character" w:customStyle="1" w:styleId="FootnoteTextChar">
    <w:name w:val="Footnote Text Char"/>
    <w:link w:val="FootnoteText"/>
    <w:uiPriority w:val="99"/>
    <w:semiHidden/>
    <w:rsid w:val="008E0D61"/>
    <w:rPr>
      <w:rFonts w:ascii="Courier" w:hAnsi="Courier"/>
    </w:rPr>
  </w:style>
  <w:style w:type="table" w:styleId="TableGrid">
    <w:name w:val="Table Grid"/>
    <w:basedOn w:val="TableNormal"/>
    <w:uiPriority w:val="59"/>
    <w:rsid w:val="008E0D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005F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4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02689">
      <w:bodyDiv w:val="1"/>
      <w:marLeft w:val="0"/>
      <w:marRight w:val="0"/>
      <w:marTop w:val="0"/>
      <w:marBottom w:val="0"/>
      <w:divBdr>
        <w:top w:val="none" w:sz="0" w:space="0" w:color="auto"/>
        <w:left w:val="none" w:sz="0" w:space="0" w:color="auto"/>
        <w:bottom w:val="none" w:sz="0" w:space="0" w:color="auto"/>
        <w:right w:val="none" w:sz="0" w:space="0" w:color="auto"/>
      </w:divBdr>
    </w:div>
    <w:div w:id="90873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022D-E397-4259-8CBE-B5B3402B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6221</Words>
  <Characters>35793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41931</CharactersWithSpaces>
  <SharedDoc>false</SharedDoc>
  <HLinks>
    <vt:vector size="6" baseType="variant">
      <vt:variant>
        <vt:i4>6946908</vt:i4>
      </vt:variant>
      <vt:variant>
        <vt:i4>0</vt:i4>
      </vt:variant>
      <vt:variant>
        <vt:i4>0</vt:i4>
      </vt:variant>
      <vt:variant>
        <vt:i4>5</vt:i4>
      </vt:variant>
      <vt:variant>
        <vt:lpwstr>http://www.bls.gov/news.release/archives/empsit_07032014.pdf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Beckmann, Allan - EBSA</cp:lastModifiedBy>
  <cp:revision>4</cp:revision>
  <cp:lastPrinted>2016-12-19T22:29:00Z</cp:lastPrinted>
  <dcterms:created xsi:type="dcterms:W3CDTF">2017-01-10T14:57:00Z</dcterms:created>
  <dcterms:modified xsi:type="dcterms:W3CDTF">2017-01-10T16:55:00Z</dcterms:modified>
</cp:coreProperties>
</file>