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092" w:rsidRDefault="00FB3752" w:rsidP="00F3392E">
      <w:pPr>
        <w:spacing w:line="252"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PART B. Statistical Methods</w:t>
      </w:r>
    </w:p>
    <w:p w:rsidR="001072B6" w:rsidRPr="001072B6" w:rsidRDefault="001072B6" w:rsidP="00F3392E">
      <w:pPr>
        <w:pStyle w:val="ListParagraph"/>
        <w:numPr>
          <w:ilvl w:val="0"/>
          <w:numId w:val="1"/>
        </w:numPr>
        <w:spacing w:line="252" w:lineRule="auto"/>
        <w:ind w:left="360"/>
        <w:rPr>
          <w:rFonts w:ascii="Times New Roman" w:hAnsi="Times New Roman" w:cs="Times New Roman"/>
          <w:sz w:val="24"/>
          <w:szCs w:val="24"/>
        </w:rPr>
      </w:pPr>
      <w:r>
        <w:rPr>
          <w:rFonts w:ascii="Times New Roman" w:hAnsi="Times New Roman" w:cs="Times New Roman"/>
          <w:sz w:val="24"/>
          <w:szCs w:val="24"/>
          <w:u w:val="single"/>
        </w:rPr>
        <w:t>Universe and Respondent Selection</w:t>
      </w:r>
    </w:p>
    <w:p w:rsidR="001072B6" w:rsidRDefault="001072B6" w:rsidP="001072B6">
      <w:pPr>
        <w:pStyle w:val="ListParagraph"/>
        <w:spacing w:line="252" w:lineRule="auto"/>
        <w:ind w:left="360"/>
        <w:rPr>
          <w:rFonts w:ascii="Times New Roman" w:hAnsi="Times New Roman" w:cs="Times New Roman"/>
          <w:sz w:val="24"/>
          <w:szCs w:val="24"/>
          <w:u w:val="single"/>
        </w:rPr>
      </w:pPr>
    </w:p>
    <w:p w:rsidR="00076204" w:rsidRDefault="00FB3752" w:rsidP="001072B6">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 xml:space="preserve">The potential respondent universe of the </w:t>
      </w:r>
      <w:r w:rsidR="00A021A2">
        <w:rPr>
          <w:rFonts w:ascii="Times New Roman" w:hAnsi="Times New Roman" w:cs="Times New Roman"/>
          <w:sz w:val="24"/>
          <w:szCs w:val="24"/>
        </w:rPr>
        <w:t xml:space="preserve">NIBRS includes </w:t>
      </w:r>
      <w:r w:rsidR="003F6232">
        <w:rPr>
          <w:rFonts w:ascii="Times New Roman" w:hAnsi="Times New Roman" w:cs="Times New Roman"/>
          <w:sz w:val="24"/>
          <w:szCs w:val="24"/>
        </w:rPr>
        <w:t>6,648</w:t>
      </w:r>
      <w:r>
        <w:rPr>
          <w:rFonts w:ascii="Times New Roman" w:hAnsi="Times New Roman" w:cs="Times New Roman"/>
          <w:sz w:val="24"/>
          <w:szCs w:val="24"/>
        </w:rPr>
        <w:t xml:space="preserve"> LEAs</w:t>
      </w:r>
      <w:r w:rsidR="00EC1727">
        <w:rPr>
          <w:rFonts w:ascii="Times New Roman" w:hAnsi="Times New Roman" w:cs="Times New Roman"/>
          <w:sz w:val="24"/>
          <w:szCs w:val="24"/>
        </w:rPr>
        <w:t xml:space="preserve"> who</w:t>
      </w:r>
      <w:r w:rsidR="00C5212D">
        <w:rPr>
          <w:rFonts w:ascii="Times New Roman" w:hAnsi="Times New Roman" w:cs="Times New Roman"/>
          <w:sz w:val="24"/>
          <w:szCs w:val="24"/>
        </w:rPr>
        <w:t xml:space="preserve"> voluntarily</w:t>
      </w:r>
      <w:r w:rsidR="00EC1727">
        <w:rPr>
          <w:rFonts w:ascii="Times New Roman" w:hAnsi="Times New Roman" w:cs="Times New Roman"/>
          <w:sz w:val="24"/>
          <w:szCs w:val="24"/>
        </w:rPr>
        <w:t xml:space="preserve"> </w:t>
      </w:r>
      <w:r w:rsidR="00C5212D">
        <w:rPr>
          <w:rFonts w:ascii="Times New Roman" w:hAnsi="Times New Roman" w:cs="Times New Roman"/>
          <w:sz w:val="24"/>
          <w:szCs w:val="24"/>
        </w:rPr>
        <w:t xml:space="preserve">participate in the FBI UCR Program.  </w:t>
      </w:r>
      <w:r w:rsidR="00076204">
        <w:rPr>
          <w:rFonts w:ascii="Times New Roman" w:hAnsi="Times New Roman" w:cs="Times New Roman"/>
          <w:sz w:val="24"/>
          <w:szCs w:val="24"/>
        </w:rPr>
        <w:t xml:space="preserve"> LEAs consist of local, county, state, tribal and federal agencies that correlate to all population group sizes and have many diverse attributes.  These agencies include a mix of population density and degrees of urbanization; various compositions of population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r w:rsidR="00C5212D">
        <w:rPr>
          <w:rFonts w:ascii="Times New Roman" w:hAnsi="Times New Roman" w:cs="Times New Roman"/>
          <w:sz w:val="24"/>
          <w:szCs w:val="24"/>
        </w:rPr>
        <w:t xml:space="preserve">  The chart below represents the number of </w:t>
      </w:r>
      <w:r w:rsidR="00A021A2">
        <w:rPr>
          <w:rFonts w:ascii="Times New Roman" w:hAnsi="Times New Roman" w:cs="Times New Roman"/>
          <w:sz w:val="24"/>
          <w:szCs w:val="24"/>
        </w:rPr>
        <w:t xml:space="preserve">NIBRS </w:t>
      </w:r>
      <w:r w:rsidR="00C5212D">
        <w:rPr>
          <w:rFonts w:ascii="Times New Roman" w:hAnsi="Times New Roman" w:cs="Times New Roman"/>
          <w:sz w:val="24"/>
          <w:szCs w:val="24"/>
        </w:rPr>
        <w:t>participating agencies in the FBI UCR Program and the number of NIBRS agencies submitting one or more months of data.</w:t>
      </w:r>
    </w:p>
    <w:p w:rsidR="00076204" w:rsidRDefault="00076204" w:rsidP="00F3392E">
      <w:pPr>
        <w:pStyle w:val="ListParagraph"/>
        <w:spacing w:line="252" w:lineRule="auto"/>
        <w:ind w:left="360"/>
        <w:rPr>
          <w:rFonts w:ascii="Times New Roman" w:hAnsi="Times New Roman" w:cs="Times New Roman"/>
          <w:sz w:val="24"/>
          <w:szCs w:val="24"/>
        </w:rPr>
      </w:pPr>
    </w:p>
    <w:p w:rsidR="00F3392E" w:rsidRDefault="00F3392E" w:rsidP="00F3392E">
      <w:pPr>
        <w:pStyle w:val="ListParagraph"/>
        <w:spacing w:line="252" w:lineRule="auto"/>
        <w:ind w:left="36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770"/>
        <w:gridCol w:w="1170"/>
        <w:gridCol w:w="1350"/>
      </w:tblGrid>
      <w:tr w:rsidR="00076204" w:rsidRPr="00076204" w:rsidTr="00D213F3">
        <w:trPr>
          <w:jc w:val="center"/>
        </w:trPr>
        <w:tc>
          <w:tcPr>
            <w:tcW w:w="928"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p>
        </w:tc>
        <w:tc>
          <w:tcPr>
            <w:tcW w:w="377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Population Group</w:t>
            </w:r>
          </w:p>
        </w:tc>
        <w:tc>
          <w:tcPr>
            <w:tcW w:w="117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Number of Agencies</w:t>
            </w:r>
          </w:p>
        </w:tc>
        <w:tc>
          <w:tcPr>
            <w:tcW w:w="135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Population Covered</w:t>
            </w:r>
          </w:p>
        </w:tc>
      </w:tr>
      <w:tr w:rsidR="00076204" w:rsidRPr="00076204" w:rsidTr="00076204">
        <w:trPr>
          <w:trHeight w:val="377"/>
          <w:jc w:val="center"/>
        </w:trPr>
        <w:tc>
          <w:tcPr>
            <w:tcW w:w="928" w:type="dxa"/>
            <w:vMerge w:val="restart"/>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Cities</w:t>
            </w:r>
          </w:p>
        </w:tc>
        <w:tc>
          <w:tcPr>
            <w:tcW w:w="377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Group I (250,000 inhabitants and more)</w:t>
            </w:r>
          </w:p>
        </w:tc>
        <w:tc>
          <w:tcPr>
            <w:tcW w:w="117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18</w:t>
            </w:r>
          </w:p>
        </w:tc>
        <w:tc>
          <w:tcPr>
            <w:tcW w:w="1350" w:type="dxa"/>
          </w:tcPr>
          <w:p w:rsidR="00076204" w:rsidRPr="00076204" w:rsidRDefault="006B6DEF"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9</w:t>
            </w:r>
            <w:r w:rsidR="00C5212D">
              <w:rPr>
                <w:rFonts w:ascii="Times New Roman" w:hAnsi="Times New Roman" w:cs="Times New Roman"/>
                <w:sz w:val="20"/>
                <w:szCs w:val="20"/>
              </w:rPr>
              <w:t>,725,819</w:t>
            </w:r>
          </w:p>
        </w:tc>
      </w:tr>
      <w:tr w:rsidR="00076204" w:rsidRPr="00076204" w:rsidTr="00076204">
        <w:trPr>
          <w:trHeight w:val="359"/>
          <w:jc w:val="center"/>
        </w:trPr>
        <w:tc>
          <w:tcPr>
            <w:tcW w:w="928" w:type="dxa"/>
            <w:vMerge/>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p>
        </w:tc>
        <w:tc>
          <w:tcPr>
            <w:tcW w:w="377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Group II (100,000 to 249,999 inhabitants)</w:t>
            </w:r>
          </w:p>
        </w:tc>
        <w:tc>
          <w:tcPr>
            <w:tcW w:w="117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68</w:t>
            </w:r>
          </w:p>
        </w:tc>
        <w:tc>
          <w:tcPr>
            <w:tcW w:w="135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10</w:t>
            </w:r>
            <w:r w:rsidR="00BA0127">
              <w:rPr>
                <w:rFonts w:ascii="Times New Roman" w:hAnsi="Times New Roman" w:cs="Times New Roman"/>
                <w:sz w:val="20"/>
                <w:szCs w:val="20"/>
              </w:rPr>
              <w:t>,</w:t>
            </w:r>
            <w:r>
              <w:rPr>
                <w:rFonts w:ascii="Times New Roman" w:hAnsi="Times New Roman" w:cs="Times New Roman"/>
                <w:sz w:val="20"/>
                <w:szCs w:val="20"/>
              </w:rPr>
              <w:t>127</w:t>
            </w:r>
            <w:r w:rsidR="00BA0127">
              <w:rPr>
                <w:rFonts w:ascii="Times New Roman" w:hAnsi="Times New Roman" w:cs="Times New Roman"/>
                <w:sz w:val="20"/>
                <w:szCs w:val="20"/>
              </w:rPr>
              <w:t>,</w:t>
            </w:r>
            <w:r>
              <w:rPr>
                <w:rFonts w:ascii="Times New Roman" w:hAnsi="Times New Roman" w:cs="Times New Roman"/>
                <w:sz w:val="20"/>
                <w:szCs w:val="20"/>
              </w:rPr>
              <w:t>829</w:t>
            </w:r>
          </w:p>
        </w:tc>
      </w:tr>
      <w:tr w:rsidR="00076204" w:rsidRPr="00076204" w:rsidTr="00076204">
        <w:trPr>
          <w:trHeight w:val="341"/>
          <w:jc w:val="center"/>
        </w:trPr>
        <w:tc>
          <w:tcPr>
            <w:tcW w:w="928" w:type="dxa"/>
            <w:vMerge/>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p>
        </w:tc>
        <w:tc>
          <w:tcPr>
            <w:tcW w:w="377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Group III (50,000 to 99,999 inhabitants)</w:t>
            </w:r>
          </w:p>
        </w:tc>
        <w:tc>
          <w:tcPr>
            <w:tcW w:w="117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154</w:t>
            </w:r>
          </w:p>
        </w:tc>
        <w:tc>
          <w:tcPr>
            <w:tcW w:w="135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10</w:t>
            </w:r>
            <w:r w:rsidR="00BA0127">
              <w:rPr>
                <w:rFonts w:ascii="Times New Roman" w:hAnsi="Times New Roman" w:cs="Times New Roman"/>
                <w:sz w:val="20"/>
                <w:szCs w:val="20"/>
              </w:rPr>
              <w:t>,7</w:t>
            </w:r>
            <w:r>
              <w:rPr>
                <w:rFonts w:ascii="Times New Roman" w:hAnsi="Times New Roman" w:cs="Times New Roman"/>
                <w:sz w:val="20"/>
                <w:szCs w:val="20"/>
              </w:rPr>
              <w:t>97</w:t>
            </w:r>
            <w:r w:rsidR="00BA0127">
              <w:rPr>
                <w:rFonts w:ascii="Times New Roman" w:hAnsi="Times New Roman" w:cs="Times New Roman"/>
                <w:sz w:val="20"/>
                <w:szCs w:val="20"/>
              </w:rPr>
              <w:t>,</w:t>
            </w:r>
            <w:r>
              <w:rPr>
                <w:rFonts w:ascii="Times New Roman" w:hAnsi="Times New Roman" w:cs="Times New Roman"/>
                <w:sz w:val="20"/>
                <w:szCs w:val="20"/>
              </w:rPr>
              <w:t>093</w:t>
            </w:r>
          </w:p>
        </w:tc>
      </w:tr>
      <w:tr w:rsidR="00076204" w:rsidRPr="00076204" w:rsidTr="00076204">
        <w:trPr>
          <w:trHeight w:val="359"/>
          <w:jc w:val="center"/>
        </w:trPr>
        <w:tc>
          <w:tcPr>
            <w:tcW w:w="928" w:type="dxa"/>
            <w:vMerge/>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p>
        </w:tc>
        <w:tc>
          <w:tcPr>
            <w:tcW w:w="377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Group IV (25,000 to 49,999 inhabitants)</w:t>
            </w:r>
          </w:p>
        </w:tc>
        <w:tc>
          <w:tcPr>
            <w:tcW w:w="117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314</w:t>
            </w:r>
          </w:p>
        </w:tc>
        <w:tc>
          <w:tcPr>
            <w:tcW w:w="1350" w:type="dxa"/>
          </w:tcPr>
          <w:p w:rsidR="00076204" w:rsidRPr="00076204" w:rsidRDefault="00BA0127"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1</w:t>
            </w:r>
            <w:r w:rsidR="00C5212D">
              <w:rPr>
                <w:rFonts w:ascii="Times New Roman" w:hAnsi="Times New Roman" w:cs="Times New Roman"/>
                <w:sz w:val="20"/>
                <w:szCs w:val="20"/>
              </w:rPr>
              <w:t>0</w:t>
            </w:r>
            <w:r>
              <w:rPr>
                <w:rFonts w:ascii="Times New Roman" w:hAnsi="Times New Roman" w:cs="Times New Roman"/>
                <w:sz w:val="20"/>
                <w:szCs w:val="20"/>
              </w:rPr>
              <w:t>,</w:t>
            </w:r>
            <w:r w:rsidR="00C5212D">
              <w:rPr>
                <w:rFonts w:ascii="Times New Roman" w:hAnsi="Times New Roman" w:cs="Times New Roman"/>
                <w:sz w:val="20"/>
                <w:szCs w:val="20"/>
              </w:rPr>
              <w:t>905</w:t>
            </w:r>
            <w:r>
              <w:rPr>
                <w:rFonts w:ascii="Times New Roman" w:hAnsi="Times New Roman" w:cs="Times New Roman"/>
                <w:sz w:val="20"/>
                <w:szCs w:val="20"/>
              </w:rPr>
              <w:t>,</w:t>
            </w:r>
            <w:r w:rsidR="00C5212D">
              <w:rPr>
                <w:rFonts w:ascii="Times New Roman" w:hAnsi="Times New Roman" w:cs="Times New Roman"/>
                <w:sz w:val="20"/>
                <w:szCs w:val="20"/>
              </w:rPr>
              <w:t>700</w:t>
            </w:r>
          </w:p>
        </w:tc>
      </w:tr>
      <w:tr w:rsidR="00076204" w:rsidRPr="00076204" w:rsidTr="00076204">
        <w:trPr>
          <w:trHeight w:val="341"/>
          <w:jc w:val="center"/>
        </w:trPr>
        <w:tc>
          <w:tcPr>
            <w:tcW w:w="928" w:type="dxa"/>
            <w:vMerge/>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p>
        </w:tc>
        <w:tc>
          <w:tcPr>
            <w:tcW w:w="377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Group V (10,000 to 24,999 inhabitants)</w:t>
            </w:r>
          </w:p>
        </w:tc>
        <w:tc>
          <w:tcPr>
            <w:tcW w:w="117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652</w:t>
            </w:r>
          </w:p>
        </w:tc>
        <w:tc>
          <w:tcPr>
            <w:tcW w:w="1350" w:type="dxa"/>
          </w:tcPr>
          <w:p w:rsidR="00076204" w:rsidRPr="00076204" w:rsidRDefault="00BA0127"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1</w:t>
            </w:r>
            <w:r w:rsidR="00C5212D">
              <w:rPr>
                <w:rFonts w:ascii="Times New Roman" w:hAnsi="Times New Roman" w:cs="Times New Roman"/>
                <w:sz w:val="20"/>
                <w:szCs w:val="20"/>
              </w:rPr>
              <w:t>0</w:t>
            </w:r>
            <w:r>
              <w:rPr>
                <w:rFonts w:ascii="Times New Roman" w:hAnsi="Times New Roman" w:cs="Times New Roman"/>
                <w:sz w:val="20"/>
                <w:szCs w:val="20"/>
              </w:rPr>
              <w:t>,</w:t>
            </w:r>
            <w:r w:rsidR="00C5212D">
              <w:rPr>
                <w:rFonts w:ascii="Times New Roman" w:hAnsi="Times New Roman" w:cs="Times New Roman"/>
                <w:sz w:val="20"/>
                <w:szCs w:val="20"/>
              </w:rPr>
              <w:t>410</w:t>
            </w:r>
            <w:r>
              <w:rPr>
                <w:rFonts w:ascii="Times New Roman" w:hAnsi="Times New Roman" w:cs="Times New Roman"/>
                <w:sz w:val="20"/>
                <w:szCs w:val="20"/>
              </w:rPr>
              <w:t>,</w:t>
            </w:r>
            <w:r w:rsidR="00C5212D">
              <w:rPr>
                <w:rFonts w:ascii="Times New Roman" w:hAnsi="Times New Roman" w:cs="Times New Roman"/>
                <w:sz w:val="20"/>
                <w:szCs w:val="20"/>
              </w:rPr>
              <w:t>558</w:t>
            </w:r>
          </w:p>
        </w:tc>
      </w:tr>
      <w:tr w:rsidR="00076204" w:rsidRPr="00076204" w:rsidTr="00076204">
        <w:trPr>
          <w:trHeight w:val="359"/>
          <w:jc w:val="center"/>
        </w:trPr>
        <w:tc>
          <w:tcPr>
            <w:tcW w:w="928" w:type="dxa"/>
            <w:vMerge/>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p>
        </w:tc>
        <w:tc>
          <w:tcPr>
            <w:tcW w:w="377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Group VI (Less than 10,000 inhabitants)</w:t>
            </w:r>
            <w:r w:rsidR="001F1C00">
              <w:rPr>
                <w:rFonts w:ascii="Times New Roman" w:hAnsi="Times New Roman" w:cs="Times New Roman"/>
                <w:sz w:val="20"/>
                <w:szCs w:val="20"/>
                <w:vertAlign w:val="superscript"/>
              </w:rPr>
              <w:t>1</w:t>
            </w:r>
            <w:r w:rsidR="00105CFB">
              <w:rPr>
                <w:rFonts w:ascii="Times New Roman" w:hAnsi="Times New Roman" w:cs="Times New Roman"/>
                <w:sz w:val="20"/>
                <w:szCs w:val="20"/>
                <w:vertAlign w:val="superscript"/>
              </w:rPr>
              <w:t>,</w:t>
            </w:r>
            <w:r w:rsidR="001F1C00">
              <w:rPr>
                <w:rFonts w:ascii="Times New Roman" w:hAnsi="Times New Roman" w:cs="Times New Roman"/>
                <w:sz w:val="20"/>
                <w:szCs w:val="20"/>
                <w:vertAlign w:val="superscript"/>
              </w:rPr>
              <w:t>2</w:t>
            </w:r>
          </w:p>
        </w:tc>
        <w:tc>
          <w:tcPr>
            <w:tcW w:w="117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3,332</w:t>
            </w:r>
          </w:p>
        </w:tc>
        <w:tc>
          <w:tcPr>
            <w:tcW w:w="135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9</w:t>
            </w:r>
            <w:r w:rsidR="00BA0127">
              <w:rPr>
                <w:rFonts w:ascii="Times New Roman" w:hAnsi="Times New Roman" w:cs="Times New Roman"/>
                <w:sz w:val="20"/>
                <w:szCs w:val="20"/>
              </w:rPr>
              <w:t>,</w:t>
            </w:r>
            <w:r>
              <w:rPr>
                <w:rFonts w:ascii="Times New Roman" w:hAnsi="Times New Roman" w:cs="Times New Roman"/>
                <w:sz w:val="20"/>
                <w:szCs w:val="20"/>
              </w:rPr>
              <w:t>490</w:t>
            </w:r>
            <w:r w:rsidR="00BA0127">
              <w:rPr>
                <w:rFonts w:ascii="Times New Roman" w:hAnsi="Times New Roman" w:cs="Times New Roman"/>
                <w:sz w:val="20"/>
                <w:szCs w:val="20"/>
              </w:rPr>
              <w:t>,</w:t>
            </w:r>
            <w:r>
              <w:rPr>
                <w:rFonts w:ascii="Times New Roman" w:hAnsi="Times New Roman" w:cs="Times New Roman"/>
                <w:sz w:val="20"/>
                <w:szCs w:val="20"/>
              </w:rPr>
              <w:t>919</w:t>
            </w:r>
          </w:p>
        </w:tc>
      </w:tr>
      <w:tr w:rsidR="00076204" w:rsidRPr="00076204" w:rsidTr="00076204">
        <w:trPr>
          <w:trHeight w:val="341"/>
          <w:jc w:val="center"/>
        </w:trPr>
        <w:tc>
          <w:tcPr>
            <w:tcW w:w="928" w:type="dxa"/>
            <w:vMerge w:val="restart"/>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Counties</w:t>
            </w:r>
          </w:p>
        </w:tc>
        <w:tc>
          <w:tcPr>
            <w:tcW w:w="377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Group VIII (Nonmetropolitan County)</w:t>
            </w:r>
            <w:r w:rsidR="001F1C00">
              <w:rPr>
                <w:rFonts w:ascii="Times New Roman" w:hAnsi="Times New Roman" w:cs="Times New Roman"/>
                <w:sz w:val="20"/>
                <w:szCs w:val="20"/>
                <w:vertAlign w:val="superscript"/>
              </w:rPr>
              <w:t>2</w:t>
            </w:r>
          </w:p>
        </w:tc>
        <w:tc>
          <w:tcPr>
            <w:tcW w:w="117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1,331</w:t>
            </w:r>
          </w:p>
        </w:tc>
        <w:tc>
          <w:tcPr>
            <w:tcW w:w="1350" w:type="dxa"/>
          </w:tcPr>
          <w:p w:rsidR="00076204" w:rsidRPr="00076204" w:rsidRDefault="00BA0127"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12,2</w:t>
            </w:r>
            <w:r w:rsidR="00C5212D">
              <w:rPr>
                <w:rFonts w:ascii="Times New Roman" w:hAnsi="Times New Roman" w:cs="Times New Roman"/>
                <w:sz w:val="20"/>
                <w:szCs w:val="20"/>
              </w:rPr>
              <w:t>33</w:t>
            </w:r>
            <w:r>
              <w:rPr>
                <w:rFonts w:ascii="Times New Roman" w:hAnsi="Times New Roman" w:cs="Times New Roman"/>
                <w:sz w:val="20"/>
                <w:szCs w:val="20"/>
              </w:rPr>
              <w:t>,</w:t>
            </w:r>
            <w:r w:rsidR="00C5212D">
              <w:rPr>
                <w:rFonts w:ascii="Times New Roman" w:hAnsi="Times New Roman" w:cs="Times New Roman"/>
                <w:sz w:val="20"/>
                <w:szCs w:val="20"/>
              </w:rPr>
              <w:t>068</w:t>
            </w:r>
          </w:p>
        </w:tc>
      </w:tr>
      <w:tr w:rsidR="00076204" w:rsidRPr="00076204" w:rsidTr="00076204">
        <w:trPr>
          <w:trHeight w:val="359"/>
          <w:jc w:val="center"/>
        </w:trPr>
        <w:tc>
          <w:tcPr>
            <w:tcW w:w="928" w:type="dxa"/>
            <w:vMerge/>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p>
        </w:tc>
        <w:tc>
          <w:tcPr>
            <w:tcW w:w="377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Group IX (Metropolitan County)</w:t>
            </w:r>
            <w:r w:rsidR="001F1C00">
              <w:rPr>
                <w:rFonts w:ascii="Times New Roman" w:hAnsi="Times New Roman" w:cs="Times New Roman"/>
                <w:sz w:val="20"/>
                <w:szCs w:val="20"/>
                <w:vertAlign w:val="superscript"/>
              </w:rPr>
              <w:t>2</w:t>
            </w:r>
          </w:p>
        </w:tc>
        <w:tc>
          <w:tcPr>
            <w:tcW w:w="117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779</w:t>
            </w:r>
          </w:p>
        </w:tc>
        <w:tc>
          <w:tcPr>
            <w:tcW w:w="135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22</w:t>
            </w:r>
            <w:r w:rsidR="00BA0127">
              <w:rPr>
                <w:rFonts w:ascii="Times New Roman" w:hAnsi="Times New Roman" w:cs="Times New Roman"/>
                <w:sz w:val="20"/>
                <w:szCs w:val="20"/>
              </w:rPr>
              <w:t>,</w:t>
            </w:r>
            <w:r>
              <w:rPr>
                <w:rFonts w:ascii="Times New Roman" w:hAnsi="Times New Roman" w:cs="Times New Roman"/>
                <w:sz w:val="20"/>
                <w:szCs w:val="20"/>
              </w:rPr>
              <w:t>396</w:t>
            </w:r>
            <w:r w:rsidR="00BA0127">
              <w:rPr>
                <w:rFonts w:ascii="Times New Roman" w:hAnsi="Times New Roman" w:cs="Times New Roman"/>
                <w:sz w:val="20"/>
                <w:szCs w:val="20"/>
              </w:rPr>
              <w:t>,</w:t>
            </w:r>
            <w:r>
              <w:rPr>
                <w:rFonts w:ascii="Times New Roman" w:hAnsi="Times New Roman" w:cs="Times New Roman"/>
                <w:sz w:val="20"/>
                <w:szCs w:val="20"/>
              </w:rPr>
              <w:t>629</w:t>
            </w:r>
          </w:p>
        </w:tc>
      </w:tr>
      <w:tr w:rsidR="00076204" w:rsidRPr="00076204" w:rsidTr="00076204">
        <w:trPr>
          <w:trHeight w:val="341"/>
          <w:jc w:val="center"/>
        </w:trPr>
        <w:tc>
          <w:tcPr>
            <w:tcW w:w="928"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p>
        </w:tc>
        <w:tc>
          <w:tcPr>
            <w:tcW w:w="3770" w:type="dxa"/>
          </w:tcPr>
          <w:p w:rsidR="00076204" w:rsidRPr="00076204" w:rsidRDefault="00076204" w:rsidP="00F3392E">
            <w:pPr>
              <w:tabs>
                <w:tab w:val="left" w:pos="360"/>
              </w:tabs>
              <w:spacing w:line="252" w:lineRule="auto"/>
              <w:contextualSpacing/>
              <w:rPr>
                <w:rFonts w:ascii="Times New Roman" w:hAnsi="Times New Roman" w:cs="Times New Roman"/>
                <w:sz w:val="20"/>
                <w:szCs w:val="20"/>
              </w:rPr>
            </w:pPr>
            <w:r w:rsidRPr="00076204">
              <w:rPr>
                <w:rFonts w:ascii="Times New Roman" w:hAnsi="Times New Roman" w:cs="Times New Roman"/>
                <w:sz w:val="20"/>
                <w:szCs w:val="20"/>
              </w:rPr>
              <w:t>Total</w:t>
            </w:r>
          </w:p>
        </w:tc>
        <w:tc>
          <w:tcPr>
            <w:tcW w:w="117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6,648</w:t>
            </w:r>
          </w:p>
        </w:tc>
        <w:tc>
          <w:tcPr>
            <w:tcW w:w="1350" w:type="dxa"/>
          </w:tcPr>
          <w:p w:rsidR="00076204" w:rsidRPr="00076204" w:rsidRDefault="00C5212D" w:rsidP="00F3392E">
            <w:pPr>
              <w:tabs>
                <w:tab w:val="left" w:pos="360"/>
              </w:tabs>
              <w:spacing w:line="252" w:lineRule="auto"/>
              <w:contextualSpacing/>
              <w:rPr>
                <w:rFonts w:ascii="Times New Roman" w:hAnsi="Times New Roman" w:cs="Times New Roman"/>
                <w:sz w:val="20"/>
                <w:szCs w:val="20"/>
              </w:rPr>
            </w:pPr>
            <w:r>
              <w:rPr>
                <w:rFonts w:ascii="Times New Roman" w:hAnsi="Times New Roman" w:cs="Times New Roman"/>
                <w:sz w:val="20"/>
                <w:szCs w:val="20"/>
              </w:rPr>
              <w:t>96</w:t>
            </w:r>
            <w:r w:rsidR="00BA0127">
              <w:rPr>
                <w:rFonts w:ascii="Times New Roman" w:hAnsi="Times New Roman" w:cs="Times New Roman"/>
                <w:sz w:val="20"/>
                <w:szCs w:val="20"/>
              </w:rPr>
              <w:t>,</w:t>
            </w:r>
            <w:r>
              <w:rPr>
                <w:rFonts w:ascii="Times New Roman" w:hAnsi="Times New Roman" w:cs="Times New Roman"/>
                <w:sz w:val="20"/>
                <w:szCs w:val="20"/>
              </w:rPr>
              <w:t>087</w:t>
            </w:r>
            <w:r w:rsidR="00BA0127">
              <w:rPr>
                <w:rFonts w:ascii="Times New Roman" w:hAnsi="Times New Roman" w:cs="Times New Roman"/>
                <w:sz w:val="20"/>
                <w:szCs w:val="20"/>
              </w:rPr>
              <w:t>,</w:t>
            </w:r>
            <w:r>
              <w:rPr>
                <w:rFonts w:ascii="Times New Roman" w:hAnsi="Times New Roman" w:cs="Times New Roman"/>
                <w:sz w:val="20"/>
                <w:szCs w:val="20"/>
              </w:rPr>
              <w:t>615</w:t>
            </w:r>
          </w:p>
        </w:tc>
      </w:tr>
    </w:tbl>
    <w:p w:rsidR="00076204" w:rsidRPr="00076204" w:rsidRDefault="001F1C00" w:rsidP="00F3392E">
      <w:pPr>
        <w:tabs>
          <w:tab w:val="left" w:pos="360"/>
        </w:tabs>
        <w:spacing w:line="252" w:lineRule="auto"/>
        <w:ind w:left="720"/>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         1</w:t>
      </w:r>
      <w:r w:rsidR="00105CFB">
        <w:rPr>
          <w:rFonts w:ascii="Times New Roman" w:hAnsi="Times New Roman" w:cs="Times New Roman"/>
          <w:sz w:val="24"/>
          <w:szCs w:val="24"/>
        </w:rPr>
        <w:t xml:space="preserve"> </w:t>
      </w:r>
      <w:r w:rsidR="00076204" w:rsidRPr="00076204">
        <w:rPr>
          <w:rFonts w:ascii="Times New Roman" w:hAnsi="Times New Roman" w:cs="Times New Roman"/>
          <w:sz w:val="24"/>
          <w:szCs w:val="24"/>
        </w:rPr>
        <w:t>Includes universities and colleges to which no population is attributed.</w:t>
      </w:r>
    </w:p>
    <w:p w:rsidR="00076204" w:rsidRDefault="001F1C00" w:rsidP="00F3392E">
      <w:pPr>
        <w:tabs>
          <w:tab w:val="left" w:pos="360"/>
        </w:tabs>
        <w:spacing w:line="252" w:lineRule="auto"/>
        <w:ind w:left="720"/>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         2</w:t>
      </w:r>
      <w:r w:rsidR="00076204" w:rsidRPr="00076204">
        <w:rPr>
          <w:rFonts w:ascii="Times New Roman" w:hAnsi="Times New Roman" w:cs="Times New Roman"/>
          <w:sz w:val="24"/>
          <w:szCs w:val="24"/>
        </w:rPr>
        <w:t xml:space="preserve"> Includes state police to which no population is attributed.</w:t>
      </w:r>
    </w:p>
    <w:p w:rsidR="00951EDE" w:rsidRDefault="00951EDE" w:rsidP="00F3392E">
      <w:pPr>
        <w:tabs>
          <w:tab w:val="left" w:pos="360"/>
        </w:tabs>
        <w:spacing w:line="252" w:lineRule="auto"/>
        <w:ind w:left="720"/>
        <w:contextualSpacing/>
        <w:rPr>
          <w:rFonts w:ascii="Times New Roman" w:hAnsi="Times New Roman" w:cs="Times New Roman"/>
          <w:sz w:val="24"/>
          <w:szCs w:val="24"/>
        </w:rPr>
      </w:pPr>
    </w:p>
    <w:p w:rsidR="00BA0127" w:rsidRDefault="00BA0127" w:rsidP="00F3392E">
      <w:pPr>
        <w:spacing w:line="252" w:lineRule="auto"/>
        <w:rPr>
          <w:rFonts w:ascii="Times New Roman" w:hAnsi="Times New Roman" w:cs="Times New Roman"/>
          <w:sz w:val="24"/>
          <w:szCs w:val="24"/>
        </w:rPr>
      </w:pPr>
    </w:p>
    <w:p w:rsidR="004826DA" w:rsidRDefault="004826DA" w:rsidP="00F3392E">
      <w:pPr>
        <w:spacing w:line="252" w:lineRule="auto"/>
        <w:rPr>
          <w:rFonts w:ascii="Times New Roman" w:hAnsi="Times New Roman" w:cs="Times New Roman"/>
          <w:sz w:val="24"/>
          <w:szCs w:val="24"/>
        </w:rPr>
      </w:pPr>
    </w:p>
    <w:p w:rsidR="009E24D0" w:rsidRDefault="009E24D0" w:rsidP="00F3392E">
      <w:pPr>
        <w:spacing w:line="252" w:lineRule="auto"/>
        <w:rPr>
          <w:rFonts w:ascii="Times New Roman" w:hAnsi="Times New Roman" w:cs="Times New Roman"/>
          <w:sz w:val="24"/>
          <w:szCs w:val="24"/>
        </w:rPr>
      </w:pPr>
    </w:p>
    <w:p w:rsidR="009E24D0" w:rsidRDefault="009E24D0" w:rsidP="00F3392E">
      <w:pPr>
        <w:spacing w:line="252" w:lineRule="auto"/>
        <w:rPr>
          <w:rFonts w:ascii="Times New Roman" w:hAnsi="Times New Roman" w:cs="Times New Roman"/>
          <w:sz w:val="24"/>
          <w:szCs w:val="24"/>
        </w:rPr>
      </w:pPr>
    </w:p>
    <w:p w:rsidR="009E24D0" w:rsidRDefault="009E24D0" w:rsidP="00F3392E">
      <w:pPr>
        <w:spacing w:line="252" w:lineRule="auto"/>
        <w:rPr>
          <w:rFonts w:ascii="Times New Roman" w:hAnsi="Times New Roman" w:cs="Times New Roman"/>
          <w:sz w:val="24"/>
          <w:szCs w:val="24"/>
        </w:rPr>
      </w:pPr>
    </w:p>
    <w:p w:rsidR="004826DA" w:rsidRPr="00244F5C" w:rsidRDefault="004826DA" w:rsidP="00F3392E">
      <w:pPr>
        <w:spacing w:line="252"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123"/>
      </w:tblGrid>
      <w:tr w:rsidR="00BA0127" w:rsidRPr="004E0DB5" w:rsidTr="00177AB2">
        <w:trPr>
          <w:trHeight w:val="144"/>
          <w:jc w:val="center"/>
        </w:trPr>
        <w:tc>
          <w:tcPr>
            <w:tcW w:w="0" w:type="auto"/>
          </w:tcPr>
          <w:p w:rsidR="00BA0127" w:rsidRPr="004E0DB5" w:rsidRDefault="00BA0127" w:rsidP="00F3392E">
            <w:pPr>
              <w:pStyle w:val="ListParagraph"/>
              <w:tabs>
                <w:tab w:val="left" w:pos="360"/>
              </w:tabs>
              <w:spacing w:line="252" w:lineRule="auto"/>
              <w:ind w:left="0"/>
              <w:rPr>
                <w:rFonts w:ascii="Times New Roman" w:hAnsi="Times New Roman"/>
                <w:b/>
              </w:rPr>
            </w:pPr>
            <w:r w:rsidRPr="004E0DB5">
              <w:rPr>
                <w:rFonts w:ascii="Times New Roman" w:hAnsi="Times New Roman"/>
                <w:b/>
              </w:rPr>
              <w:t>Number of months submitted</w:t>
            </w:r>
          </w:p>
        </w:tc>
        <w:tc>
          <w:tcPr>
            <w:tcW w:w="0" w:type="auto"/>
          </w:tcPr>
          <w:p w:rsidR="00BA0127" w:rsidRPr="004E0DB5" w:rsidRDefault="00BA0127" w:rsidP="00F3392E">
            <w:pPr>
              <w:pStyle w:val="ListParagraph"/>
              <w:tabs>
                <w:tab w:val="left" w:pos="360"/>
              </w:tabs>
              <w:spacing w:line="252" w:lineRule="auto"/>
              <w:ind w:left="0"/>
              <w:rPr>
                <w:rFonts w:ascii="Times New Roman" w:hAnsi="Times New Roman"/>
                <w:b/>
              </w:rPr>
            </w:pPr>
            <w:r w:rsidRPr="004E0DB5">
              <w:rPr>
                <w:rFonts w:ascii="Times New Roman" w:hAnsi="Times New Roman"/>
                <w:b/>
              </w:rPr>
              <w:t>Number of Agencies</w:t>
            </w:r>
          </w:p>
        </w:tc>
      </w:tr>
      <w:tr w:rsidR="00BA0127" w:rsidRPr="004E0DB5" w:rsidTr="003F6232">
        <w:trPr>
          <w:trHeight w:val="287"/>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1 month</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110</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2 months</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24</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3 months</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39</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4 months</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43</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5 months</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29</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6 months</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42</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7 months</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46</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8 months</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79</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9 months</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60</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10 months</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77</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11 months</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177</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rPr>
            </w:pPr>
            <w:r w:rsidRPr="004E0DB5">
              <w:rPr>
                <w:rFonts w:ascii="Times New Roman" w:hAnsi="Times New Roman"/>
              </w:rPr>
              <w:t>12 months</w:t>
            </w:r>
          </w:p>
        </w:tc>
        <w:tc>
          <w:tcPr>
            <w:tcW w:w="0" w:type="auto"/>
            <w:vAlign w:val="bottom"/>
          </w:tcPr>
          <w:p w:rsidR="00BA0127" w:rsidRPr="004E0DB5" w:rsidRDefault="00244F5C" w:rsidP="00F3392E">
            <w:pPr>
              <w:pStyle w:val="ListParagraph"/>
              <w:tabs>
                <w:tab w:val="left" w:pos="360"/>
              </w:tabs>
              <w:spacing w:line="252" w:lineRule="auto"/>
              <w:ind w:left="0"/>
              <w:jc w:val="center"/>
              <w:rPr>
                <w:rFonts w:ascii="Times New Roman" w:hAnsi="Times New Roman"/>
              </w:rPr>
            </w:pPr>
            <w:r>
              <w:rPr>
                <w:rFonts w:ascii="Times New Roman" w:hAnsi="Times New Roman"/>
              </w:rPr>
              <w:t>5</w:t>
            </w:r>
            <w:r w:rsidR="00BA0127">
              <w:rPr>
                <w:rFonts w:ascii="Times New Roman" w:hAnsi="Times New Roman"/>
              </w:rPr>
              <w:t>,</w:t>
            </w:r>
            <w:r>
              <w:rPr>
                <w:rFonts w:ascii="Times New Roman" w:hAnsi="Times New Roman"/>
              </w:rPr>
              <w:t>922</w:t>
            </w:r>
          </w:p>
        </w:tc>
      </w:tr>
      <w:tr w:rsidR="00BA0127" w:rsidRPr="004E0DB5" w:rsidTr="003F6232">
        <w:trPr>
          <w:jc w:val="center"/>
        </w:trPr>
        <w:tc>
          <w:tcPr>
            <w:tcW w:w="0" w:type="auto"/>
          </w:tcPr>
          <w:p w:rsidR="00BA0127" w:rsidRPr="004E0DB5" w:rsidRDefault="00BA0127" w:rsidP="00F3392E">
            <w:pPr>
              <w:pStyle w:val="ListParagraph"/>
              <w:tabs>
                <w:tab w:val="left" w:pos="360"/>
              </w:tabs>
              <w:spacing w:line="252" w:lineRule="auto"/>
              <w:ind w:left="0"/>
              <w:jc w:val="center"/>
              <w:rPr>
                <w:rFonts w:ascii="Times New Roman" w:hAnsi="Times New Roman"/>
                <w:b/>
              </w:rPr>
            </w:pPr>
            <w:r w:rsidRPr="004E0DB5">
              <w:rPr>
                <w:rFonts w:ascii="Times New Roman" w:hAnsi="Times New Roman"/>
                <w:b/>
              </w:rPr>
              <w:t>Total</w:t>
            </w:r>
          </w:p>
        </w:tc>
        <w:tc>
          <w:tcPr>
            <w:tcW w:w="0" w:type="auto"/>
            <w:vAlign w:val="bottom"/>
          </w:tcPr>
          <w:p w:rsidR="00BA0127" w:rsidRPr="004E0DB5" w:rsidRDefault="003F6232" w:rsidP="00A021A2">
            <w:pPr>
              <w:pStyle w:val="ListParagraph"/>
              <w:tabs>
                <w:tab w:val="left" w:pos="360"/>
              </w:tabs>
              <w:spacing w:line="252" w:lineRule="auto"/>
              <w:ind w:left="0"/>
              <w:jc w:val="center"/>
              <w:rPr>
                <w:rFonts w:ascii="Times New Roman" w:hAnsi="Times New Roman"/>
                <w:b/>
              </w:rPr>
            </w:pPr>
            <w:r>
              <w:rPr>
                <w:rFonts w:ascii="Times New Roman" w:hAnsi="Times New Roman"/>
                <w:b/>
              </w:rPr>
              <w:t>6,648</w:t>
            </w:r>
          </w:p>
        </w:tc>
      </w:tr>
    </w:tbl>
    <w:p w:rsidR="00D72083" w:rsidRDefault="00D72083" w:rsidP="00F3392E">
      <w:pPr>
        <w:pStyle w:val="ListParagraph"/>
        <w:spacing w:line="252" w:lineRule="auto"/>
        <w:ind w:left="360"/>
        <w:rPr>
          <w:rFonts w:ascii="Times New Roman" w:hAnsi="Times New Roman" w:cs="Times New Roman"/>
          <w:sz w:val="24"/>
          <w:szCs w:val="24"/>
        </w:rPr>
      </w:pPr>
    </w:p>
    <w:p w:rsidR="003A4C2A" w:rsidRDefault="009E24D0" w:rsidP="003F6232">
      <w:pPr>
        <w:ind w:left="360"/>
        <w:contextualSpacing/>
        <w:rPr>
          <w:rFonts w:ascii="Times New Roman" w:hAnsi="Times New Roman" w:cs="Times New Roman"/>
          <w:sz w:val="24"/>
          <w:szCs w:val="24"/>
        </w:rPr>
      </w:pPr>
      <w:r>
        <w:rPr>
          <w:rFonts w:ascii="Times New Roman" w:hAnsi="Times New Roman" w:cs="Times New Roman"/>
          <w:sz w:val="24"/>
          <w:szCs w:val="24"/>
        </w:rPr>
        <w:t xml:space="preserve">Out of the </w:t>
      </w:r>
      <w:r w:rsidR="003F6232">
        <w:rPr>
          <w:rFonts w:ascii="Times New Roman" w:hAnsi="Times New Roman" w:cs="Times New Roman"/>
          <w:sz w:val="24"/>
          <w:szCs w:val="24"/>
        </w:rPr>
        <w:t>6,648</w:t>
      </w:r>
      <w:r>
        <w:rPr>
          <w:rFonts w:ascii="Times New Roman" w:hAnsi="Times New Roman" w:cs="Times New Roman"/>
          <w:sz w:val="24"/>
          <w:szCs w:val="24"/>
        </w:rPr>
        <w:t xml:space="preserve"> agencies that voluntarily report NIBRS data to the FBI UCR Program, approximately 5,922 submit</w:t>
      </w:r>
      <w:r w:rsidR="003F6232">
        <w:rPr>
          <w:rFonts w:ascii="Times New Roman" w:hAnsi="Times New Roman" w:cs="Times New Roman"/>
          <w:sz w:val="24"/>
          <w:szCs w:val="24"/>
        </w:rPr>
        <w:t xml:space="preserve"> twelve months complete data (89</w:t>
      </w:r>
      <w:r>
        <w:rPr>
          <w:rFonts w:ascii="Times New Roman" w:hAnsi="Times New Roman" w:cs="Times New Roman"/>
          <w:sz w:val="24"/>
          <w:szCs w:val="24"/>
        </w:rPr>
        <w:t>.</w:t>
      </w:r>
      <w:r w:rsidR="003F6232">
        <w:rPr>
          <w:rFonts w:ascii="Times New Roman" w:hAnsi="Times New Roman" w:cs="Times New Roman"/>
          <w:sz w:val="24"/>
          <w:szCs w:val="24"/>
        </w:rPr>
        <w:t>1</w:t>
      </w:r>
      <w:r>
        <w:rPr>
          <w:rFonts w:ascii="Times New Roman" w:hAnsi="Times New Roman" w:cs="Times New Roman"/>
          <w:sz w:val="24"/>
          <w:szCs w:val="24"/>
        </w:rPr>
        <w:t xml:space="preserve"> percent).  Of the remaining agencies, 726 submit between one and eleven months of data</w:t>
      </w:r>
      <w:r w:rsidRPr="004826DA">
        <w:rPr>
          <w:rFonts w:ascii="Times New Roman" w:hAnsi="Times New Roman" w:cs="Times New Roman"/>
          <w:sz w:val="24"/>
          <w:szCs w:val="24"/>
        </w:rPr>
        <w:t>.</w:t>
      </w:r>
      <w:r>
        <w:rPr>
          <w:rFonts w:ascii="Times New Roman" w:hAnsi="Times New Roman" w:cs="Times New Roman"/>
          <w:sz w:val="24"/>
          <w:szCs w:val="24"/>
        </w:rPr>
        <w:t xml:space="preserve">  </w:t>
      </w:r>
    </w:p>
    <w:p w:rsidR="003A4C2A" w:rsidRPr="003A4C2A" w:rsidRDefault="003A4C2A" w:rsidP="0030134B">
      <w:pPr>
        <w:contextualSpacing/>
        <w:rPr>
          <w:rFonts w:ascii="Times New Roman" w:hAnsi="Times New Roman" w:cs="Times New Roman"/>
          <w:sz w:val="24"/>
          <w:szCs w:val="24"/>
        </w:rPr>
      </w:pPr>
    </w:p>
    <w:p w:rsidR="0001350E" w:rsidRDefault="00204A0D" w:rsidP="00DA5579">
      <w:pPr>
        <w:ind w:left="360"/>
        <w:contextualSpacing/>
        <w:rPr>
          <w:rFonts w:ascii="Times New Roman" w:hAnsi="Times New Roman" w:cs="Times New Roman"/>
          <w:sz w:val="24"/>
          <w:szCs w:val="24"/>
        </w:rPr>
      </w:pPr>
      <w:r>
        <w:rPr>
          <w:rFonts w:ascii="Times New Roman" w:hAnsi="Times New Roman" w:cs="Times New Roman"/>
          <w:sz w:val="24"/>
          <w:szCs w:val="24"/>
        </w:rPr>
        <w:t>The FBI UCR Program’s NIBRS statistics are published by many scholars. UCR NIBRS data is provided to the ICPSR on an annual basis.  Since 1990, sixty-one scholarly citations have been recorded by the ICPSR. Additionally, the FBI UCR Program received 124 requests for NIBRS data throughout 2015.</w:t>
      </w:r>
      <w:r w:rsidR="00DA5579">
        <w:rPr>
          <w:rFonts w:ascii="Times New Roman" w:hAnsi="Times New Roman" w:cs="Times New Roman"/>
          <w:sz w:val="24"/>
          <w:szCs w:val="24"/>
        </w:rPr>
        <w:t xml:space="preserve">  The 2011 NIBRS publication was the first to be released in August of 2013.  </w:t>
      </w:r>
      <w:r w:rsidR="00DD7D8C">
        <w:rPr>
          <w:rFonts w:ascii="Times New Roman" w:hAnsi="Times New Roman" w:cs="Times New Roman"/>
          <w:sz w:val="24"/>
          <w:szCs w:val="24"/>
        </w:rPr>
        <w:t xml:space="preserve">Subsequent annual publications are released in December of the following years.  Beginning in 2014, the UCR Program created a user friendly interactive NIBRS Map for use on the publication webpage.  </w:t>
      </w:r>
      <w:r w:rsidR="005223B9">
        <w:rPr>
          <w:rFonts w:ascii="Times New Roman" w:hAnsi="Times New Roman" w:cs="Times New Roman"/>
          <w:sz w:val="24"/>
          <w:szCs w:val="24"/>
        </w:rPr>
        <w:t>Within the map, s</w:t>
      </w:r>
      <w:r w:rsidR="00DD7D8C">
        <w:rPr>
          <w:rFonts w:ascii="Times New Roman" w:hAnsi="Times New Roman" w:cs="Times New Roman"/>
          <w:sz w:val="24"/>
          <w:szCs w:val="24"/>
        </w:rPr>
        <w:t>tatistics are presented for each agency th</w:t>
      </w:r>
      <w:r w:rsidR="005223B9">
        <w:rPr>
          <w:rFonts w:ascii="Times New Roman" w:hAnsi="Times New Roman" w:cs="Times New Roman"/>
          <w:sz w:val="24"/>
          <w:szCs w:val="24"/>
        </w:rPr>
        <w:t>at reported 12 months of data, using f</w:t>
      </w:r>
      <w:r w:rsidR="00DD7D8C">
        <w:rPr>
          <w:rFonts w:ascii="Times New Roman" w:hAnsi="Times New Roman" w:cs="Times New Roman"/>
          <w:sz w:val="24"/>
          <w:szCs w:val="24"/>
        </w:rPr>
        <w:t xml:space="preserve">ilters </w:t>
      </w:r>
      <w:r w:rsidR="005223B9">
        <w:rPr>
          <w:rFonts w:ascii="Times New Roman" w:hAnsi="Times New Roman" w:cs="Times New Roman"/>
          <w:sz w:val="24"/>
          <w:szCs w:val="24"/>
        </w:rPr>
        <w:t xml:space="preserve">to </w:t>
      </w:r>
      <w:r w:rsidR="00DD7D8C">
        <w:rPr>
          <w:rFonts w:ascii="Times New Roman" w:hAnsi="Times New Roman" w:cs="Times New Roman"/>
          <w:sz w:val="24"/>
          <w:szCs w:val="24"/>
        </w:rPr>
        <w:t xml:space="preserve">view map points by agency type, state, and offense categories.  </w:t>
      </w:r>
      <w:r w:rsidR="00D14B24" w:rsidRPr="003A4C2A">
        <w:rPr>
          <w:rFonts w:ascii="Times New Roman" w:hAnsi="Times New Roman" w:cs="Times New Roman"/>
          <w:sz w:val="24"/>
          <w:szCs w:val="24"/>
        </w:rPr>
        <w:t xml:space="preserve">For </w:t>
      </w:r>
      <w:r w:rsidR="00D14B24" w:rsidRPr="003A4C2A">
        <w:rPr>
          <w:rFonts w:ascii="Times New Roman" w:hAnsi="Times New Roman" w:cs="Times New Roman"/>
          <w:i/>
          <w:sz w:val="24"/>
          <w:szCs w:val="24"/>
        </w:rPr>
        <w:t>Crime in the United States (CIUS)</w:t>
      </w:r>
      <w:r w:rsidR="00D14B24" w:rsidRPr="003A4C2A">
        <w:rPr>
          <w:rFonts w:ascii="Times New Roman" w:hAnsi="Times New Roman" w:cs="Times New Roman"/>
          <w:sz w:val="24"/>
          <w:szCs w:val="24"/>
        </w:rPr>
        <w:t xml:space="preserve"> the FBI converts NIBRS data to the traditional SRS format.  Once converted from NIBRS submissions, the SRS data are available as printouts to state and local agencies for review.  The SRS printouts contain incident reports that are aggregated by offenses, arrests, property types and values, clearances, and details of homicides.</w:t>
      </w:r>
    </w:p>
    <w:p w:rsidR="0001350E" w:rsidRDefault="0001350E" w:rsidP="0001350E">
      <w:pPr>
        <w:ind w:left="360"/>
        <w:contextualSpacing/>
        <w:rPr>
          <w:rFonts w:ascii="Times New Roman" w:hAnsi="Times New Roman" w:cs="Times New Roman"/>
          <w:sz w:val="24"/>
          <w:szCs w:val="24"/>
        </w:rPr>
      </w:pPr>
    </w:p>
    <w:p w:rsidR="0001350E" w:rsidRDefault="0001350E" w:rsidP="0001350E">
      <w:pPr>
        <w:ind w:left="360"/>
        <w:contextualSpacing/>
        <w:rPr>
          <w:rFonts w:ascii="Times New Roman" w:hAnsi="Times New Roman" w:cs="Times New Roman"/>
          <w:sz w:val="24"/>
          <w:szCs w:val="24"/>
        </w:rPr>
      </w:pPr>
      <w:r w:rsidRPr="0001350E">
        <w:rPr>
          <w:rFonts w:ascii="Times New Roman" w:hAnsi="Times New Roman" w:cs="Times New Roman"/>
          <w:sz w:val="24"/>
          <w:szCs w:val="24"/>
        </w:rPr>
        <w:lastRenderedPageBreak/>
        <w:t>While NIBRS participants include a mix of population density and jurisdictions with different sociodemographic conditions, the current NIBRS participants are not a representative sample and therefore not used to calculate NIBRS national estimates of broader populations.  However, the FBI CJIS Division and the BJS partnered in 2012 to support the NCS-X to increase participation in the NIBRS data collection.  The goal of the NCS-X project is to increase the number of participating agencies by at least 400 agencies, to include the 72 largest agencies.  The NCS-X is providing assistance to select local, state, and tribal LEAs and to select state UCR programs to enable them to report NIBRS data to the FBI.</w:t>
      </w:r>
    </w:p>
    <w:p w:rsidR="0001350E" w:rsidRDefault="0001350E" w:rsidP="0001350E">
      <w:pPr>
        <w:ind w:left="360"/>
        <w:contextualSpacing/>
        <w:rPr>
          <w:rFonts w:ascii="Times New Roman" w:hAnsi="Times New Roman" w:cs="Times New Roman"/>
          <w:sz w:val="24"/>
          <w:szCs w:val="24"/>
        </w:rPr>
      </w:pPr>
    </w:p>
    <w:p w:rsidR="00AC5BC9" w:rsidRDefault="0001350E" w:rsidP="0001350E">
      <w:pPr>
        <w:ind w:left="360"/>
        <w:contextualSpacing/>
        <w:rPr>
          <w:rFonts w:ascii="Times New Roman" w:hAnsi="Times New Roman" w:cs="Times New Roman"/>
          <w:sz w:val="24"/>
          <w:szCs w:val="24"/>
        </w:rPr>
      </w:pPr>
      <w:r w:rsidRPr="0001350E">
        <w:rPr>
          <w:rFonts w:ascii="Times New Roman" w:hAnsi="Times New Roman" w:cs="Times New Roman"/>
          <w:sz w:val="24"/>
          <w:szCs w:val="24"/>
        </w:rPr>
        <w:t>In addition to the NCS-X project, the CJIS APB recommended and the FBI Director approved the initiative for the FBI UCR Program to transition to a NIBRS-only data collection by January 1, 2021.  Therefore, agencies that were not included in the NCS-X selections are able to transition to the NIBRS because of the APB recommendation.</w:t>
      </w:r>
    </w:p>
    <w:p w:rsidR="0001350E" w:rsidRPr="006729F2" w:rsidRDefault="0001350E" w:rsidP="0001350E">
      <w:pPr>
        <w:ind w:left="360"/>
        <w:contextualSpacing/>
        <w:rPr>
          <w:rFonts w:ascii="Times New Roman" w:hAnsi="Times New Roman" w:cs="Times New Roman"/>
          <w:sz w:val="24"/>
          <w:szCs w:val="24"/>
        </w:rPr>
      </w:pPr>
    </w:p>
    <w:p w:rsidR="001E5C22" w:rsidRPr="00F04221" w:rsidRDefault="001072B6" w:rsidP="00F04221">
      <w:pPr>
        <w:pStyle w:val="ListParagraph"/>
        <w:numPr>
          <w:ilvl w:val="0"/>
          <w:numId w:val="1"/>
        </w:numPr>
        <w:spacing w:after="120" w:line="240" w:lineRule="auto"/>
        <w:ind w:left="360"/>
        <w:rPr>
          <w:rFonts w:ascii="Times New Roman" w:hAnsi="Times New Roman" w:cs="Times New Roman"/>
          <w:sz w:val="24"/>
          <w:szCs w:val="24"/>
        </w:rPr>
      </w:pPr>
      <w:r>
        <w:rPr>
          <w:rFonts w:ascii="Times New Roman" w:hAnsi="Times New Roman" w:cs="Times New Roman"/>
          <w:sz w:val="24"/>
          <w:szCs w:val="24"/>
          <w:u w:val="single"/>
        </w:rPr>
        <w:t>Procedures for Collecting Information</w:t>
      </w:r>
    </w:p>
    <w:p w:rsidR="00F04221" w:rsidRPr="00F04221" w:rsidRDefault="00F04221" w:rsidP="00F04221">
      <w:pPr>
        <w:pStyle w:val="ListParagraph"/>
        <w:spacing w:after="120" w:line="240" w:lineRule="auto"/>
        <w:ind w:left="360"/>
        <w:rPr>
          <w:rFonts w:ascii="Times New Roman" w:hAnsi="Times New Roman" w:cs="Times New Roman"/>
          <w:sz w:val="24"/>
          <w:szCs w:val="24"/>
        </w:rPr>
      </w:pPr>
    </w:p>
    <w:p w:rsidR="006057CB" w:rsidRDefault="00F04221" w:rsidP="006057CB">
      <w:pPr>
        <w:pStyle w:val="ListParagraph"/>
        <w:spacing w:after="120" w:line="240" w:lineRule="auto"/>
        <w:ind w:left="360"/>
        <w:rPr>
          <w:rFonts w:ascii="Times New Roman" w:hAnsi="Times New Roman" w:cs="Times New Roman"/>
          <w:sz w:val="24"/>
          <w:szCs w:val="24"/>
        </w:rPr>
      </w:pPr>
      <w:r>
        <w:rPr>
          <w:rFonts w:ascii="Times New Roman" w:hAnsi="Times New Roman" w:cs="Times New Roman"/>
          <w:sz w:val="24"/>
          <w:szCs w:val="24"/>
        </w:rPr>
        <w:t xml:space="preserve">Developed in the late 1980s, the NIBRS was designed as an automated system to modernize the UCR Program.  </w:t>
      </w:r>
      <w:r w:rsidR="001E5C22" w:rsidRPr="00F04221">
        <w:rPr>
          <w:rFonts w:ascii="Times New Roman" w:hAnsi="Times New Roman" w:cs="Times New Roman"/>
          <w:sz w:val="24"/>
          <w:szCs w:val="24"/>
        </w:rPr>
        <w:t>The NIBRS is an i</w:t>
      </w:r>
      <w:r w:rsidRPr="00F04221">
        <w:rPr>
          <w:rFonts w:ascii="Times New Roman" w:hAnsi="Times New Roman" w:cs="Times New Roman"/>
          <w:sz w:val="24"/>
          <w:szCs w:val="24"/>
        </w:rPr>
        <w:t>ncident-based reporting system</w:t>
      </w:r>
      <w:r w:rsidR="006057CB">
        <w:rPr>
          <w:rFonts w:ascii="Times New Roman" w:hAnsi="Times New Roman" w:cs="Times New Roman"/>
          <w:sz w:val="24"/>
          <w:szCs w:val="24"/>
        </w:rPr>
        <w:t xml:space="preserve"> used by participating LEAs to report 52 specific offenses and relevant details by incident, using up to 59 data elements and collect details about offenses, offenders, victims, property, and arrestees reported to police. </w:t>
      </w:r>
      <w:r w:rsidRPr="00F04221">
        <w:rPr>
          <w:rFonts w:ascii="Times New Roman" w:hAnsi="Times New Roman" w:cs="Times New Roman"/>
          <w:sz w:val="24"/>
          <w:szCs w:val="24"/>
        </w:rPr>
        <w:t xml:space="preserve">  </w:t>
      </w:r>
    </w:p>
    <w:p w:rsidR="006057CB" w:rsidRDefault="006057CB" w:rsidP="006057CB">
      <w:pPr>
        <w:pStyle w:val="ListParagraph"/>
        <w:spacing w:after="120" w:line="240" w:lineRule="auto"/>
        <w:ind w:left="360"/>
        <w:rPr>
          <w:rFonts w:ascii="Times New Roman" w:hAnsi="Times New Roman" w:cs="Times New Roman"/>
          <w:sz w:val="24"/>
          <w:szCs w:val="24"/>
        </w:rPr>
      </w:pPr>
    </w:p>
    <w:p w:rsidR="006057CB" w:rsidRPr="006057CB" w:rsidRDefault="006057CB" w:rsidP="006057CB">
      <w:pPr>
        <w:pStyle w:val="ListParagraph"/>
        <w:spacing w:after="120" w:line="240" w:lineRule="auto"/>
        <w:ind w:left="360"/>
        <w:rPr>
          <w:rFonts w:ascii="Times New Roman" w:hAnsi="Times New Roman" w:cs="Times New Roman"/>
          <w:sz w:val="24"/>
          <w:szCs w:val="24"/>
        </w:rPr>
      </w:pPr>
      <w:r w:rsidRPr="00936DF1">
        <w:rPr>
          <w:rFonts w:ascii="Times New Roman" w:hAnsi="Times New Roman"/>
          <w:sz w:val="24"/>
          <w:szCs w:val="24"/>
        </w:rPr>
        <w:t xml:space="preserve">Since data collected by NIBRS are considerably more comprehensive than those of the traditional </w:t>
      </w:r>
      <w:r>
        <w:rPr>
          <w:rFonts w:ascii="Times New Roman" w:hAnsi="Times New Roman"/>
          <w:sz w:val="24"/>
          <w:szCs w:val="24"/>
        </w:rPr>
        <w:t>SRS</w:t>
      </w:r>
      <w:r w:rsidRPr="00936DF1">
        <w:rPr>
          <w:rFonts w:ascii="Times New Roman" w:hAnsi="Times New Roman"/>
          <w:sz w:val="24"/>
          <w:szCs w:val="24"/>
        </w:rPr>
        <w:t>, agencies wishing to participate should have computerized data systems capable of processing NIBRS information.</w:t>
      </w:r>
      <w:r>
        <w:rPr>
          <w:rFonts w:ascii="Times New Roman" w:hAnsi="Times New Roman"/>
          <w:sz w:val="24"/>
          <w:szCs w:val="24"/>
        </w:rPr>
        <w:t xml:space="preserve">  </w:t>
      </w:r>
      <w:r w:rsidR="001E5C22" w:rsidRPr="00F04221">
        <w:rPr>
          <w:rFonts w:ascii="Times New Roman" w:hAnsi="Times New Roman" w:cs="Times New Roman"/>
          <w:sz w:val="24"/>
          <w:szCs w:val="24"/>
        </w:rPr>
        <w:t>The NIBRS data are designed to be generated as a byproduct of local, stat</w:t>
      </w:r>
      <w:r w:rsidR="00F04221">
        <w:rPr>
          <w:rFonts w:ascii="Times New Roman" w:hAnsi="Times New Roman" w:cs="Times New Roman"/>
          <w:sz w:val="24"/>
          <w:szCs w:val="24"/>
        </w:rPr>
        <w:t>e, and federal automated record</w:t>
      </w:r>
      <w:r w:rsidR="001E5C22" w:rsidRPr="00F04221">
        <w:rPr>
          <w:rFonts w:ascii="Times New Roman" w:hAnsi="Times New Roman" w:cs="Times New Roman"/>
          <w:sz w:val="24"/>
          <w:szCs w:val="24"/>
        </w:rPr>
        <w:t xml:space="preserve"> systems.  Thus, an agency c</w:t>
      </w:r>
      <w:r w:rsidR="00F3392E" w:rsidRPr="00F04221">
        <w:rPr>
          <w:rFonts w:ascii="Times New Roman" w:hAnsi="Times New Roman" w:cs="Times New Roman"/>
          <w:sz w:val="24"/>
          <w:szCs w:val="24"/>
        </w:rPr>
        <w:t>an build its own system to suit</w:t>
      </w:r>
      <w:r w:rsidR="001E5C22" w:rsidRPr="00F04221">
        <w:rPr>
          <w:rFonts w:ascii="Times New Roman" w:hAnsi="Times New Roman" w:cs="Times New Roman"/>
          <w:sz w:val="24"/>
          <w:szCs w:val="24"/>
        </w:rPr>
        <w:t xml:space="preserve"> its individual needs, including all the information required for administrative and operational purposes.  Only the data required by NIBRS are then reported to the national UCR Program.</w:t>
      </w:r>
      <w:r w:rsidR="001E5C22" w:rsidRPr="006057CB">
        <w:rPr>
          <w:rFonts w:ascii="Times New Roman" w:hAnsi="Times New Roman" w:cs="Times New Roman"/>
          <w:sz w:val="24"/>
          <w:szCs w:val="24"/>
        </w:rPr>
        <w:t xml:space="preserve"> </w:t>
      </w:r>
    </w:p>
    <w:p w:rsidR="00936DF1" w:rsidRDefault="00936DF1" w:rsidP="003A4C2A">
      <w:pPr>
        <w:pStyle w:val="ListParagraph"/>
        <w:spacing w:after="120" w:line="240" w:lineRule="auto"/>
        <w:ind w:left="360"/>
        <w:rPr>
          <w:rFonts w:ascii="Times New Roman" w:hAnsi="Times New Roman"/>
          <w:sz w:val="24"/>
          <w:szCs w:val="24"/>
        </w:rPr>
      </w:pPr>
      <w:r w:rsidRPr="00936DF1">
        <w:rPr>
          <w:rFonts w:ascii="Times New Roman" w:hAnsi="Times New Roman"/>
          <w:sz w:val="24"/>
          <w:szCs w:val="24"/>
        </w:rPr>
        <w:t xml:space="preserve">  </w:t>
      </w:r>
    </w:p>
    <w:p w:rsidR="0001350E" w:rsidRDefault="0001350E" w:rsidP="0001350E">
      <w:pPr>
        <w:pStyle w:val="ListParagraph"/>
        <w:spacing w:after="120" w:line="240" w:lineRule="auto"/>
        <w:ind w:left="360"/>
        <w:rPr>
          <w:rFonts w:ascii="Times New Roman" w:hAnsi="Times New Roman"/>
          <w:sz w:val="24"/>
          <w:szCs w:val="24"/>
        </w:rPr>
      </w:pPr>
      <w:r w:rsidRPr="00936DF1">
        <w:rPr>
          <w:rFonts w:ascii="Times New Roman" w:hAnsi="Times New Roman"/>
          <w:sz w:val="24"/>
          <w:szCs w:val="24"/>
        </w:rPr>
        <w:t>Full participation in NIBRS necessitates meeting all the reporting guidelines and requirements set forth.  Before a local agency begins submitting NIBRS data directly to the FBI, the agency will be asked to demons</w:t>
      </w:r>
      <w:r>
        <w:rPr>
          <w:rFonts w:ascii="Times New Roman" w:hAnsi="Times New Roman"/>
          <w:sz w:val="24"/>
          <w:szCs w:val="24"/>
        </w:rPr>
        <w:t>trate its ability to meet NIBRS’</w:t>
      </w:r>
      <w:r w:rsidRPr="00936DF1">
        <w:rPr>
          <w:rFonts w:ascii="Times New Roman" w:hAnsi="Times New Roman"/>
          <w:sz w:val="24"/>
          <w:szCs w:val="24"/>
        </w:rPr>
        <w:t xml:space="preserve"> reporting requirements by submitting test data to the FBI.  If a local agency is going to participate in</w:t>
      </w:r>
      <w:r>
        <w:rPr>
          <w:rFonts w:ascii="Times New Roman" w:hAnsi="Times New Roman"/>
          <w:sz w:val="24"/>
          <w:szCs w:val="24"/>
        </w:rPr>
        <w:t>directly through its state UCR p</w:t>
      </w:r>
      <w:r w:rsidRPr="00936DF1">
        <w:rPr>
          <w:rFonts w:ascii="Times New Roman" w:hAnsi="Times New Roman"/>
          <w:sz w:val="24"/>
          <w:szCs w:val="24"/>
        </w:rPr>
        <w:t>rogram, it is the state’s responsibility to ensure that the local agency is able to fulfill NIBRS’ data submission requirements.</w:t>
      </w:r>
      <w:r>
        <w:rPr>
          <w:rFonts w:ascii="Times New Roman" w:hAnsi="Times New Roman"/>
          <w:sz w:val="24"/>
          <w:szCs w:val="24"/>
        </w:rPr>
        <w:t xml:space="preserve"> </w:t>
      </w:r>
    </w:p>
    <w:p w:rsidR="0001350E" w:rsidRDefault="0001350E" w:rsidP="00F04221">
      <w:pPr>
        <w:pStyle w:val="ListParagraph"/>
        <w:spacing w:after="120" w:line="240" w:lineRule="auto"/>
        <w:ind w:left="360"/>
        <w:rPr>
          <w:rFonts w:ascii="Times New Roman" w:hAnsi="Times New Roman" w:cs="Times New Roman"/>
          <w:sz w:val="24"/>
          <w:szCs w:val="24"/>
        </w:rPr>
      </w:pPr>
    </w:p>
    <w:p w:rsidR="0001350E" w:rsidRDefault="00F04221" w:rsidP="0001350E">
      <w:pPr>
        <w:pStyle w:val="ListParagraph"/>
        <w:spacing w:after="120" w:line="240" w:lineRule="auto"/>
        <w:ind w:left="360"/>
        <w:rPr>
          <w:rFonts w:ascii="Times New Roman" w:hAnsi="Times New Roman" w:cs="Times New Roman"/>
          <w:sz w:val="24"/>
          <w:szCs w:val="24"/>
        </w:rPr>
      </w:pPr>
      <w:r>
        <w:rPr>
          <w:rFonts w:ascii="Times New Roman" w:hAnsi="Times New Roman" w:cs="Times New Roman"/>
          <w:sz w:val="24"/>
          <w:szCs w:val="24"/>
        </w:rPr>
        <w:t xml:space="preserve">NIBRS data are collected and received from state UCR program participants on a monthly basis.  The FBI UCR Program has established various time frames and deadlines for acquiring the monthly data.  Annual deadlines are also designated in order to collect and assess all submissions prior to publication.  There are times when special circumstances may cause an agency to request an extension.  The FBI UCR Program has the authority to grant these extensions.  </w:t>
      </w:r>
    </w:p>
    <w:p w:rsidR="0001350E" w:rsidRDefault="0001350E" w:rsidP="0001350E">
      <w:pPr>
        <w:pStyle w:val="ListParagraph"/>
        <w:spacing w:after="120" w:line="240" w:lineRule="auto"/>
        <w:ind w:left="360"/>
        <w:rPr>
          <w:rFonts w:ascii="Times New Roman" w:hAnsi="Times New Roman" w:cs="Times New Roman"/>
          <w:sz w:val="24"/>
          <w:szCs w:val="24"/>
        </w:rPr>
      </w:pPr>
    </w:p>
    <w:p w:rsidR="0001350E" w:rsidRDefault="0001350E" w:rsidP="0001350E">
      <w:pPr>
        <w:pStyle w:val="ListParagraph"/>
        <w:spacing w:after="120" w:line="240" w:lineRule="auto"/>
        <w:ind w:left="360"/>
        <w:rPr>
          <w:rFonts w:ascii="Times New Roman" w:hAnsi="Times New Roman" w:cs="Times New Roman"/>
          <w:sz w:val="24"/>
          <w:szCs w:val="24"/>
        </w:rPr>
      </w:pPr>
    </w:p>
    <w:p w:rsidR="00DD7D8C" w:rsidRPr="00874855" w:rsidRDefault="00DD7D8C" w:rsidP="0001350E">
      <w:pPr>
        <w:pStyle w:val="ListParagraph"/>
        <w:spacing w:after="120" w:line="240" w:lineRule="auto"/>
        <w:ind w:left="360"/>
        <w:rPr>
          <w:rFonts w:ascii="Times New Roman" w:hAnsi="Times New Roman" w:cs="Times New Roman"/>
          <w:sz w:val="24"/>
          <w:szCs w:val="24"/>
        </w:rPr>
      </w:pPr>
    </w:p>
    <w:p w:rsidR="001072B6" w:rsidRPr="001072B6" w:rsidRDefault="001072B6" w:rsidP="00A92F3B">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u w:val="single"/>
        </w:rPr>
        <w:t>Methods to Maximize Response</w:t>
      </w:r>
    </w:p>
    <w:p w:rsidR="001072B6" w:rsidRDefault="001072B6" w:rsidP="001072B6">
      <w:pPr>
        <w:pStyle w:val="ListParagraph"/>
        <w:ind w:left="360"/>
        <w:rPr>
          <w:rFonts w:ascii="Times New Roman" w:hAnsi="Times New Roman" w:cs="Times New Roman"/>
          <w:sz w:val="24"/>
          <w:szCs w:val="24"/>
          <w:u w:val="single"/>
        </w:rPr>
      </w:pPr>
    </w:p>
    <w:p w:rsidR="0032562B" w:rsidRDefault="00315D7E" w:rsidP="0032562B">
      <w:pPr>
        <w:pStyle w:val="ListParagraph"/>
        <w:ind w:left="360"/>
        <w:rPr>
          <w:rFonts w:ascii="Times New Roman" w:hAnsi="Times New Roman" w:cs="Times New Roman"/>
          <w:sz w:val="24"/>
          <w:szCs w:val="24"/>
        </w:rPr>
      </w:pPr>
      <w:r w:rsidRPr="00A92F3B">
        <w:rPr>
          <w:rFonts w:ascii="Times New Roman" w:hAnsi="Times New Roman" w:cs="Times New Roman"/>
          <w:sz w:val="24"/>
          <w:szCs w:val="24"/>
        </w:rPr>
        <w:t xml:space="preserve">Response rates are maximized </w:t>
      </w:r>
      <w:r w:rsidR="00D14B24" w:rsidRPr="00A92F3B">
        <w:rPr>
          <w:rFonts w:ascii="Times New Roman" w:hAnsi="Times New Roman" w:cs="Times New Roman"/>
          <w:sz w:val="24"/>
          <w:szCs w:val="24"/>
        </w:rPr>
        <w:t>through liaison with state UCR p</w:t>
      </w:r>
      <w:r w:rsidRPr="00A92F3B">
        <w:rPr>
          <w:rFonts w:ascii="Times New Roman" w:hAnsi="Times New Roman" w:cs="Times New Roman"/>
          <w:sz w:val="24"/>
          <w:szCs w:val="24"/>
        </w:rPr>
        <w:t xml:space="preserve">rograms.  </w:t>
      </w:r>
      <w:r w:rsidR="00A92F3B" w:rsidRPr="00FB5715">
        <w:rPr>
          <w:rFonts w:ascii="Times New Roman" w:hAnsi="Times New Roman" w:cs="Times New Roman"/>
          <w:sz w:val="24"/>
          <w:szCs w:val="24"/>
        </w:rPr>
        <w:t xml:space="preserve">Communications encouraging data submissions occur frequently because of the relationship between the FBI UCR Program staff and LEAs.  FBI UCR </w:t>
      </w:r>
      <w:r w:rsidR="00A92F3B">
        <w:rPr>
          <w:rFonts w:ascii="Times New Roman" w:hAnsi="Times New Roman" w:cs="Times New Roman"/>
          <w:sz w:val="24"/>
          <w:szCs w:val="24"/>
        </w:rPr>
        <w:t xml:space="preserve">Program </w:t>
      </w:r>
      <w:r w:rsidR="00A92F3B" w:rsidRPr="00FB5715">
        <w:rPr>
          <w:rFonts w:ascii="Times New Roman" w:hAnsi="Times New Roman" w:cs="Times New Roman"/>
          <w:sz w:val="24"/>
          <w:szCs w:val="24"/>
        </w:rPr>
        <w:t>staff have a strong understanding of contextual challenges agencies face in reporting valid and reliable data and regularly work to overcome nonresponse issues when such challenges occur.  The mission of the FBI UCR Program is to promote the NIBRS by act</w:t>
      </w:r>
      <w:r w:rsidR="003F6232">
        <w:rPr>
          <w:rFonts w:ascii="Times New Roman" w:hAnsi="Times New Roman" w:cs="Times New Roman"/>
          <w:sz w:val="24"/>
          <w:szCs w:val="24"/>
        </w:rPr>
        <w:t>ive liaison with the state UCR p</w:t>
      </w:r>
      <w:r w:rsidR="00A92F3B" w:rsidRPr="00FB5715">
        <w:rPr>
          <w:rFonts w:ascii="Times New Roman" w:hAnsi="Times New Roman" w:cs="Times New Roman"/>
          <w:sz w:val="24"/>
          <w:szCs w:val="24"/>
        </w:rPr>
        <w:t>rograms and the national LEAs to encourage participation.  To encourage the submission of data, a listing of missing</w:t>
      </w:r>
      <w:r w:rsidR="003F6232">
        <w:rPr>
          <w:rFonts w:ascii="Times New Roman" w:hAnsi="Times New Roman" w:cs="Times New Roman"/>
          <w:sz w:val="24"/>
          <w:szCs w:val="24"/>
        </w:rPr>
        <w:t xml:space="preserve"> reports are sent to state UCR p</w:t>
      </w:r>
      <w:r w:rsidR="00A92F3B" w:rsidRPr="00FB5715">
        <w:rPr>
          <w:rFonts w:ascii="Times New Roman" w:hAnsi="Times New Roman" w:cs="Times New Roman"/>
          <w:sz w:val="24"/>
          <w:szCs w:val="24"/>
        </w:rPr>
        <w:t>rograms and individual LEAs twice a year and then follow up contact is also made to those agencies to further encourage the submission of missing data.  The FBI UCR Program staff assists agencies in submitting 12 months of complete data through continuous communication.</w:t>
      </w:r>
    </w:p>
    <w:p w:rsidR="0032562B" w:rsidRDefault="0032562B" w:rsidP="0032562B">
      <w:pPr>
        <w:pStyle w:val="ListParagraph"/>
        <w:ind w:left="360"/>
        <w:rPr>
          <w:rFonts w:ascii="Times New Roman" w:hAnsi="Times New Roman" w:cs="Times New Roman"/>
          <w:sz w:val="24"/>
          <w:szCs w:val="24"/>
        </w:rPr>
      </w:pPr>
    </w:p>
    <w:p w:rsidR="00874855" w:rsidRPr="0032562B" w:rsidRDefault="003F6232" w:rsidP="0032562B">
      <w:pPr>
        <w:pStyle w:val="ListParagraph"/>
        <w:ind w:left="360"/>
        <w:rPr>
          <w:rFonts w:ascii="Times New Roman" w:hAnsi="Times New Roman" w:cs="Times New Roman"/>
          <w:sz w:val="24"/>
          <w:szCs w:val="24"/>
        </w:rPr>
      </w:pPr>
      <w:r w:rsidRPr="0032562B">
        <w:rPr>
          <w:rFonts w:ascii="Times New Roman" w:hAnsi="Times New Roman" w:cs="Times New Roman"/>
          <w:sz w:val="24"/>
          <w:szCs w:val="24"/>
        </w:rPr>
        <w:t>Currently, 89</w:t>
      </w:r>
      <w:r w:rsidR="00954048" w:rsidRPr="0032562B">
        <w:rPr>
          <w:rFonts w:ascii="Times New Roman" w:hAnsi="Times New Roman" w:cs="Times New Roman"/>
          <w:sz w:val="24"/>
          <w:szCs w:val="24"/>
        </w:rPr>
        <w:t>.</w:t>
      </w:r>
      <w:r w:rsidRPr="0032562B">
        <w:rPr>
          <w:rFonts w:ascii="Times New Roman" w:hAnsi="Times New Roman" w:cs="Times New Roman"/>
          <w:sz w:val="24"/>
          <w:szCs w:val="24"/>
        </w:rPr>
        <w:t>1</w:t>
      </w:r>
      <w:r w:rsidR="00954048" w:rsidRPr="0032562B">
        <w:rPr>
          <w:rFonts w:ascii="Times New Roman" w:hAnsi="Times New Roman" w:cs="Times New Roman"/>
          <w:sz w:val="24"/>
          <w:szCs w:val="24"/>
        </w:rPr>
        <w:t xml:space="preserve"> percent of the NIBRS participating LEAs report 12 months of</w:t>
      </w:r>
      <w:r w:rsidR="0016302B">
        <w:rPr>
          <w:rFonts w:ascii="Times New Roman" w:hAnsi="Times New Roman" w:cs="Times New Roman"/>
          <w:sz w:val="24"/>
          <w:szCs w:val="24"/>
        </w:rPr>
        <w:t xml:space="preserve"> complete data to the national p</w:t>
      </w:r>
      <w:r w:rsidR="00954048" w:rsidRPr="0032562B">
        <w:rPr>
          <w:rFonts w:ascii="Times New Roman" w:hAnsi="Times New Roman" w:cs="Times New Roman"/>
          <w:sz w:val="24"/>
          <w:szCs w:val="24"/>
        </w:rPr>
        <w:t xml:space="preserve">rogram.  </w:t>
      </w:r>
      <w:r w:rsidR="00FB5715" w:rsidRPr="0032562B">
        <w:rPr>
          <w:rFonts w:ascii="Times New Roman" w:hAnsi="Times New Roman" w:cs="Times New Roman"/>
          <w:sz w:val="24"/>
          <w:szCs w:val="24"/>
        </w:rPr>
        <w:t xml:space="preserve">These agencies are nonresponsive due to being understaffed, underfunded, or are implementing a new data record system.  Even though these agencies are non-reporters, they are </w:t>
      </w:r>
      <w:r w:rsidR="0016302B">
        <w:rPr>
          <w:rFonts w:ascii="Times New Roman" w:hAnsi="Times New Roman" w:cs="Times New Roman"/>
          <w:sz w:val="24"/>
          <w:szCs w:val="24"/>
        </w:rPr>
        <w:t>considered participants of the p</w:t>
      </w:r>
      <w:r w:rsidR="00FB5715" w:rsidRPr="0032562B">
        <w:rPr>
          <w:rFonts w:ascii="Times New Roman" w:hAnsi="Times New Roman" w:cs="Times New Roman"/>
          <w:sz w:val="24"/>
          <w:szCs w:val="24"/>
        </w:rPr>
        <w:t xml:space="preserve">rogram and will submit data when the problems have been resolved.  </w:t>
      </w:r>
    </w:p>
    <w:p w:rsidR="00A92F3B" w:rsidRDefault="00A92F3B" w:rsidP="00874855">
      <w:pPr>
        <w:pStyle w:val="ListParagraph"/>
        <w:ind w:left="360"/>
        <w:rPr>
          <w:rFonts w:ascii="Times New Roman" w:hAnsi="Times New Roman"/>
          <w:sz w:val="24"/>
          <w:szCs w:val="24"/>
        </w:rPr>
      </w:pPr>
    </w:p>
    <w:p w:rsidR="00874855" w:rsidRDefault="004B45E9" w:rsidP="00874855">
      <w:pPr>
        <w:pStyle w:val="ListParagraph"/>
        <w:ind w:left="360"/>
        <w:rPr>
          <w:rFonts w:ascii="Times New Roman" w:hAnsi="Times New Roman"/>
          <w:sz w:val="24"/>
          <w:szCs w:val="24"/>
        </w:rPr>
      </w:pPr>
      <w:r w:rsidRPr="00874855">
        <w:rPr>
          <w:rFonts w:ascii="Times New Roman" w:hAnsi="Times New Roman"/>
          <w:sz w:val="24"/>
          <w:szCs w:val="24"/>
        </w:rPr>
        <w:t xml:space="preserve">Additionally, </w:t>
      </w:r>
      <w:r w:rsidR="00936DF1" w:rsidRPr="00874855">
        <w:rPr>
          <w:rFonts w:ascii="Times New Roman" w:hAnsi="Times New Roman"/>
          <w:sz w:val="24"/>
          <w:szCs w:val="24"/>
        </w:rPr>
        <w:t xml:space="preserve">the FBI </w:t>
      </w:r>
      <w:r w:rsidRPr="00874855">
        <w:rPr>
          <w:rFonts w:ascii="Times New Roman" w:hAnsi="Times New Roman"/>
          <w:sz w:val="24"/>
          <w:szCs w:val="24"/>
        </w:rPr>
        <w:t>and the BJS have partnered through the</w:t>
      </w:r>
      <w:r w:rsidR="00936DF1" w:rsidRPr="00874855">
        <w:rPr>
          <w:rFonts w:ascii="Times New Roman" w:hAnsi="Times New Roman"/>
          <w:sz w:val="24"/>
          <w:szCs w:val="24"/>
        </w:rPr>
        <w:t xml:space="preserve"> NCS-X effort</w:t>
      </w:r>
      <w:r w:rsidR="00803E85" w:rsidRPr="00874855">
        <w:rPr>
          <w:rFonts w:ascii="Times New Roman" w:hAnsi="Times New Roman"/>
          <w:sz w:val="24"/>
          <w:szCs w:val="24"/>
        </w:rPr>
        <w:t xml:space="preserve"> to increase participation in the NIBRS data collection by at least 400 agencies to include the 72 largest agencies to ensure data coverage to generate statistically-sound national estimates of crime known to </w:t>
      </w:r>
      <w:r w:rsidR="001743FC">
        <w:rPr>
          <w:rFonts w:ascii="Times New Roman" w:hAnsi="Times New Roman"/>
          <w:sz w:val="24"/>
          <w:szCs w:val="24"/>
        </w:rPr>
        <w:t>LEAs</w:t>
      </w:r>
      <w:r w:rsidR="00936DF1" w:rsidRPr="00874855">
        <w:rPr>
          <w:rFonts w:ascii="Times New Roman" w:hAnsi="Times New Roman"/>
          <w:sz w:val="24"/>
          <w:szCs w:val="24"/>
        </w:rPr>
        <w:t>.</w:t>
      </w:r>
      <w:r w:rsidR="00803E85" w:rsidRPr="00874855">
        <w:rPr>
          <w:rFonts w:ascii="Times New Roman" w:hAnsi="Times New Roman"/>
          <w:sz w:val="24"/>
          <w:szCs w:val="24"/>
        </w:rPr>
        <w:t xml:space="preserve">  The NCS-X is providing assistance to select local, state, and tribal agencies as well as to select state UCR programs to enable them to report NIBRS data to the FBI.</w:t>
      </w:r>
      <w:r w:rsidR="00575C1D" w:rsidRPr="00874855">
        <w:rPr>
          <w:rFonts w:ascii="Times New Roman" w:hAnsi="Times New Roman"/>
          <w:sz w:val="24"/>
          <w:szCs w:val="24"/>
        </w:rPr>
        <w:t xml:space="preserve">  </w:t>
      </w:r>
    </w:p>
    <w:p w:rsidR="0032562B" w:rsidRDefault="001743FC" w:rsidP="0032562B">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Also, </w:t>
      </w:r>
      <w:r w:rsidR="00EE5024" w:rsidRPr="001743FC">
        <w:rPr>
          <w:rFonts w:ascii="Times New Roman" w:hAnsi="Times New Roman" w:cs="Times New Roman"/>
          <w:sz w:val="24"/>
          <w:szCs w:val="24"/>
        </w:rPr>
        <w:t xml:space="preserve">the CJIS APB recommended and the FBI Director approved an effort for the FBI UCR Program to transition to a NIBRS-only data collection by January 1, 2021.  </w:t>
      </w:r>
      <w:r>
        <w:rPr>
          <w:rFonts w:ascii="Times New Roman" w:hAnsi="Times New Roman" w:cs="Times New Roman"/>
          <w:sz w:val="24"/>
          <w:szCs w:val="24"/>
        </w:rPr>
        <w:t xml:space="preserve">  </w:t>
      </w:r>
    </w:p>
    <w:p w:rsidR="0032562B" w:rsidRDefault="0032562B" w:rsidP="0032562B">
      <w:pPr>
        <w:pStyle w:val="ListParagraph"/>
        <w:ind w:left="360"/>
        <w:rPr>
          <w:rFonts w:ascii="Times New Roman" w:hAnsi="Times New Roman" w:cs="Times New Roman"/>
          <w:sz w:val="24"/>
          <w:szCs w:val="24"/>
        </w:rPr>
      </w:pPr>
    </w:p>
    <w:p w:rsidR="0032562B" w:rsidRDefault="00EE5024" w:rsidP="0032562B">
      <w:pPr>
        <w:pStyle w:val="ListParagraph"/>
        <w:ind w:left="360"/>
        <w:rPr>
          <w:rFonts w:ascii="Times New Roman" w:hAnsi="Times New Roman" w:cs="Times New Roman"/>
          <w:sz w:val="24"/>
          <w:szCs w:val="24"/>
        </w:rPr>
      </w:pPr>
      <w:r w:rsidRPr="00874855">
        <w:rPr>
          <w:rFonts w:ascii="Times New Roman" w:hAnsi="Times New Roman"/>
          <w:sz w:val="24"/>
          <w:szCs w:val="24"/>
        </w:rPr>
        <w:t>Currently, 42 percent of participating agencies report their UCR statistics via the NIBRS.  There are 34 states certified to report data via the NIBRS, and 16 of those states include agencies that report all of their crime statistics through the incident-based reports.</w:t>
      </w:r>
      <w:r w:rsidR="00FC6C02" w:rsidRPr="00874855">
        <w:rPr>
          <w:rFonts w:ascii="Times New Roman" w:hAnsi="Times New Roman"/>
          <w:sz w:val="24"/>
          <w:szCs w:val="24"/>
        </w:rPr>
        <w:t xml:space="preserve">  Eighteen states report both SRS and NIBRS data, and 16 states report only SRS data.  Two of the 16 states reporting only SRS data, report directly</w:t>
      </w:r>
      <w:r w:rsidR="00A92F3B">
        <w:rPr>
          <w:rFonts w:ascii="Times New Roman" w:hAnsi="Times New Roman"/>
          <w:sz w:val="24"/>
          <w:szCs w:val="24"/>
        </w:rPr>
        <w:t xml:space="preserve"> to the FBI because there is no</w:t>
      </w:r>
      <w:r w:rsidR="003F6232">
        <w:rPr>
          <w:rFonts w:ascii="Times New Roman" w:hAnsi="Times New Roman"/>
          <w:sz w:val="24"/>
          <w:szCs w:val="24"/>
        </w:rPr>
        <w:t xml:space="preserve"> state UCR p</w:t>
      </w:r>
      <w:r w:rsidR="00FC6C02" w:rsidRPr="00874855">
        <w:rPr>
          <w:rFonts w:ascii="Times New Roman" w:hAnsi="Times New Roman"/>
          <w:sz w:val="24"/>
          <w:szCs w:val="24"/>
        </w:rPr>
        <w:t>rogram in place.  One state, Indiana, is working to es</w:t>
      </w:r>
      <w:r w:rsidR="003F6232">
        <w:rPr>
          <w:rFonts w:ascii="Times New Roman" w:hAnsi="Times New Roman"/>
          <w:sz w:val="24"/>
          <w:szCs w:val="24"/>
        </w:rPr>
        <w:t>tablish a NIBRS-only state UCR p</w:t>
      </w:r>
      <w:r w:rsidR="00FC6C02" w:rsidRPr="00874855">
        <w:rPr>
          <w:rFonts w:ascii="Times New Roman" w:hAnsi="Times New Roman"/>
          <w:sz w:val="24"/>
          <w:szCs w:val="24"/>
        </w:rPr>
        <w:t>rogram, and the Crime Data Modernization Team is working with Mississippi to become a state program and transition to the NIBRS.</w:t>
      </w:r>
      <w:r w:rsidR="00874855">
        <w:rPr>
          <w:rFonts w:ascii="Times New Roman" w:hAnsi="Times New Roman" w:cs="Times New Roman"/>
          <w:sz w:val="24"/>
          <w:szCs w:val="24"/>
        </w:rPr>
        <w:t xml:space="preserve"> </w:t>
      </w:r>
    </w:p>
    <w:p w:rsidR="0032562B" w:rsidRDefault="0032562B" w:rsidP="0032562B">
      <w:pPr>
        <w:pStyle w:val="ListParagraph"/>
        <w:ind w:left="360"/>
        <w:rPr>
          <w:rFonts w:ascii="Times New Roman" w:hAnsi="Times New Roman" w:cs="Times New Roman"/>
          <w:sz w:val="24"/>
          <w:szCs w:val="24"/>
        </w:rPr>
      </w:pPr>
    </w:p>
    <w:p w:rsidR="0032562B" w:rsidRDefault="00FC6C02" w:rsidP="0032562B">
      <w:pPr>
        <w:pStyle w:val="ListParagraph"/>
        <w:ind w:left="360"/>
        <w:rPr>
          <w:rFonts w:ascii="Times New Roman" w:hAnsi="Times New Roman"/>
          <w:sz w:val="24"/>
          <w:szCs w:val="24"/>
        </w:rPr>
      </w:pPr>
      <w:r w:rsidRPr="00874855">
        <w:rPr>
          <w:rFonts w:ascii="Times New Roman" w:hAnsi="Times New Roman"/>
          <w:sz w:val="24"/>
          <w:szCs w:val="24"/>
        </w:rPr>
        <w:t xml:space="preserve">The following state programs have provided transition updates: </w:t>
      </w:r>
      <w:r w:rsidR="00A92F3B">
        <w:rPr>
          <w:rFonts w:ascii="Times New Roman" w:hAnsi="Times New Roman"/>
          <w:sz w:val="24"/>
          <w:szCs w:val="24"/>
        </w:rPr>
        <w:t xml:space="preserve"> North Carolina has mandated a</w:t>
      </w:r>
      <w:r w:rsidRPr="00874855">
        <w:rPr>
          <w:rFonts w:ascii="Times New Roman" w:hAnsi="Times New Roman"/>
          <w:sz w:val="24"/>
          <w:szCs w:val="24"/>
        </w:rPr>
        <w:t xml:space="preserve"> full state transition by 2018; Texas has mandated a full state transition by September 2019; and Georgia has committed to a full state transition by the end of 2018.</w:t>
      </w:r>
    </w:p>
    <w:p w:rsidR="0032562B" w:rsidRDefault="0032562B" w:rsidP="0032562B">
      <w:pPr>
        <w:pStyle w:val="ListParagraph"/>
        <w:ind w:left="360"/>
        <w:rPr>
          <w:rFonts w:ascii="Times New Roman" w:hAnsi="Times New Roman"/>
          <w:sz w:val="24"/>
          <w:szCs w:val="24"/>
        </w:rPr>
      </w:pPr>
    </w:p>
    <w:p w:rsidR="0032562B" w:rsidRDefault="0032562B" w:rsidP="0032562B">
      <w:pPr>
        <w:pStyle w:val="ListParagraph"/>
        <w:ind w:left="360"/>
        <w:rPr>
          <w:rFonts w:ascii="Times New Roman" w:hAnsi="Times New Roman"/>
          <w:sz w:val="24"/>
          <w:szCs w:val="24"/>
        </w:rPr>
      </w:pPr>
      <w:r>
        <w:rPr>
          <w:rFonts w:ascii="Times New Roman" w:hAnsi="Times New Roman"/>
          <w:sz w:val="24"/>
          <w:szCs w:val="24"/>
        </w:rPr>
        <w:t>The FBI recognizes the NIBRS transition</w:t>
      </w:r>
      <w:r w:rsidR="00575C1D" w:rsidRPr="00874855">
        <w:rPr>
          <w:rFonts w:ascii="Times New Roman" w:hAnsi="Times New Roman"/>
          <w:sz w:val="24"/>
          <w:szCs w:val="24"/>
        </w:rPr>
        <w:t xml:space="preserve"> requires additional support to be successful.  One of the critical parts is the ability of the FBI to provide training to agencies before, during, and after implementation.  In Fiscal Year (FY) 2017, the FBI is supporting this training need:</w:t>
      </w:r>
    </w:p>
    <w:p w:rsidR="0032562B" w:rsidRDefault="0032562B" w:rsidP="0032562B">
      <w:pPr>
        <w:pStyle w:val="ListParagraph"/>
        <w:ind w:left="360"/>
        <w:rPr>
          <w:rFonts w:ascii="Times New Roman" w:hAnsi="Times New Roman"/>
          <w:sz w:val="24"/>
          <w:szCs w:val="24"/>
        </w:rPr>
      </w:pPr>
    </w:p>
    <w:p w:rsidR="0032562B" w:rsidRDefault="00575C1D" w:rsidP="0032562B">
      <w:pPr>
        <w:pStyle w:val="ListParagraph"/>
        <w:rPr>
          <w:rFonts w:ascii="Times New Roman" w:hAnsi="Times New Roman"/>
          <w:sz w:val="24"/>
          <w:szCs w:val="24"/>
        </w:rPr>
      </w:pPr>
      <w:r w:rsidRPr="00D405AF">
        <w:rPr>
          <w:rFonts w:ascii="Times New Roman" w:hAnsi="Times New Roman"/>
          <w:sz w:val="24"/>
          <w:szCs w:val="24"/>
        </w:rPr>
        <w:t>The FBI funded the NCS-X Project as well as the states with no and/or limited NIBRS capability at the state level.  As a result, the training focus is to provide training via free regional training sessions.  This training is three days per session with an emphasis on all topics agencies need in order to transition to the NIBRS.  Invitees include two p</w:t>
      </w:r>
      <w:r w:rsidR="00D405AF">
        <w:rPr>
          <w:rFonts w:ascii="Times New Roman" w:hAnsi="Times New Roman"/>
          <w:sz w:val="24"/>
          <w:szCs w:val="24"/>
        </w:rPr>
        <w:t>eople from each of the 400 NCS-X</w:t>
      </w:r>
      <w:r w:rsidRPr="00D405AF">
        <w:rPr>
          <w:rFonts w:ascii="Times New Roman" w:hAnsi="Times New Roman"/>
          <w:sz w:val="24"/>
          <w:szCs w:val="24"/>
        </w:rPr>
        <w:t xml:space="preserve"> agencies, and three people from their corresponding state program office, which will help in the tran</w:t>
      </w:r>
      <w:r w:rsidR="0032562B">
        <w:rPr>
          <w:rFonts w:ascii="Times New Roman" w:hAnsi="Times New Roman"/>
          <w:sz w:val="24"/>
          <w:szCs w:val="24"/>
        </w:rPr>
        <w:t>sition of the states as a whole.</w:t>
      </w:r>
    </w:p>
    <w:p w:rsidR="0032562B" w:rsidRDefault="0032562B" w:rsidP="0032562B">
      <w:pPr>
        <w:pStyle w:val="ListParagraph"/>
        <w:rPr>
          <w:rFonts w:ascii="Times New Roman" w:hAnsi="Times New Roman"/>
          <w:sz w:val="24"/>
          <w:szCs w:val="24"/>
        </w:rPr>
      </w:pPr>
    </w:p>
    <w:p w:rsidR="0032562B" w:rsidRDefault="00575C1D" w:rsidP="0032562B">
      <w:pPr>
        <w:pStyle w:val="ListParagraph"/>
        <w:rPr>
          <w:rFonts w:ascii="Times New Roman" w:hAnsi="Times New Roman"/>
          <w:sz w:val="24"/>
          <w:szCs w:val="24"/>
        </w:rPr>
      </w:pPr>
      <w:r w:rsidRPr="00D405AF">
        <w:rPr>
          <w:rFonts w:ascii="Times New Roman" w:hAnsi="Times New Roman"/>
          <w:sz w:val="24"/>
          <w:szCs w:val="24"/>
        </w:rPr>
        <w:t xml:space="preserve">Also, during FY 2017, the FBI will develop NIBRS computer-based training (CBT) modules.  Additionally, as of June 2016, the FBI no longer provides onsite summary training; the focus of the FBI will now be onsite </w:t>
      </w:r>
      <w:r w:rsidR="00D405AF">
        <w:rPr>
          <w:rFonts w:ascii="Times New Roman" w:hAnsi="Times New Roman"/>
          <w:sz w:val="24"/>
          <w:szCs w:val="24"/>
        </w:rPr>
        <w:t xml:space="preserve">and CBT </w:t>
      </w:r>
      <w:r w:rsidRPr="00D405AF">
        <w:rPr>
          <w:rFonts w:ascii="Times New Roman" w:hAnsi="Times New Roman"/>
          <w:sz w:val="24"/>
          <w:szCs w:val="24"/>
        </w:rPr>
        <w:t>NIBRS training.</w:t>
      </w:r>
    </w:p>
    <w:p w:rsidR="0032562B" w:rsidRDefault="0032562B" w:rsidP="0032562B">
      <w:pPr>
        <w:pStyle w:val="ListParagraph"/>
        <w:rPr>
          <w:rFonts w:ascii="Times New Roman" w:hAnsi="Times New Roman"/>
          <w:sz w:val="24"/>
          <w:szCs w:val="24"/>
        </w:rPr>
      </w:pPr>
    </w:p>
    <w:p w:rsidR="0032562B" w:rsidRDefault="00575C1D" w:rsidP="0032562B">
      <w:pPr>
        <w:pStyle w:val="ListParagraph"/>
        <w:rPr>
          <w:rFonts w:ascii="Times New Roman" w:hAnsi="Times New Roman"/>
          <w:sz w:val="24"/>
          <w:szCs w:val="24"/>
        </w:rPr>
      </w:pPr>
      <w:r w:rsidRPr="00D405AF">
        <w:rPr>
          <w:rFonts w:ascii="Times New Roman" w:hAnsi="Times New Roman"/>
          <w:sz w:val="24"/>
          <w:szCs w:val="24"/>
        </w:rPr>
        <w:t>The FBI is establishing a communications strategy for the NIBRS transition to share the benefits and value of incident-based reporting.  This effort involves developing unified messages for various audiences and stakeholder groups to allow them to both listen, as well as share, the benefits of the NIBRS to their agencies.  In addition, the FBI is identifying venues for engaging stakeholder groups, internal and external audiences, varied communities of interest, and the general public to educate groups on the value of the NIBRS.  Part of this communications strategy is the establishment of a NIBRS website that is available to the general public at: &lt;https://ucr.fbi.gov/nibrs-overview&gt;.</w:t>
      </w:r>
      <w:r w:rsidR="00F459E7" w:rsidRPr="00D405AF">
        <w:rPr>
          <w:rFonts w:ascii="Times New Roman" w:hAnsi="Times New Roman"/>
          <w:sz w:val="24"/>
          <w:szCs w:val="24"/>
        </w:rPr>
        <w:t xml:space="preserve">  In addition to the NIBRS website, the FBI established a mechanism for subject matter support and assistance by email and telephone: </w:t>
      </w:r>
      <w:r w:rsidR="0016302B">
        <w:rPr>
          <w:rFonts w:ascii="Times New Roman" w:hAnsi="Times New Roman"/>
          <w:sz w:val="24"/>
          <w:szCs w:val="24"/>
        </w:rPr>
        <w:t>&lt;</w:t>
      </w:r>
      <w:r w:rsidR="00F459E7" w:rsidRPr="0016302B">
        <w:rPr>
          <w:rFonts w:ascii="Times New Roman" w:hAnsi="Times New Roman"/>
          <w:sz w:val="24"/>
          <w:szCs w:val="24"/>
        </w:rPr>
        <w:t>UCR-NIBRS@ic.fbi.gov</w:t>
      </w:r>
      <w:r w:rsidR="0016302B">
        <w:rPr>
          <w:rFonts w:ascii="Times New Roman" w:hAnsi="Times New Roman"/>
          <w:sz w:val="24"/>
          <w:szCs w:val="24"/>
        </w:rPr>
        <w:t>&gt;</w:t>
      </w:r>
      <w:r w:rsidR="00D405AF">
        <w:rPr>
          <w:rFonts w:ascii="Times New Roman" w:hAnsi="Times New Roman"/>
          <w:sz w:val="24"/>
          <w:szCs w:val="24"/>
        </w:rPr>
        <w:t xml:space="preserve"> or               </w:t>
      </w:r>
      <w:r w:rsidR="00F459E7" w:rsidRPr="00D405AF">
        <w:rPr>
          <w:rFonts w:ascii="Times New Roman" w:hAnsi="Times New Roman"/>
          <w:sz w:val="24"/>
          <w:szCs w:val="24"/>
        </w:rPr>
        <w:t>(304) 625-9999 (NIBRS Line).</w:t>
      </w:r>
    </w:p>
    <w:p w:rsidR="0032562B" w:rsidRDefault="0032562B" w:rsidP="0032562B">
      <w:pPr>
        <w:pStyle w:val="ListParagraph"/>
        <w:rPr>
          <w:rFonts w:ascii="Times New Roman" w:hAnsi="Times New Roman"/>
          <w:sz w:val="24"/>
          <w:szCs w:val="24"/>
        </w:rPr>
      </w:pPr>
    </w:p>
    <w:p w:rsidR="0032562B" w:rsidRDefault="00F459E7" w:rsidP="0032562B">
      <w:pPr>
        <w:pStyle w:val="ListParagraph"/>
        <w:rPr>
          <w:rFonts w:ascii="Times New Roman" w:hAnsi="Times New Roman"/>
          <w:sz w:val="24"/>
          <w:szCs w:val="24"/>
        </w:rPr>
      </w:pPr>
      <w:r w:rsidRPr="00D405AF">
        <w:rPr>
          <w:rFonts w:ascii="Times New Roman" w:hAnsi="Times New Roman"/>
          <w:sz w:val="24"/>
          <w:szCs w:val="24"/>
        </w:rPr>
        <w:t>To supplement the NIBRS marketing strategy, the FBI, in 2016, produced a NIBRS video detailing the reporting system’s history, as well as its importance today.  The NIBRS video is shared with stakeholders to illustrate the need for this transition.  This video is available on the NIBRS website provided above.</w:t>
      </w:r>
    </w:p>
    <w:p w:rsidR="0032562B" w:rsidRDefault="0032562B" w:rsidP="0032562B">
      <w:pPr>
        <w:pStyle w:val="ListParagraph"/>
        <w:rPr>
          <w:rFonts w:ascii="Times New Roman" w:hAnsi="Times New Roman"/>
          <w:sz w:val="24"/>
          <w:szCs w:val="24"/>
        </w:rPr>
      </w:pPr>
    </w:p>
    <w:p w:rsidR="0032562B" w:rsidRDefault="00F459E7" w:rsidP="0032562B">
      <w:pPr>
        <w:pStyle w:val="ListParagraph"/>
        <w:rPr>
          <w:rFonts w:ascii="Times New Roman" w:hAnsi="Times New Roman"/>
          <w:sz w:val="24"/>
          <w:szCs w:val="24"/>
        </w:rPr>
      </w:pPr>
      <w:r w:rsidRPr="00D405AF">
        <w:rPr>
          <w:rFonts w:ascii="Times New Roman" w:hAnsi="Times New Roman"/>
          <w:sz w:val="24"/>
          <w:szCs w:val="24"/>
        </w:rPr>
        <w:t xml:space="preserve">The FBI is writing a series of articles on state and local agency transitions to share success stories and lessons learned.  An article highlighting the transitions of Georgia and Minnesota has been published in the </w:t>
      </w:r>
      <w:r w:rsidRPr="00D405AF">
        <w:rPr>
          <w:rFonts w:ascii="Times New Roman" w:hAnsi="Times New Roman"/>
          <w:i/>
          <w:sz w:val="24"/>
          <w:szCs w:val="24"/>
        </w:rPr>
        <w:t xml:space="preserve">CJIS Link, </w:t>
      </w:r>
      <w:r w:rsidRPr="00D405AF">
        <w:rPr>
          <w:rFonts w:ascii="Times New Roman" w:hAnsi="Times New Roman"/>
          <w:sz w:val="24"/>
          <w:szCs w:val="24"/>
        </w:rPr>
        <w:t>a newsletter for law enforcement, and the article is also posted on the NIBRS website.  Other articles are planned to share NIBRS success stories to include the Texas state UCR program, Grand Ronde Tribal and Salem, Oregon Police Departments.</w:t>
      </w:r>
    </w:p>
    <w:p w:rsidR="0032562B" w:rsidRDefault="0032562B" w:rsidP="0032562B">
      <w:pPr>
        <w:pStyle w:val="ListParagraph"/>
        <w:rPr>
          <w:rFonts w:ascii="Times New Roman" w:hAnsi="Times New Roman"/>
          <w:sz w:val="24"/>
          <w:szCs w:val="24"/>
        </w:rPr>
      </w:pPr>
    </w:p>
    <w:p w:rsidR="0032562B" w:rsidRDefault="00F459E7" w:rsidP="0032562B">
      <w:pPr>
        <w:pStyle w:val="ListParagraph"/>
        <w:ind w:left="360"/>
        <w:rPr>
          <w:rFonts w:ascii="Times New Roman" w:hAnsi="Times New Roman" w:cs="Times New Roman"/>
          <w:sz w:val="24"/>
          <w:szCs w:val="24"/>
          <w:u w:val="single"/>
        </w:rPr>
      </w:pPr>
      <w:r>
        <w:rPr>
          <w:rFonts w:ascii="Times New Roman" w:hAnsi="Times New Roman" w:cs="Times New Roman"/>
          <w:sz w:val="24"/>
          <w:szCs w:val="24"/>
          <w:u w:val="single"/>
        </w:rPr>
        <w:t>M</w:t>
      </w:r>
      <w:r w:rsidRPr="001D6BCB">
        <w:rPr>
          <w:rFonts w:ascii="Times New Roman" w:hAnsi="Times New Roman" w:cs="Times New Roman"/>
          <w:sz w:val="24"/>
          <w:szCs w:val="24"/>
          <w:u w:val="single"/>
        </w:rPr>
        <w:t>ODERNIZATION</w:t>
      </w:r>
      <w:r>
        <w:rPr>
          <w:rFonts w:ascii="Times New Roman" w:hAnsi="Times New Roman" w:cs="Times New Roman"/>
          <w:sz w:val="24"/>
          <w:szCs w:val="24"/>
          <w:u w:val="single"/>
        </w:rPr>
        <w:t xml:space="preserve"> OF CRIME STATISTICS</w:t>
      </w:r>
    </w:p>
    <w:p w:rsidR="0032562B" w:rsidRDefault="0032562B" w:rsidP="0032562B">
      <w:pPr>
        <w:pStyle w:val="ListParagraph"/>
        <w:ind w:left="360"/>
        <w:rPr>
          <w:rFonts w:ascii="Times New Roman" w:hAnsi="Times New Roman" w:cs="Times New Roman"/>
          <w:sz w:val="24"/>
          <w:szCs w:val="24"/>
          <w:u w:val="single"/>
        </w:rPr>
      </w:pPr>
    </w:p>
    <w:p w:rsidR="0032562B" w:rsidRDefault="00F459E7" w:rsidP="0032562B">
      <w:pPr>
        <w:pStyle w:val="ListParagraph"/>
        <w:ind w:left="360"/>
        <w:rPr>
          <w:rFonts w:ascii="Times New Roman" w:hAnsi="Times New Roman" w:cs="Times New Roman"/>
          <w:sz w:val="24"/>
          <w:szCs w:val="24"/>
        </w:rPr>
      </w:pPr>
      <w:r w:rsidRPr="00453853">
        <w:rPr>
          <w:rFonts w:ascii="Times New Roman" w:hAnsi="Times New Roman" w:cs="Times New Roman"/>
          <w:sz w:val="24"/>
          <w:szCs w:val="24"/>
        </w:rPr>
        <w:t>The first of two reports from the National Academies of Sciences, Engineering, and Medicine</w:t>
      </w:r>
      <w:r>
        <w:rPr>
          <w:rFonts w:ascii="Times New Roman" w:hAnsi="Times New Roman" w:cs="Times New Roman"/>
          <w:sz w:val="24"/>
          <w:szCs w:val="24"/>
        </w:rPr>
        <w:t>,</w:t>
      </w:r>
      <w:r w:rsidRPr="00453853">
        <w:rPr>
          <w:rFonts w:ascii="Times New Roman" w:hAnsi="Times New Roman" w:cs="Times New Roman"/>
          <w:sz w:val="24"/>
          <w:szCs w:val="24"/>
        </w:rPr>
        <w:t xml:space="preserve"> was released </w:t>
      </w:r>
      <w:r>
        <w:rPr>
          <w:rFonts w:ascii="Times New Roman" w:hAnsi="Times New Roman" w:cs="Times New Roman"/>
          <w:sz w:val="24"/>
          <w:szCs w:val="24"/>
        </w:rPr>
        <w:t xml:space="preserve">on </w:t>
      </w:r>
      <w:r w:rsidRPr="00453853">
        <w:rPr>
          <w:rFonts w:ascii="Times New Roman" w:hAnsi="Times New Roman" w:cs="Times New Roman"/>
          <w:sz w:val="24"/>
          <w:szCs w:val="24"/>
        </w:rPr>
        <w:t xml:space="preserve">May 16, 2016.  The first report, </w:t>
      </w:r>
      <w:r w:rsidRPr="001D6BCB">
        <w:rPr>
          <w:rFonts w:ascii="Times New Roman" w:hAnsi="Times New Roman" w:cs="Times New Roman"/>
          <w:i/>
          <w:sz w:val="24"/>
          <w:szCs w:val="24"/>
        </w:rPr>
        <w:t>Modernizing Crime Statistics - Defining and Classifying Crime</w:t>
      </w:r>
      <w:r w:rsidRPr="00453853">
        <w:rPr>
          <w:rFonts w:ascii="Times New Roman" w:hAnsi="Times New Roman" w:cs="Times New Roman"/>
          <w:sz w:val="24"/>
          <w:szCs w:val="24"/>
        </w:rPr>
        <w:t>, focus</w:t>
      </w:r>
      <w:r>
        <w:rPr>
          <w:rFonts w:ascii="Times New Roman" w:hAnsi="Times New Roman" w:cs="Times New Roman"/>
          <w:sz w:val="24"/>
          <w:szCs w:val="24"/>
        </w:rPr>
        <w:t>es</w:t>
      </w:r>
      <w:r w:rsidRPr="00453853">
        <w:rPr>
          <w:rFonts w:ascii="Times New Roman" w:hAnsi="Times New Roman" w:cs="Times New Roman"/>
          <w:sz w:val="24"/>
          <w:szCs w:val="24"/>
        </w:rPr>
        <w:t xml:space="preserve"> on the substantive plan and the development of a new classification of crime.  The second report will address the methodological and implementation plans.</w:t>
      </w:r>
    </w:p>
    <w:p w:rsidR="0032562B" w:rsidRDefault="0032562B" w:rsidP="0032562B">
      <w:pPr>
        <w:pStyle w:val="ListParagraph"/>
        <w:ind w:left="360"/>
        <w:rPr>
          <w:rFonts w:ascii="Times New Roman" w:hAnsi="Times New Roman" w:cs="Times New Roman"/>
          <w:sz w:val="24"/>
          <w:szCs w:val="24"/>
        </w:rPr>
      </w:pPr>
    </w:p>
    <w:p w:rsidR="0032562B" w:rsidRDefault="00F459E7" w:rsidP="0032562B">
      <w:pPr>
        <w:pStyle w:val="ListParagraph"/>
        <w:ind w:left="360"/>
        <w:rPr>
          <w:rFonts w:ascii="Times New Roman" w:hAnsi="Times New Roman" w:cs="Times New Roman"/>
          <w:sz w:val="24"/>
          <w:szCs w:val="24"/>
        </w:rPr>
      </w:pPr>
      <w:r w:rsidRPr="00453853">
        <w:rPr>
          <w:rFonts w:ascii="Times New Roman" w:hAnsi="Times New Roman" w:cs="Times New Roman"/>
          <w:sz w:val="24"/>
          <w:szCs w:val="24"/>
        </w:rPr>
        <w:t>Th</w:t>
      </w:r>
      <w:r>
        <w:rPr>
          <w:rFonts w:ascii="Times New Roman" w:hAnsi="Times New Roman" w:cs="Times New Roman"/>
          <w:sz w:val="24"/>
          <w:szCs w:val="24"/>
        </w:rPr>
        <w:t>e first</w:t>
      </w:r>
      <w:r w:rsidRPr="00453853">
        <w:rPr>
          <w:rFonts w:ascii="Times New Roman" w:hAnsi="Times New Roman" w:cs="Times New Roman"/>
          <w:sz w:val="24"/>
          <w:szCs w:val="24"/>
        </w:rPr>
        <w:t xml:space="preserve"> report </w:t>
      </w:r>
      <w:r>
        <w:rPr>
          <w:rFonts w:ascii="Times New Roman" w:hAnsi="Times New Roman" w:cs="Times New Roman"/>
          <w:sz w:val="24"/>
          <w:szCs w:val="24"/>
        </w:rPr>
        <w:t xml:space="preserve">from the National Academies panel </w:t>
      </w:r>
      <w:r w:rsidRPr="00453853">
        <w:rPr>
          <w:rFonts w:ascii="Times New Roman" w:hAnsi="Times New Roman" w:cs="Times New Roman"/>
          <w:sz w:val="24"/>
          <w:szCs w:val="24"/>
        </w:rPr>
        <w:t xml:space="preserve">indicates there is a strong demand for comprehensive, reliable, consistent, and timely information about crime by a broad range of users. </w:t>
      </w:r>
      <w:r w:rsidR="00815E3D">
        <w:rPr>
          <w:rFonts w:ascii="Times New Roman" w:hAnsi="Times New Roman" w:cs="Times New Roman"/>
          <w:sz w:val="24"/>
          <w:szCs w:val="24"/>
        </w:rPr>
        <w:t xml:space="preserve"> </w:t>
      </w:r>
      <w:r w:rsidRPr="00453853">
        <w:rPr>
          <w:rFonts w:ascii="Times New Roman" w:hAnsi="Times New Roman" w:cs="Times New Roman"/>
          <w:sz w:val="24"/>
          <w:szCs w:val="24"/>
        </w:rPr>
        <w:t xml:space="preserve">Following the release of the final report on the methodology and implementation plans for this proposed new crime classification, the FBI will evaluate each of the panel’s recommendations to determine whether they align with the current crime data modernization efforts.    </w:t>
      </w:r>
    </w:p>
    <w:p w:rsidR="0032562B" w:rsidRDefault="0032562B" w:rsidP="0032562B">
      <w:pPr>
        <w:pStyle w:val="ListParagraph"/>
        <w:ind w:left="360"/>
        <w:rPr>
          <w:rFonts w:ascii="Times New Roman" w:hAnsi="Times New Roman" w:cs="Times New Roman"/>
          <w:sz w:val="24"/>
          <w:szCs w:val="24"/>
        </w:rPr>
      </w:pPr>
    </w:p>
    <w:p w:rsidR="0032562B" w:rsidRDefault="00F459E7" w:rsidP="0032562B">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Following the launch of the National Academies panel, the </w:t>
      </w:r>
      <w:r w:rsidRPr="00453853">
        <w:rPr>
          <w:rFonts w:ascii="Times New Roman" w:hAnsi="Times New Roman" w:cs="Times New Roman"/>
          <w:sz w:val="24"/>
          <w:szCs w:val="24"/>
        </w:rPr>
        <w:t>FBI</w:t>
      </w:r>
      <w:r>
        <w:rPr>
          <w:rFonts w:ascii="Times New Roman" w:hAnsi="Times New Roman" w:cs="Times New Roman"/>
          <w:sz w:val="24"/>
          <w:szCs w:val="24"/>
        </w:rPr>
        <w:t xml:space="preserve">, in December 2014, introduced </w:t>
      </w:r>
      <w:r w:rsidRPr="00453853">
        <w:rPr>
          <w:rFonts w:ascii="Times New Roman" w:hAnsi="Times New Roman" w:cs="Times New Roman"/>
          <w:sz w:val="24"/>
          <w:szCs w:val="24"/>
        </w:rPr>
        <w:t xml:space="preserve">a crime data modernization initiative to improve the UCR Program’s crime statistics. </w:t>
      </w:r>
      <w:r w:rsidR="00815E3D">
        <w:rPr>
          <w:rFonts w:ascii="Times New Roman" w:hAnsi="Times New Roman" w:cs="Times New Roman"/>
          <w:sz w:val="24"/>
          <w:szCs w:val="24"/>
        </w:rPr>
        <w:t xml:space="preserve"> </w:t>
      </w:r>
      <w:r w:rsidRPr="00453853">
        <w:rPr>
          <w:rFonts w:ascii="Times New Roman" w:hAnsi="Times New Roman" w:cs="Times New Roman"/>
          <w:sz w:val="24"/>
          <w:szCs w:val="24"/>
        </w:rPr>
        <w:t xml:space="preserve">This initiative involves transitioning the Program from the SRS to a NIBRS-only data collection and includes federal reporting.  This </w:t>
      </w:r>
      <w:r>
        <w:rPr>
          <w:rFonts w:ascii="Times New Roman" w:hAnsi="Times New Roman" w:cs="Times New Roman"/>
          <w:sz w:val="24"/>
          <w:szCs w:val="24"/>
        </w:rPr>
        <w:t xml:space="preserve">initiative </w:t>
      </w:r>
      <w:r w:rsidRPr="00453853">
        <w:rPr>
          <w:rFonts w:ascii="Times New Roman" w:hAnsi="Times New Roman" w:cs="Times New Roman"/>
          <w:sz w:val="24"/>
          <w:szCs w:val="24"/>
        </w:rPr>
        <w:t>supports the FBI’s movement to the NIBRS, but notes that a detailed examination and consideration of the implementation and operation of the UCR Program’s data collections</w:t>
      </w:r>
      <w:r>
        <w:rPr>
          <w:rFonts w:ascii="Times New Roman" w:hAnsi="Times New Roman" w:cs="Times New Roman"/>
          <w:sz w:val="24"/>
          <w:szCs w:val="24"/>
        </w:rPr>
        <w:t>,</w:t>
      </w:r>
      <w:r w:rsidRPr="00453853">
        <w:rPr>
          <w:rFonts w:ascii="Times New Roman" w:hAnsi="Times New Roman" w:cs="Times New Roman"/>
          <w:sz w:val="24"/>
          <w:szCs w:val="24"/>
        </w:rPr>
        <w:t xml:space="preserve"> including the NIBRS, awaits the </w:t>
      </w:r>
      <w:r>
        <w:rPr>
          <w:rFonts w:ascii="Times New Roman" w:hAnsi="Times New Roman" w:cs="Times New Roman"/>
          <w:sz w:val="24"/>
          <w:szCs w:val="24"/>
        </w:rPr>
        <w:t xml:space="preserve">final report of the National Academies </w:t>
      </w:r>
      <w:r w:rsidRPr="00453853">
        <w:rPr>
          <w:rFonts w:ascii="Times New Roman" w:hAnsi="Times New Roman" w:cs="Times New Roman"/>
          <w:sz w:val="24"/>
          <w:szCs w:val="24"/>
        </w:rPr>
        <w:t xml:space="preserve">panel.  </w:t>
      </w:r>
    </w:p>
    <w:p w:rsidR="0032562B" w:rsidRDefault="0032562B" w:rsidP="0032562B">
      <w:pPr>
        <w:pStyle w:val="ListParagraph"/>
        <w:ind w:left="360"/>
        <w:rPr>
          <w:rFonts w:ascii="Times New Roman" w:hAnsi="Times New Roman" w:cs="Times New Roman"/>
          <w:sz w:val="24"/>
          <w:szCs w:val="24"/>
        </w:rPr>
      </w:pPr>
    </w:p>
    <w:p w:rsidR="00EE5024" w:rsidRPr="0032562B" w:rsidRDefault="00F459E7" w:rsidP="0032562B">
      <w:pPr>
        <w:pStyle w:val="ListParagraph"/>
        <w:ind w:left="360"/>
        <w:rPr>
          <w:rFonts w:ascii="Times New Roman" w:hAnsi="Times New Roman"/>
          <w:sz w:val="24"/>
          <w:szCs w:val="24"/>
        </w:rPr>
      </w:pPr>
      <w:r w:rsidRPr="00C26659">
        <w:rPr>
          <w:rFonts w:ascii="Times New Roman" w:hAnsi="Times New Roman" w:cs="Times New Roman"/>
          <w:sz w:val="24"/>
          <w:szCs w:val="24"/>
        </w:rPr>
        <w:t xml:space="preserve">The FBI </w:t>
      </w:r>
      <w:r>
        <w:rPr>
          <w:rFonts w:ascii="Times New Roman" w:hAnsi="Times New Roman" w:cs="Times New Roman"/>
          <w:sz w:val="24"/>
          <w:szCs w:val="24"/>
        </w:rPr>
        <w:t>is also</w:t>
      </w:r>
      <w:r w:rsidRPr="00C26659">
        <w:rPr>
          <w:rFonts w:ascii="Times New Roman" w:hAnsi="Times New Roman" w:cs="Times New Roman"/>
          <w:sz w:val="24"/>
          <w:szCs w:val="24"/>
        </w:rPr>
        <w:t xml:space="preserve"> conduct</w:t>
      </w:r>
      <w:r>
        <w:rPr>
          <w:rFonts w:ascii="Times New Roman" w:hAnsi="Times New Roman" w:cs="Times New Roman"/>
          <w:sz w:val="24"/>
          <w:szCs w:val="24"/>
        </w:rPr>
        <w:t>ing</w:t>
      </w:r>
      <w:r w:rsidRPr="00C26659">
        <w:rPr>
          <w:rFonts w:ascii="Times New Roman" w:hAnsi="Times New Roman" w:cs="Times New Roman"/>
          <w:sz w:val="24"/>
          <w:szCs w:val="24"/>
        </w:rPr>
        <w:t xml:space="preserve"> a NIBRS </w:t>
      </w:r>
      <w:r>
        <w:rPr>
          <w:rFonts w:ascii="Times New Roman" w:hAnsi="Times New Roman" w:cs="Times New Roman"/>
          <w:sz w:val="24"/>
          <w:szCs w:val="24"/>
        </w:rPr>
        <w:t>m</w:t>
      </w:r>
      <w:r w:rsidRPr="00C26659">
        <w:rPr>
          <w:rFonts w:ascii="Times New Roman" w:hAnsi="Times New Roman" w:cs="Times New Roman"/>
          <w:sz w:val="24"/>
          <w:szCs w:val="24"/>
        </w:rPr>
        <w:t xml:space="preserve">odernization </w:t>
      </w:r>
      <w:r>
        <w:rPr>
          <w:rFonts w:ascii="Times New Roman" w:hAnsi="Times New Roman" w:cs="Times New Roman"/>
          <w:sz w:val="24"/>
          <w:szCs w:val="24"/>
        </w:rPr>
        <w:t>s</w:t>
      </w:r>
      <w:r w:rsidRPr="00C26659">
        <w:rPr>
          <w:rFonts w:ascii="Times New Roman" w:hAnsi="Times New Roman" w:cs="Times New Roman"/>
          <w:sz w:val="24"/>
          <w:szCs w:val="24"/>
        </w:rPr>
        <w:t xml:space="preserve">tudy, in which current business </w:t>
      </w:r>
      <w:r>
        <w:rPr>
          <w:rFonts w:ascii="Times New Roman" w:hAnsi="Times New Roman" w:cs="Times New Roman"/>
          <w:sz w:val="24"/>
          <w:szCs w:val="24"/>
        </w:rPr>
        <w:t xml:space="preserve">practices </w:t>
      </w:r>
      <w:r w:rsidRPr="00C26659">
        <w:rPr>
          <w:rFonts w:ascii="Times New Roman" w:hAnsi="Times New Roman" w:cs="Times New Roman"/>
          <w:sz w:val="24"/>
          <w:szCs w:val="24"/>
        </w:rPr>
        <w:t xml:space="preserve">and policies employed by local, state, tribal, and federal LEAs </w:t>
      </w:r>
      <w:r>
        <w:rPr>
          <w:rFonts w:ascii="Times New Roman" w:hAnsi="Times New Roman" w:cs="Times New Roman"/>
          <w:sz w:val="24"/>
          <w:szCs w:val="24"/>
        </w:rPr>
        <w:t>are</w:t>
      </w:r>
      <w:r w:rsidRPr="00C26659">
        <w:rPr>
          <w:rFonts w:ascii="Times New Roman" w:hAnsi="Times New Roman" w:cs="Times New Roman"/>
          <w:sz w:val="24"/>
          <w:szCs w:val="24"/>
        </w:rPr>
        <w:t xml:space="preserve"> be</w:t>
      </w:r>
      <w:r>
        <w:rPr>
          <w:rFonts w:ascii="Times New Roman" w:hAnsi="Times New Roman" w:cs="Times New Roman"/>
          <w:sz w:val="24"/>
          <w:szCs w:val="24"/>
        </w:rPr>
        <w:t>ing</w:t>
      </w:r>
      <w:r w:rsidRPr="00C26659">
        <w:rPr>
          <w:rFonts w:ascii="Times New Roman" w:hAnsi="Times New Roman" w:cs="Times New Roman"/>
          <w:sz w:val="24"/>
          <w:szCs w:val="24"/>
        </w:rPr>
        <w:t xml:space="preserve"> assessed, as well as how they compare with the requirements to transition these LEAs from the SRS to the NIBRS for purposes of collecting crime statistics.  </w:t>
      </w:r>
      <w:r>
        <w:rPr>
          <w:rFonts w:ascii="Times New Roman" w:hAnsi="Times New Roman" w:cs="Times New Roman"/>
          <w:sz w:val="24"/>
          <w:szCs w:val="24"/>
        </w:rPr>
        <w:t>This study began in June 2016 and the final report should be delivered by September 2017.  In the study, t</w:t>
      </w:r>
      <w:r w:rsidRPr="00C26659">
        <w:rPr>
          <w:rFonts w:ascii="Times New Roman" w:hAnsi="Times New Roman" w:cs="Times New Roman"/>
          <w:sz w:val="24"/>
          <w:szCs w:val="24"/>
        </w:rPr>
        <w:t xml:space="preserve">he NIBRS </w:t>
      </w:r>
      <w:r>
        <w:rPr>
          <w:rFonts w:ascii="Times New Roman" w:hAnsi="Times New Roman" w:cs="Times New Roman"/>
          <w:sz w:val="24"/>
          <w:szCs w:val="24"/>
        </w:rPr>
        <w:t xml:space="preserve">is being </w:t>
      </w:r>
      <w:r w:rsidRPr="00C26659">
        <w:rPr>
          <w:rFonts w:ascii="Times New Roman" w:hAnsi="Times New Roman" w:cs="Times New Roman"/>
          <w:sz w:val="24"/>
          <w:szCs w:val="24"/>
        </w:rPr>
        <w:t>assess</w:t>
      </w:r>
      <w:r>
        <w:rPr>
          <w:rFonts w:ascii="Times New Roman" w:hAnsi="Times New Roman" w:cs="Times New Roman"/>
          <w:sz w:val="24"/>
          <w:szCs w:val="24"/>
        </w:rPr>
        <w:t>ed</w:t>
      </w:r>
      <w:r w:rsidRPr="00C26659">
        <w:rPr>
          <w:rFonts w:ascii="Times New Roman" w:hAnsi="Times New Roman" w:cs="Times New Roman"/>
          <w:sz w:val="24"/>
          <w:szCs w:val="24"/>
        </w:rPr>
        <w:t xml:space="preserve"> to determine if it meets current policing needs in its present state or requires modernization.  Policing policies and strategies have evolved over the last</w:t>
      </w:r>
      <w:r>
        <w:rPr>
          <w:rFonts w:ascii="Times New Roman" w:hAnsi="Times New Roman" w:cs="Times New Roman"/>
          <w:sz w:val="24"/>
          <w:szCs w:val="24"/>
        </w:rPr>
        <w:t xml:space="preserve"> </w:t>
      </w:r>
      <w:r w:rsidRPr="00C26659">
        <w:rPr>
          <w:rFonts w:ascii="Times New Roman" w:hAnsi="Times New Roman" w:cs="Times New Roman"/>
          <w:sz w:val="24"/>
          <w:szCs w:val="24"/>
        </w:rPr>
        <w:t xml:space="preserve">30 years.  </w:t>
      </w:r>
      <w:r>
        <w:rPr>
          <w:rFonts w:ascii="Times New Roman" w:hAnsi="Times New Roman" w:cs="Times New Roman"/>
          <w:sz w:val="24"/>
          <w:szCs w:val="24"/>
        </w:rPr>
        <w:t>While t</w:t>
      </w:r>
      <w:r w:rsidRPr="00C26659">
        <w:rPr>
          <w:rFonts w:ascii="Times New Roman" w:hAnsi="Times New Roman" w:cs="Times New Roman"/>
          <w:sz w:val="24"/>
          <w:szCs w:val="24"/>
        </w:rPr>
        <w:t>he FBI feels strongly that the NIBRS is the pathway to more accurate crime data; however, we must ensure the policy evolves to guarantee the best data.</w:t>
      </w:r>
      <w:r>
        <w:rPr>
          <w:rFonts w:ascii="Times New Roman" w:hAnsi="Times New Roman" w:cs="Times New Roman"/>
          <w:sz w:val="24"/>
          <w:szCs w:val="24"/>
        </w:rPr>
        <w:t xml:space="preserve">  Depending upon the timing of the release of the final report from the National Academies panel, the modernization study will incorporate the panel’s recommendations in the study’s evaluation. </w:t>
      </w:r>
      <w:r w:rsidR="00815E3D">
        <w:rPr>
          <w:rFonts w:ascii="Times New Roman" w:hAnsi="Times New Roman" w:cs="Times New Roman"/>
          <w:sz w:val="24"/>
          <w:szCs w:val="24"/>
        </w:rPr>
        <w:t xml:space="preserve"> </w:t>
      </w:r>
      <w:r>
        <w:rPr>
          <w:rFonts w:ascii="Times New Roman" w:hAnsi="Times New Roman" w:cs="Times New Roman"/>
          <w:sz w:val="24"/>
          <w:szCs w:val="24"/>
        </w:rPr>
        <w:t>Regardless of when the final report is released, however, the findings of the modernization study should provide objective criteria by which to evaluate the final recommendations to ensure that they are feasible given current policing practices.</w:t>
      </w:r>
    </w:p>
    <w:p w:rsidR="008C72B5" w:rsidRDefault="008C72B5" w:rsidP="003A4C2A">
      <w:pPr>
        <w:pStyle w:val="ListParagraph"/>
        <w:spacing w:after="120" w:line="240" w:lineRule="auto"/>
        <w:ind w:left="360"/>
        <w:rPr>
          <w:rFonts w:ascii="Times New Roman" w:hAnsi="Times New Roman" w:cs="Times New Roman"/>
          <w:sz w:val="24"/>
          <w:szCs w:val="24"/>
        </w:rPr>
      </w:pPr>
    </w:p>
    <w:p w:rsidR="0032562B" w:rsidRDefault="0032562B" w:rsidP="003A4C2A">
      <w:pPr>
        <w:pStyle w:val="ListParagraph"/>
        <w:spacing w:after="120" w:line="240" w:lineRule="auto"/>
        <w:ind w:left="360"/>
        <w:rPr>
          <w:rFonts w:ascii="Times New Roman" w:hAnsi="Times New Roman" w:cs="Times New Roman"/>
          <w:sz w:val="24"/>
          <w:szCs w:val="24"/>
        </w:rPr>
      </w:pPr>
    </w:p>
    <w:p w:rsidR="001072B6" w:rsidRPr="001072B6" w:rsidRDefault="001072B6" w:rsidP="009F270E">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u w:val="single"/>
        </w:rPr>
        <w:t>Testing of Procedures</w:t>
      </w:r>
    </w:p>
    <w:p w:rsidR="001072B6" w:rsidRDefault="001072B6" w:rsidP="001072B6">
      <w:pPr>
        <w:pStyle w:val="ListParagraph"/>
        <w:ind w:left="360"/>
        <w:rPr>
          <w:rFonts w:ascii="Times New Roman" w:hAnsi="Times New Roman" w:cs="Times New Roman"/>
          <w:sz w:val="24"/>
          <w:szCs w:val="24"/>
          <w:u w:val="single"/>
        </w:rPr>
      </w:pPr>
    </w:p>
    <w:p w:rsidR="001072B6" w:rsidRDefault="001072B6" w:rsidP="001072B6">
      <w:pPr>
        <w:pStyle w:val="ListParagraph"/>
        <w:ind w:left="360"/>
        <w:rPr>
          <w:rFonts w:ascii="Times New Roman" w:hAnsi="Times New Roman" w:cs="Times New Roman"/>
          <w:i/>
          <w:sz w:val="24"/>
          <w:szCs w:val="24"/>
        </w:rPr>
      </w:pPr>
      <w:r>
        <w:rPr>
          <w:rFonts w:ascii="Times New Roman" w:hAnsi="Times New Roman" w:cs="Times New Roman"/>
          <w:i/>
          <w:sz w:val="24"/>
          <w:szCs w:val="24"/>
        </w:rPr>
        <w:t>Purpose of the Research</w:t>
      </w:r>
    </w:p>
    <w:p w:rsidR="00F21EEC" w:rsidRDefault="00F21EEC" w:rsidP="00F21E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At the request of an APB Subcommittee member, the FBI UCR Program was asked to report domestic violence in NIBRS.  Consequently, the CJIS APB voted to change the circumstance code for “Lovers’ Quarrel” to “Domestic Violence” in the NIBRS Data Element 31 (Aggravated/Homicide Circumstances).  In 2013, the FBI UCR Program also presented a proposal for defining Domestic Violence which was approved by the CJIS APB in 2014.  During the same meeting the APB recommended the UCR Program allow the collection of Victim/Offender Relationships for Crimes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Property, and added the Victim/Offender Relationship codes of “ex-boyfriend” and “ex-girlfriend.”  During the 2015 meetings, the FBI recommended and the APB approved combining the two relationship codes referenced above to one code (XR=Ex-Relationship) to more closely align the other relationship codes collected in NIBRS, ex., SE=Spouse, GP=Grandparent, SP=Stepparent, etc.  These recommendations were approved by the FBI Director on October 6, 2015 and February 9, 2016.</w:t>
      </w:r>
    </w:p>
    <w:p w:rsidR="001072B6" w:rsidRPr="009D622F" w:rsidRDefault="001072B6" w:rsidP="00F21EEC">
      <w:pPr>
        <w:spacing w:after="0" w:line="240" w:lineRule="auto"/>
        <w:ind w:left="360"/>
        <w:rPr>
          <w:rFonts w:ascii="Times New Roman" w:hAnsi="Times New Roman" w:cs="Times New Roman"/>
          <w:sz w:val="24"/>
          <w:szCs w:val="24"/>
        </w:rPr>
      </w:pPr>
    </w:p>
    <w:p w:rsidR="00F21EEC" w:rsidRDefault="001072B6" w:rsidP="00F21E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When Cargo Theft became a UCR data collection requirement in 2010, the NIBRS fraud offenses were added as cargo theft related offenses for identifying cargo theft as either </w:t>
      </w:r>
      <w:r w:rsidR="00F21EEC">
        <w:rPr>
          <w:rFonts w:ascii="Times New Roman" w:hAnsi="Times New Roman" w:cs="Times New Roman"/>
          <w:sz w:val="24"/>
          <w:szCs w:val="24"/>
        </w:rPr>
        <w:t>“</w:t>
      </w:r>
      <w:r>
        <w:rPr>
          <w:rFonts w:ascii="Times New Roman" w:hAnsi="Times New Roman" w:cs="Times New Roman"/>
          <w:sz w:val="24"/>
          <w:szCs w:val="24"/>
        </w:rPr>
        <w:t>yes</w:t>
      </w:r>
      <w:r w:rsidR="00F21EEC">
        <w:rPr>
          <w:rFonts w:ascii="Times New Roman" w:hAnsi="Times New Roman" w:cs="Times New Roman"/>
          <w:sz w:val="24"/>
          <w:szCs w:val="24"/>
        </w:rPr>
        <w:t>”</w:t>
      </w:r>
      <w:r>
        <w:rPr>
          <w:rFonts w:ascii="Times New Roman" w:hAnsi="Times New Roman" w:cs="Times New Roman"/>
          <w:sz w:val="24"/>
          <w:szCs w:val="24"/>
        </w:rPr>
        <w:t xml:space="preserve"> or </w:t>
      </w:r>
      <w:r w:rsidR="00F21EEC">
        <w:rPr>
          <w:rFonts w:ascii="Times New Roman" w:hAnsi="Times New Roman" w:cs="Times New Roman"/>
          <w:sz w:val="24"/>
          <w:szCs w:val="24"/>
        </w:rPr>
        <w:t>“</w:t>
      </w:r>
      <w:r>
        <w:rPr>
          <w:rFonts w:ascii="Times New Roman" w:hAnsi="Times New Roman" w:cs="Times New Roman"/>
          <w:sz w:val="24"/>
          <w:szCs w:val="24"/>
        </w:rPr>
        <w:t>no</w:t>
      </w:r>
      <w:r w:rsidR="00F21EEC">
        <w:rPr>
          <w:rFonts w:ascii="Times New Roman" w:hAnsi="Times New Roman" w:cs="Times New Roman"/>
          <w:sz w:val="24"/>
          <w:szCs w:val="24"/>
        </w:rPr>
        <w:t>”</w:t>
      </w:r>
      <w:r>
        <w:rPr>
          <w:rFonts w:ascii="Times New Roman" w:hAnsi="Times New Roman" w:cs="Times New Roman"/>
          <w:sz w:val="24"/>
          <w:szCs w:val="24"/>
        </w:rPr>
        <w:t xml:space="preserve"> in Data Element 2A in NIBRS.  In 2012, the CJIS APB voted to approve the addition of two new fraud offenses of 26F=Identity Theft and 26G=Hacking/Computer Invasion to NIBRS.  These new offenses were not taken into consideration as cargo related offenses at that time.  Therefore, the UCR </w:t>
      </w:r>
      <w:r w:rsidR="00815E3D">
        <w:rPr>
          <w:rFonts w:ascii="Times New Roman" w:hAnsi="Times New Roman" w:cs="Times New Roman"/>
          <w:sz w:val="24"/>
          <w:szCs w:val="24"/>
        </w:rPr>
        <w:t xml:space="preserve">Program </w:t>
      </w:r>
      <w:r>
        <w:rPr>
          <w:rFonts w:ascii="Times New Roman" w:hAnsi="Times New Roman" w:cs="Times New Roman"/>
          <w:sz w:val="24"/>
          <w:szCs w:val="24"/>
        </w:rPr>
        <w:t>Train</w:t>
      </w:r>
      <w:r w:rsidR="00815E3D">
        <w:rPr>
          <w:rFonts w:ascii="Times New Roman" w:hAnsi="Times New Roman" w:cs="Times New Roman"/>
          <w:sz w:val="24"/>
          <w:szCs w:val="24"/>
        </w:rPr>
        <w:t>ing</w:t>
      </w:r>
      <w:r>
        <w:rPr>
          <w:rFonts w:ascii="Times New Roman" w:hAnsi="Times New Roman" w:cs="Times New Roman"/>
          <w:sz w:val="24"/>
          <w:szCs w:val="24"/>
        </w:rPr>
        <w:t xml:space="preserve"> staff presented a proposal for adding them to the list of cargo related offenses in 2016, which was approved by the APB. </w:t>
      </w:r>
      <w:r w:rsidR="00F21EEC">
        <w:rPr>
          <w:rFonts w:ascii="Times New Roman" w:hAnsi="Times New Roman" w:cs="Times New Roman"/>
          <w:sz w:val="24"/>
          <w:szCs w:val="24"/>
        </w:rPr>
        <w:t xml:space="preserve"> As a result, the CJIS APB also voted to add the two fraud offenses identified above to the Cargo Theft collection on October 27, 2016.</w:t>
      </w:r>
    </w:p>
    <w:p w:rsidR="001072B6" w:rsidRDefault="001072B6" w:rsidP="001072B6">
      <w:pPr>
        <w:spacing w:after="0" w:line="240" w:lineRule="auto"/>
        <w:rPr>
          <w:rFonts w:ascii="Times New Roman" w:hAnsi="Times New Roman" w:cs="Times New Roman"/>
          <w:sz w:val="24"/>
          <w:szCs w:val="24"/>
        </w:rPr>
      </w:pPr>
    </w:p>
    <w:p w:rsidR="001072B6" w:rsidRDefault="001072B6" w:rsidP="001072B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In 2014, the ASUCRP, the NSA, the NSA Traffic Safety Committee, and the NSA Crime Victim Services Committee proposed the FBI UCR Program allow reporting of a fatalities resulting from impaired operation of a vehicle as Negligent Manslaughter offenses within NIBRS.  Further, the UCR Program requested to expand this collection to include vessels and distracted driving incidents where a cell/smartphone was a factor.  In 2016, the APB voted to collect driving under the influence, distracted driving (using a cell/smartphone), and reckless driving traffic fatality incidents under Negligent Manslaughter.</w:t>
      </w:r>
      <w:r w:rsidR="00F21EEC">
        <w:rPr>
          <w:rFonts w:ascii="Times New Roman" w:hAnsi="Times New Roman" w:cs="Times New Roman"/>
          <w:sz w:val="24"/>
          <w:szCs w:val="24"/>
        </w:rPr>
        <w:t xml:space="preserve">  In order to collect and distinguish these offenses from other Negligent Manslaughter offenses, the definition was amended and specific data elements were modified.</w:t>
      </w:r>
    </w:p>
    <w:p w:rsidR="001072B6" w:rsidRDefault="001072B6" w:rsidP="001072B6">
      <w:pPr>
        <w:spacing w:after="0" w:line="240" w:lineRule="auto"/>
        <w:rPr>
          <w:rFonts w:ascii="Times New Roman" w:hAnsi="Times New Roman" w:cs="Times New Roman"/>
          <w:sz w:val="24"/>
          <w:szCs w:val="24"/>
        </w:rPr>
      </w:pPr>
    </w:p>
    <w:p w:rsidR="001072B6" w:rsidRDefault="001072B6" w:rsidP="001072B6">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The goals of the exploratory interviews are to:</w:t>
      </w:r>
    </w:p>
    <w:p w:rsidR="001072B6" w:rsidRDefault="001072B6" w:rsidP="001072B6">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Assess the comprehension of terms and definitions included in the collection, including whether respondents interpret questions consistently; and</w:t>
      </w:r>
    </w:p>
    <w:p w:rsidR="001072B6" w:rsidRDefault="001072B6" w:rsidP="00815E3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Assess the reliability and validity of the answers supplied from the participants.</w:t>
      </w:r>
    </w:p>
    <w:p w:rsidR="00815E3D" w:rsidRPr="00815E3D" w:rsidRDefault="00815E3D" w:rsidP="00815E3D">
      <w:pPr>
        <w:pStyle w:val="ListParagraph"/>
        <w:spacing w:after="0" w:line="240" w:lineRule="auto"/>
        <w:ind w:left="1080"/>
        <w:rPr>
          <w:rFonts w:ascii="Times New Roman" w:hAnsi="Times New Roman" w:cs="Times New Roman"/>
          <w:sz w:val="24"/>
          <w:szCs w:val="24"/>
        </w:rPr>
      </w:pPr>
    </w:p>
    <w:p w:rsidR="007D0C3D" w:rsidRPr="001072B6" w:rsidRDefault="00125CD7" w:rsidP="001072B6">
      <w:pPr>
        <w:pStyle w:val="ListParagraph"/>
        <w:ind w:left="360"/>
        <w:rPr>
          <w:rFonts w:ascii="Times New Roman" w:hAnsi="Times New Roman" w:cs="Times New Roman"/>
          <w:i/>
          <w:sz w:val="24"/>
          <w:szCs w:val="24"/>
        </w:rPr>
      </w:pPr>
      <w:r>
        <w:rPr>
          <w:rFonts w:ascii="Times New Roman" w:hAnsi="Times New Roman" w:cs="Times New Roman"/>
          <w:i/>
          <w:sz w:val="24"/>
          <w:szCs w:val="24"/>
        </w:rPr>
        <w:t xml:space="preserve">Methodology, Participants, </w:t>
      </w:r>
      <w:r w:rsidR="007D0C3D">
        <w:rPr>
          <w:rFonts w:ascii="Times New Roman" w:hAnsi="Times New Roman" w:cs="Times New Roman"/>
          <w:i/>
          <w:sz w:val="24"/>
          <w:szCs w:val="24"/>
        </w:rPr>
        <w:t>Analysis</w:t>
      </w:r>
    </w:p>
    <w:p w:rsidR="001072B6" w:rsidRDefault="001072B6" w:rsidP="001072B6">
      <w:pPr>
        <w:pStyle w:val="ListParagraph"/>
        <w:ind w:left="360"/>
        <w:rPr>
          <w:rFonts w:ascii="Times New Roman" w:hAnsi="Times New Roman" w:cs="Times New Roman"/>
          <w:sz w:val="24"/>
          <w:szCs w:val="24"/>
          <w:u w:val="single"/>
        </w:rPr>
      </w:pPr>
    </w:p>
    <w:p w:rsidR="00D72083" w:rsidRDefault="00EA4928" w:rsidP="001072B6">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FBI UCR Program conducted </w:t>
      </w:r>
      <w:r w:rsidR="00125CD7">
        <w:rPr>
          <w:rFonts w:ascii="Times New Roman" w:hAnsi="Times New Roman" w:cs="Times New Roman"/>
          <w:sz w:val="24"/>
          <w:szCs w:val="24"/>
        </w:rPr>
        <w:t xml:space="preserve">the </w:t>
      </w:r>
      <w:r>
        <w:rPr>
          <w:rFonts w:ascii="Times New Roman" w:hAnsi="Times New Roman" w:cs="Times New Roman"/>
          <w:sz w:val="24"/>
          <w:szCs w:val="24"/>
        </w:rPr>
        <w:t xml:space="preserve">exploratory interviews with </w:t>
      </w:r>
      <w:r w:rsidR="00815E3D">
        <w:rPr>
          <w:rFonts w:ascii="Times New Roman" w:hAnsi="Times New Roman" w:cs="Times New Roman"/>
          <w:sz w:val="24"/>
          <w:szCs w:val="24"/>
        </w:rPr>
        <w:t>fifteen</w:t>
      </w:r>
      <w:r>
        <w:rPr>
          <w:rFonts w:ascii="Times New Roman" w:hAnsi="Times New Roman" w:cs="Times New Roman"/>
          <w:sz w:val="24"/>
          <w:szCs w:val="24"/>
        </w:rPr>
        <w:t xml:space="preserve"> RMS managers and LEAs throughout Connecticut to uncover </w:t>
      </w:r>
      <w:r w:rsidR="006D14F7">
        <w:rPr>
          <w:rFonts w:ascii="Times New Roman" w:hAnsi="Times New Roman" w:cs="Times New Roman"/>
          <w:sz w:val="24"/>
          <w:szCs w:val="24"/>
        </w:rPr>
        <w:t>problems of ambiguity or misunderstanding</w:t>
      </w:r>
      <w:r>
        <w:rPr>
          <w:rFonts w:ascii="Times New Roman" w:hAnsi="Times New Roman" w:cs="Times New Roman"/>
          <w:sz w:val="24"/>
          <w:szCs w:val="24"/>
        </w:rPr>
        <w:t xml:space="preserve"> to identify instructional issues respondents had when addressing questions pertaining to the revisions to the NIBRS for collecting Cargo Theft, </w:t>
      </w:r>
      <w:r w:rsidR="00F84A2A">
        <w:rPr>
          <w:rFonts w:ascii="Times New Roman" w:hAnsi="Times New Roman" w:cs="Times New Roman"/>
          <w:sz w:val="24"/>
          <w:szCs w:val="24"/>
        </w:rPr>
        <w:t xml:space="preserve">Domestic Violence, </w:t>
      </w:r>
      <w:r>
        <w:rPr>
          <w:rFonts w:ascii="Times New Roman" w:hAnsi="Times New Roman" w:cs="Times New Roman"/>
          <w:sz w:val="24"/>
          <w:szCs w:val="24"/>
        </w:rPr>
        <w:t>and Negligent Manslaughter.</w:t>
      </w:r>
      <w:r w:rsidR="00F01F6C">
        <w:rPr>
          <w:rFonts w:ascii="Times New Roman" w:hAnsi="Times New Roman" w:cs="Times New Roman"/>
          <w:sz w:val="24"/>
          <w:szCs w:val="24"/>
        </w:rPr>
        <w:t xml:space="preserve">  The fifteen participants were comprised of </w:t>
      </w:r>
      <w:r w:rsidR="003F7498">
        <w:rPr>
          <w:rFonts w:ascii="Times New Roman" w:hAnsi="Times New Roman" w:cs="Times New Roman"/>
          <w:sz w:val="24"/>
          <w:szCs w:val="24"/>
        </w:rPr>
        <w:t xml:space="preserve">6 representatives from a small city police department, 3 representatives from a medium city police department, 3 representatives from a large city police department, 2 representatives from a campus police agency, and 1 representative from the state police. </w:t>
      </w:r>
    </w:p>
    <w:p w:rsidR="006D14F7" w:rsidRDefault="006D14F7" w:rsidP="009F270E">
      <w:pPr>
        <w:pStyle w:val="ListParagraph"/>
        <w:ind w:left="360"/>
        <w:rPr>
          <w:rFonts w:ascii="Times New Roman" w:hAnsi="Times New Roman" w:cs="Times New Roman"/>
          <w:sz w:val="24"/>
          <w:szCs w:val="24"/>
        </w:rPr>
      </w:pPr>
    </w:p>
    <w:p w:rsidR="006D14F7" w:rsidRDefault="006D14F7" w:rsidP="009F270E">
      <w:pPr>
        <w:pStyle w:val="ListParagraph"/>
        <w:ind w:left="360"/>
        <w:rPr>
          <w:rFonts w:ascii="Times New Roman" w:hAnsi="Times New Roman" w:cs="Times New Roman"/>
          <w:sz w:val="24"/>
          <w:szCs w:val="24"/>
        </w:rPr>
      </w:pPr>
      <w:r>
        <w:rPr>
          <w:rFonts w:ascii="Times New Roman" w:hAnsi="Times New Roman" w:cs="Times New Roman"/>
          <w:sz w:val="24"/>
          <w:szCs w:val="24"/>
        </w:rPr>
        <w:t>The method for the exploratory interviews involved asking each participant to review the materials received in an e-mail prior to a telephone interview.  During the telephone interviews, the FBI interviewer</w:t>
      </w:r>
      <w:r w:rsidR="00815E3D">
        <w:rPr>
          <w:rFonts w:ascii="Times New Roman" w:hAnsi="Times New Roman" w:cs="Times New Roman"/>
          <w:sz w:val="24"/>
          <w:szCs w:val="24"/>
        </w:rPr>
        <w:t>s</w:t>
      </w:r>
      <w:r>
        <w:rPr>
          <w:rFonts w:ascii="Times New Roman" w:hAnsi="Times New Roman" w:cs="Times New Roman"/>
          <w:sz w:val="24"/>
          <w:szCs w:val="24"/>
        </w:rPr>
        <w:t xml:space="preserve"> asked specific questions to determine how respondents came up with their answers.  The objective was to detect problems of ambiguity or misunderstanding, identify instructional improvements, and to highlight other difficulties respondents had in answering questions.  Participants were provided with </w:t>
      </w:r>
      <w:r w:rsidR="00F84A2A">
        <w:rPr>
          <w:rFonts w:ascii="Times New Roman" w:hAnsi="Times New Roman" w:cs="Times New Roman"/>
          <w:sz w:val="24"/>
          <w:szCs w:val="24"/>
        </w:rPr>
        <w:t xml:space="preserve">two examples for identity theft and hacking/computer invasion offenses for Cargo Theft related incidents; </w:t>
      </w:r>
      <w:r>
        <w:rPr>
          <w:rFonts w:ascii="Times New Roman" w:hAnsi="Times New Roman" w:cs="Times New Roman"/>
          <w:sz w:val="24"/>
          <w:szCs w:val="24"/>
        </w:rPr>
        <w:t>three incident</w:t>
      </w:r>
      <w:r w:rsidR="00F84A2A">
        <w:rPr>
          <w:rFonts w:ascii="Times New Roman" w:hAnsi="Times New Roman" w:cs="Times New Roman"/>
          <w:sz w:val="24"/>
          <w:szCs w:val="24"/>
        </w:rPr>
        <w:t xml:space="preserve"> examples for domestic violence; and,</w:t>
      </w:r>
      <w:r>
        <w:rPr>
          <w:rFonts w:ascii="Times New Roman" w:hAnsi="Times New Roman" w:cs="Times New Roman"/>
          <w:sz w:val="24"/>
          <w:szCs w:val="24"/>
        </w:rPr>
        <w:t xml:space="preserve"> four examples of negligent manslaughter involving traffic fatalities.  These incidents were used to determi</w:t>
      </w:r>
      <w:r w:rsidR="009F270E">
        <w:rPr>
          <w:rFonts w:ascii="Times New Roman" w:hAnsi="Times New Roman" w:cs="Times New Roman"/>
          <w:sz w:val="24"/>
          <w:szCs w:val="24"/>
        </w:rPr>
        <w:t>ne if the participants understoo</w:t>
      </w:r>
      <w:r>
        <w:rPr>
          <w:rFonts w:ascii="Times New Roman" w:hAnsi="Times New Roman" w:cs="Times New Roman"/>
          <w:sz w:val="24"/>
          <w:szCs w:val="24"/>
        </w:rPr>
        <w:t>d the criteria for determining the offenses and to ensure they provide</w:t>
      </w:r>
      <w:r w:rsidR="009F270E">
        <w:rPr>
          <w:rFonts w:ascii="Times New Roman" w:hAnsi="Times New Roman" w:cs="Times New Roman"/>
          <w:sz w:val="24"/>
          <w:szCs w:val="24"/>
        </w:rPr>
        <w:t>d</w:t>
      </w:r>
      <w:r>
        <w:rPr>
          <w:rFonts w:ascii="Times New Roman" w:hAnsi="Times New Roman" w:cs="Times New Roman"/>
          <w:sz w:val="24"/>
          <w:szCs w:val="24"/>
        </w:rPr>
        <w:t xml:space="preserve"> consistent, reliable results for future research and analysis when these components are fully implemented.</w:t>
      </w:r>
    </w:p>
    <w:p w:rsidR="006D14F7" w:rsidRDefault="006D14F7" w:rsidP="009F270E">
      <w:pPr>
        <w:pStyle w:val="ListParagraph"/>
        <w:ind w:left="360"/>
        <w:rPr>
          <w:rFonts w:ascii="Times New Roman" w:hAnsi="Times New Roman" w:cs="Times New Roman"/>
          <w:sz w:val="24"/>
          <w:szCs w:val="24"/>
        </w:rPr>
      </w:pPr>
    </w:p>
    <w:p w:rsidR="006D14F7" w:rsidRPr="00F84A2A" w:rsidRDefault="006D14F7" w:rsidP="00F84A2A">
      <w:pPr>
        <w:pStyle w:val="ListParagraph"/>
        <w:ind w:left="360"/>
        <w:rPr>
          <w:rFonts w:ascii="Times New Roman" w:hAnsi="Times New Roman" w:cs="Times New Roman"/>
          <w:sz w:val="24"/>
          <w:szCs w:val="24"/>
        </w:rPr>
      </w:pPr>
      <w:r>
        <w:rPr>
          <w:rFonts w:ascii="Times New Roman" w:hAnsi="Times New Roman" w:cs="Times New Roman"/>
          <w:sz w:val="24"/>
          <w:szCs w:val="24"/>
        </w:rPr>
        <w:t>The interviews uncovered the following results:</w:t>
      </w:r>
    </w:p>
    <w:p w:rsidR="00F84A2A" w:rsidRPr="00F261B5" w:rsidRDefault="00F84A2A" w:rsidP="00F84A2A">
      <w:pPr>
        <w:ind w:left="360"/>
        <w:rPr>
          <w:rFonts w:ascii="Times New Roman" w:hAnsi="Times New Roman" w:cs="Times New Roman"/>
          <w:b/>
          <w:sz w:val="24"/>
          <w:szCs w:val="24"/>
        </w:rPr>
      </w:pPr>
      <w:r w:rsidRPr="00F261B5">
        <w:rPr>
          <w:rFonts w:ascii="Times New Roman" w:hAnsi="Times New Roman" w:cs="Times New Roman"/>
          <w:b/>
          <w:sz w:val="24"/>
          <w:szCs w:val="24"/>
        </w:rPr>
        <w:t>Cargo Theft – Fraud Offenses</w:t>
      </w:r>
    </w:p>
    <w:p w:rsidR="00F84A2A" w:rsidRDefault="00F84A2A" w:rsidP="00F84A2A">
      <w:pPr>
        <w:pStyle w:val="ListParagraph"/>
        <w:numPr>
          <w:ilvl w:val="0"/>
          <w:numId w:val="6"/>
        </w:numPr>
        <w:ind w:left="720"/>
        <w:rPr>
          <w:rFonts w:ascii="Times New Roman" w:hAnsi="Times New Roman" w:cs="Times New Roman"/>
          <w:b/>
          <w:sz w:val="24"/>
          <w:szCs w:val="24"/>
        </w:rPr>
      </w:pPr>
      <w:r>
        <w:rPr>
          <w:rFonts w:ascii="Times New Roman" w:hAnsi="Times New Roman" w:cs="Times New Roman"/>
          <w:b/>
          <w:sz w:val="24"/>
          <w:szCs w:val="24"/>
        </w:rPr>
        <w:t>Identity Theft</w:t>
      </w:r>
    </w:p>
    <w:p w:rsidR="00F84A2A" w:rsidRDefault="00F84A2A" w:rsidP="00F84A2A">
      <w:pPr>
        <w:pStyle w:val="ListParagraph"/>
        <w:ind w:left="360"/>
        <w:rPr>
          <w:rFonts w:ascii="Times New Roman" w:hAnsi="Times New Roman" w:cs="Times New Roman"/>
          <w:b/>
          <w:sz w:val="24"/>
          <w:szCs w:val="24"/>
        </w:rPr>
      </w:pPr>
    </w:p>
    <w:p w:rsidR="00F84A2A" w:rsidRPr="00BB1F78" w:rsidRDefault="00F84A2A" w:rsidP="00F84A2A">
      <w:pPr>
        <w:pStyle w:val="ListParagraph"/>
        <w:numPr>
          <w:ilvl w:val="1"/>
          <w:numId w:val="6"/>
        </w:numPr>
        <w:ind w:left="1440"/>
        <w:rPr>
          <w:rFonts w:ascii="Times New Roman" w:hAnsi="Times New Roman" w:cs="Times New Roman"/>
          <w:b/>
          <w:sz w:val="24"/>
          <w:szCs w:val="24"/>
        </w:rPr>
      </w:pPr>
      <w:r>
        <w:rPr>
          <w:rFonts w:ascii="Times New Roman" w:hAnsi="Times New Roman" w:cs="Times New Roman"/>
          <w:sz w:val="24"/>
          <w:szCs w:val="24"/>
        </w:rPr>
        <w:t>The NIBRS User Manual provided sufficient detail for the Cargo Theft and Identity Theft definitions.</w:t>
      </w:r>
    </w:p>
    <w:p w:rsidR="00F84A2A" w:rsidRPr="00BB1F78" w:rsidRDefault="00F84A2A" w:rsidP="00F84A2A">
      <w:pPr>
        <w:pStyle w:val="ListParagraph"/>
        <w:ind w:left="1440"/>
        <w:rPr>
          <w:rFonts w:ascii="Times New Roman" w:hAnsi="Times New Roman" w:cs="Times New Roman"/>
          <w:b/>
          <w:sz w:val="24"/>
          <w:szCs w:val="24"/>
        </w:rPr>
      </w:pPr>
    </w:p>
    <w:p w:rsidR="00F84A2A" w:rsidRPr="00BB1F78" w:rsidRDefault="00F84A2A" w:rsidP="00F84A2A">
      <w:pPr>
        <w:pStyle w:val="ListParagraph"/>
        <w:numPr>
          <w:ilvl w:val="1"/>
          <w:numId w:val="6"/>
        </w:numPr>
        <w:ind w:left="1440"/>
        <w:rPr>
          <w:rFonts w:ascii="Times New Roman" w:hAnsi="Times New Roman" w:cs="Times New Roman"/>
          <w:b/>
          <w:sz w:val="24"/>
          <w:szCs w:val="24"/>
        </w:rPr>
      </w:pPr>
      <w:r>
        <w:rPr>
          <w:rFonts w:ascii="Times New Roman" w:hAnsi="Times New Roman" w:cs="Times New Roman"/>
          <w:sz w:val="24"/>
          <w:szCs w:val="24"/>
        </w:rPr>
        <w:t>Limited questions arose from the scenarios referencing the 26F = Identity Theft offense which centered on utilizing another fraud offense, impersonation, based on the end user inferring information from the scenario.</w:t>
      </w:r>
    </w:p>
    <w:p w:rsidR="00F84A2A" w:rsidRPr="00BB1F78" w:rsidRDefault="00F84A2A" w:rsidP="00F84A2A">
      <w:pPr>
        <w:pStyle w:val="ListParagraph"/>
        <w:ind w:left="360"/>
        <w:rPr>
          <w:rFonts w:ascii="Times New Roman" w:hAnsi="Times New Roman" w:cs="Times New Roman"/>
          <w:b/>
          <w:sz w:val="24"/>
          <w:szCs w:val="24"/>
        </w:rPr>
      </w:pPr>
    </w:p>
    <w:p w:rsidR="00F84A2A" w:rsidRDefault="00F84A2A" w:rsidP="00F84A2A">
      <w:pPr>
        <w:pStyle w:val="ListParagraph"/>
        <w:numPr>
          <w:ilvl w:val="0"/>
          <w:numId w:val="6"/>
        </w:numPr>
        <w:ind w:left="720"/>
        <w:rPr>
          <w:rFonts w:ascii="Times New Roman" w:hAnsi="Times New Roman" w:cs="Times New Roman"/>
          <w:b/>
          <w:sz w:val="24"/>
          <w:szCs w:val="24"/>
        </w:rPr>
      </w:pPr>
      <w:r>
        <w:rPr>
          <w:rFonts w:ascii="Times New Roman" w:hAnsi="Times New Roman" w:cs="Times New Roman"/>
          <w:b/>
          <w:sz w:val="24"/>
          <w:szCs w:val="24"/>
        </w:rPr>
        <w:t>Hacking and Computer Invasion</w:t>
      </w:r>
    </w:p>
    <w:p w:rsidR="00F84A2A" w:rsidRDefault="00F84A2A" w:rsidP="00F84A2A">
      <w:pPr>
        <w:pStyle w:val="ListParagraph"/>
        <w:ind w:left="360"/>
        <w:rPr>
          <w:rFonts w:ascii="Times New Roman" w:hAnsi="Times New Roman" w:cs="Times New Roman"/>
          <w:b/>
          <w:sz w:val="24"/>
          <w:szCs w:val="24"/>
        </w:rPr>
      </w:pPr>
    </w:p>
    <w:p w:rsidR="00F84A2A" w:rsidRPr="00ED235F" w:rsidRDefault="00F84A2A" w:rsidP="00F84A2A">
      <w:pPr>
        <w:pStyle w:val="ListParagraph"/>
        <w:numPr>
          <w:ilvl w:val="1"/>
          <w:numId w:val="6"/>
        </w:numPr>
        <w:ind w:left="1440"/>
        <w:rPr>
          <w:rFonts w:ascii="Times New Roman" w:hAnsi="Times New Roman" w:cs="Times New Roman"/>
          <w:b/>
          <w:sz w:val="24"/>
          <w:szCs w:val="24"/>
        </w:rPr>
      </w:pPr>
      <w:r>
        <w:rPr>
          <w:rFonts w:ascii="Times New Roman" w:hAnsi="Times New Roman" w:cs="Times New Roman"/>
          <w:sz w:val="24"/>
          <w:szCs w:val="24"/>
        </w:rPr>
        <w:t>The NIBRS User Manual provided sufficient detail for the Cargo Theft and Hacking/Computer Invasion definitions.</w:t>
      </w:r>
    </w:p>
    <w:p w:rsidR="00F84A2A" w:rsidRPr="00BB1F78" w:rsidRDefault="00F84A2A" w:rsidP="00F84A2A">
      <w:pPr>
        <w:pStyle w:val="ListParagraph"/>
        <w:ind w:left="1440"/>
        <w:rPr>
          <w:rFonts w:ascii="Times New Roman" w:hAnsi="Times New Roman" w:cs="Times New Roman"/>
          <w:b/>
          <w:sz w:val="24"/>
          <w:szCs w:val="24"/>
        </w:rPr>
      </w:pPr>
    </w:p>
    <w:p w:rsidR="00815E3D" w:rsidRPr="00815E3D" w:rsidRDefault="00F84A2A" w:rsidP="00815E3D">
      <w:pPr>
        <w:pStyle w:val="ListParagraph"/>
        <w:numPr>
          <w:ilvl w:val="1"/>
          <w:numId w:val="6"/>
        </w:numPr>
        <w:ind w:left="1440"/>
        <w:rPr>
          <w:rFonts w:ascii="Times New Roman" w:hAnsi="Times New Roman" w:cs="Times New Roman"/>
          <w:b/>
          <w:sz w:val="24"/>
          <w:szCs w:val="24"/>
        </w:rPr>
      </w:pPr>
      <w:r>
        <w:rPr>
          <w:rFonts w:ascii="Times New Roman" w:hAnsi="Times New Roman" w:cs="Times New Roman"/>
          <w:sz w:val="24"/>
          <w:szCs w:val="24"/>
        </w:rPr>
        <w:t xml:space="preserve">Certain scenarios contained ambiguity; while most participants were able to reach the correct conclusion, most recommended the UCR Program add </w:t>
      </w:r>
      <w:r w:rsidRPr="009F270E">
        <w:rPr>
          <w:rFonts w:ascii="Times New Roman" w:hAnsi="Times New Roman" w:cs="Times New Roman"/>
          <w:sz w:val="24"/>
          <w:szCs w:val="24"/>
        </w:rPr>
        <w:t>additional details to the scenarios to focus them more towards the specific answer.</w:t>
      </w:r>
    </w:p>
    <w:p w:rsidR="00815E3D" w:rsidRPr="00815E3D" w:rsidRDefault="00815E3D" w:rsidP="00815E3D">
      <w:pPr>
        <w:pStyle w:val="ListParagraph"/>
        <w:rPr>
          <w:rFonts w:ascii="Times New Roman" w:hAnsi="Times New Roman" w:cs="Times New Roman"/>
          <w:b/>
          <w:sz w:val="24"/>
          <w:szCs w:val="24"/>
        </w:rPr>
      </w:pPr>
    </w:p>
    <w:p w:rsidR="00815E3D" w:rsidRDefault="00815E3D" w:rsidP="00815E3D">
      <w:pPr>
        <w:pStyle w:val="ListParagraph"/>
        <w:ind w:left="1440"/>
        <w:rPr>
          <w:rFonts w:ascii="Times New Roman" w:hAnsi="Times New Roman" w:cs="Times New Roman"/>
          <w:b/>
          <w:sz w:val="24"/>
          <w:szCs w:val="24"/>
        </w:rPr>
      </w:pPr>
    </w:p>
    <w:p w:rsidR="00815E3D" w:rsidRPr="00815E3D" w:rsidRDefault="00815E3D" w:rsidP="00815E3D">
      <w:pPr>
        <w:pStyle w:val="ListParagraph"/>
        <w:ind w:left="1440"/>
        <w:rPr>
          <w:rFonts w:ascii="Times New Roman" w:hAnsi="Times New Roman" w:cs="Times New Roman"/>
          <w:b/>
          <w:sz w:val="24"/>
          <w:szCs w:val="24"/>
        </w:rPr>
      </w:pPr>
    </w:p>
    <w:p w:rsidR="006D14F7" w:rsidRDefault="007D0C3D" w:rsidP="009F270E">
      <w:pPr>
        <w:pStyle w:val="ListParagraph"/>
        <w:ind w:left="360"/>
        <w:rPr>
          <w:rFonts w:ascii="Times New Roman" w:hAnsi="Times New Roman" w:cs="Times New Roman"/>
          <w:b/>
          <w:sz w:val="24"/>
          <w:szCs w:val="24"/>
        </w:rPr>
      </w:pPr>
      <w:r>
        <w:rPr>
          <w:rFonts w:ascii="Times New Roman" w:hAnsi="Times New Roman" w:cs="Times New Roman"/>
          <w:b/>
          <w:sz w:val="24"/>
          <w:szCs w:val="24"/>
        </w:rPr>
        <w:t xml:space="preserve">Domestic </w:t>
      </w:r>
      <w:r w:rsidR="006D14F7">
        <w:rPr>
          <w:rFonts w:ascii="Times New Roman" w:hAnsi="Times New Roman" w:cs="Times New Roman"/>
          <w:b/>
          <w:sz w:val="24"/>
          <w:szCs w:val="24"/>
        </w:rPr>
        <w:t>Violence</w:t>
      </w:r>
    </w:p>
    <w:p w:rsidR="00476CD5" w:rsidRDefault="00476CD5" w:rsidP="009F270E">
      <w:pPr>
        <w:pStyle w:val="ListParagraph"/>
        <w:ind w:left="360"/>
        <w:rPr>
          <w:rFonts w:ascii="Times New Roman" w:hAnsi="Times New Roman" w:cs="Times New Roman"/>
          <w:b/>
          <w:sz w:val="24"/>
          <w:szCs w:val="24"/>
        </w:rPr>
      </w:pPr>
    </w:p>
    <w:p w:rsidR="00F261B5" w:rsidRPr="00815E3D" w:rsidRDefault="00476CD5" w:rsidP="00815E3D">
      <w:pPr>
        <w:pStyle w:val="ListParagraph"/>
        <w:numPr>
          <w:ilvl w:val="0"/>
          <w:numId w:val="4"/>
        </w:numPr>
        <w:ind w:left="720"/>
        <w:rPr>
          <w:rFonts w:ascii="Times New Roman" w:hAnsi="Times New Roman" w:cs="Times New Roman"/>
          <w:b/>
          <w:sz w:val="24"/>
          <w:szCs w:val="24"/>
        </w:rPr>
      </w:pPr>
      <w:r>
        <w:rPr>
          <w:rFonts w:ascii="Times New Roman" w:hAnsi="Times New Roman" w:cs="Times New Roman"/>
          <w:sz w:val="24"/>
          <w:szCs w:val="24"/>
        </w:rPr>
        <w:t xml:space="preserve">The NIBRS User Manual </w:t>
      </w:r>
      <w:r w:rsidR="00111250">
        <w:rPr>
          <w:rFonts w:ascii="Times New Roman" w:hAnsi="Times New Roman" w:cs="Times New Roman"/>
          <w:sz w:val="24"/>
          <w:szCs w:val="24"/>
        </w:rPr>
        <w:t xml:space="preserve">provides sufficient detail </w:t>
      </w:r>
      <w:r>
        <w:rPr>
          <w:rFonts w:ascii="Times New Roman" w:hAnsi="Times New Roman" w:cs="Times New Roman"/>
          <w:sz w:val="24"/>
          <w:szCs w:val="24"/>
        </w:rPr>
        <w:t>for the definition</w:t>
      </w:r>
      <w:r w:rsidR="009F61C8">
        <w:rPr>
          <w:rFonts w:ascii="Times New Roman" w:hAnsi="Times New Roman" w:cs="Times New Roman"/>
          <w:sz w:val="24"/>
          <w:szCs w:val="24"/>
        </w:rPr>
        <w:t xml:space="preserve"> of Domestic and Family Violence</w:t>
      </w:r>
      <w:r w:rsidR="00111250">
        <w:rPr>
          <w:rFonts w:ascii="Times New Roman" w:hAnsi="Times New Roman" w:cs="Times New Roman"/>
          <w:sz w:val="24"/>
          <w:szCs w:val="24"/>
        </w:rPr>
        <w:t>, but</w:t>
      </w:r>
      <w:r>
        <w:rPr>
          <w:rFonts w:ascii="Times New Roman" w:hAnsi="Times New Roman" w:cs="Times New Roman"/>
          <w:sz w:val="24"/>
          <w:szCs w:val="24"/>
        </w:rPr>
        <w:t xml:space="preserve"> </w:t>
      </w:r>
      <w:r w:rsidR="00111250">
        <w:rPr>
          <w:rFonts w:ascii="Times New Roman" w:hAnsi="Times New Roman" w:cs="Times New Roman"/>
          <w:sz w:val="24"/>
          <w:szCs w:val="24"/>
        </w:rPr>
        <w:t>requires additional detail regarding the</w:t>
      </w:r>
      <w:r>
        <w:rPr>
          <w:rFonts w:ascii="Times New Roman" w:hAnsi="Times New Roman" w:cs="Times New Roman"/>
          <w:sz w:val="24"/>
          <w:szCs w:val="24"/>
        </w:rPr>
        <w:t xml:space="preserve"> “Domestic Violence” data value</w:t>
      </w:r>
      <w:r w:rsidR="00ED235F">
        <w:rPr>
          <w:rFonts w:ascii="Times New Roman" w:hAnsi="Times New Roman" w:cs="Times New Roman"/>
          <w:sz w:val="24"/>
          <w:szCs w:val="24"/>
        </w:rPr>
        <w:t xml:space="preserve">.  A </w:t>
      </w:r>
      <w:r w:rsidR="009F270E">
        <w:rPr>
          <w:rFonts w:ascii="Times New Roman" w:hAnsi="Times New Roman" w:cs="Times New Roman"/>
          <w:sz w:val="24"/>
          <w:szCs w:val="24"/>
        </w:rPr>
        <w:t>small number of</w:t>
      </w:r>
      <w:r w:rsidR="00111250">
        <w:rPr>
          <w:rFonts w:ascii="Times New Roman" w:hAnsi="Times New Roman" w:cs="Times New Roman"/>
          <w:sz w:val="24"/>
          <w:szCs w:val="24"/>
        </w:rPr>
        <w:t xml:space="preserve"> participants were unsure how to use the new data value.</w:t>
      </w:r>
    </w:p>
    <w:p w:rsidR="00815E3D" w:rsidRPr="00815E3D" w:rsidRDefault="00815E3D" w:rsidP="00815E3D">
      <w:pPr>
        <w:pStyle w:val="ListParagraph"/>
        <w:rPr>
          <w:rFonts w:ascii="Times New Roman" w:hAnsi="Times New Roman" w:cs="Times New Roman"/>
          <w:b/>
          <w:sz w:val="24"/>
          <w:szCs w:val="24"/>
        </w:rPr>
      </w:pPr>
    </w:p>
    <w:p w:rsidR="00BB1F78" w:rsidRDefault="00ED235F" w:rsidP="009F270E">
      <w:pPr>
        <w:ind w:left="360"/>
        <w:contextualSpacing/>
        <w:rPr>
          <w:rFonts w:ascii="Times New Roman" w:hAnsi="Times New Roman" w:cs="Times New Roman"/>
          <w:b/>
          <w:sz w:val="24"/>
          <w:szCs w:val="24"/>
        </w:rPr>
      </w:pPr>
      <w:r>
        <w:rPr>
          <w:rFonts w:ascii="Times New Roman" w:hAnsi="Times New Roman" w:cs="Times New Roman"/>
          <w:b/>
          <w:sz w:val="24"/>
          <w:szCs w:val="24"/>
        </w:rPr>
        <w:t>Negligent Manslaughter</w:t>
      </w:r>
    </w:p>
    <w:p w:rsidR="00DE61A6" w:rsidRPr="00DE61A6" w:rsidRDefault="00ED235F" w:rsidP="00DE61A6">
      <w:pPr>
        <w:pStyle w:val="ListParagraph"/>
        <w:numPr>
          <w:ilvl w:val="0"/>
          <w:numId w:val="7"/>
        </w:numPr>
        <w:ind w:left="720"/>
        <w:rPr>
          <w:rFonts w:ascii="Times New Roman" w:hAnsi="Times New Roman" w:cs="Times New Roman"/>
          <w:b/>
          <w:sz w:val="24"/>
          <w:szCs w:val="24"/>
        </w:rPr>
      </w:pPr>
      <w:r>
        <w:rPr>
          <w:rFonts w:ascii="Times New Roman" w:hAnsi="Times New Roman" w:cs="Times New Roman"/>
          <w:sz w:val="24"/>
          <w:szCs w:val="24"/>
        </w:rPr>
        <w:t>The NIBRS User Manual provides sufficient detail for the definition, but requires additional detail regarding the Offender Suspected of Using and Type Weapon/Force Involved data values.  Several participants were unsure of how to use these data value</w:t>
      </w:r>
      <w:r w:rsidR="00437176">
        <w:rPr>
          <w:rFonts w:ascii="Times New Roman" w:hAnsi="Times New Roman" w:cs="Times New Roman"/>
          <w:sz w:val="24"/>
          <w:szCs w:val="24"/>
        </w:rPr>
        <w:t xml:space="preserve">s </w:t>
      </w:r>
      <w:r>
        <w:rPr>
          <w:rFonts w:ascii="Times New Roman" w:hAnsi="Times New Roman" w:cs="Times New Roman"/>
          <w:sz w:val="24"/>
          <w:szCs w:val="24"/>
        </w:rPr>
        <w:t>within these incidents.</w:t>
      </w:r>
    </w:p>
    <w:p w:rsidR="00DE61A6" w:rsidRPr="00DE61A6" w:rsidRDefault="00DE61A6" w:rsidP="00DE61A6">
      <w:pPr>
        <w:pStyle w:val="ListParagraph"/>
        <w:rPr>
          <w:rFonts w:ascii="Times New Roman" w:hAnsi="Times New Roman" w:cs="Times New Roman"/>
          <w:b/>
          <w:sz w:val="24"/>
          <w:szCs w:val="24"/>
        </w:rPr>
      </w:pPr>
    </w:p>
    <w:p w:rsidR="00437176" w:rsidRPr="00BB0A9A" w:rsidRDefault="00437176" w:rsidP="00BB0A9A">
      <w:pPr>
        <w:rPr>
          <w:rFonts w:ascii="Times New Roman" w:hAnsi="Times New Roman" w:cs="Times New Roman"/>
          <w:b/>
          <w:sz w:val="24"/>
          <w:szCs w:val="24"/>
        </w:rPr>
      </w:pPr>
      <w:r w:rsidRPr="00BB0A9A">
        <w:rPr>
          <w:rFonts w:ascii="Times New Roman" w:hAnsi="Times New Roman" w:cs="Times New Roman"/>
          <w:sz w:val="24"/>
          <w:szCs w:val="24"/>
        </w:rPr>
        <w:t>The appropriate changes uncovered from the exploratory interviews were implemented within the NIBRS</w:t>
      </w:r>
      <w:r w:rsidR="009565A7" w:rsidRPr="00BB0A9A">
        <w:rPr>
          <w:rFonts w:ascii="Times New Roman" w:hAnsi="Times New Roman" w:cs="Times New Roman"/>
          <w:sz w:val="24"/>
          <w:szCs w:val="24"/>
        </w:rPr>
        <w:t xml:space="preserve"> User Manual for the Paperwork R</w:t>
      </w:r>
      <w:r w:rsidRPr="00BB0A9A">
        <w:rPr>
          <w:rFonts w:ascii="Times New Roman" w:hAnsi="Times New Roman" w:cs="Times New Roman"/>
          <w:sz w:val="24"/>
          <w:szCs w:val="24"/>
        </w:rPr>
        <w:t xml:space="preserve">eduction Act submission.  Details pertaining to the exploratory interviews can be found in the supplementary documents of this Information Collection Review. </w:t>
      </w:r>
    </w:p>
    <w:p w:rsidR="00D72083" w:rsidRPr="00437176" w:rsidRDefault="00D72083" w:rsidP="003A4C2A">
      <w:pPr>
        <w:spacing w:after="120" w:line="240" w:lineRule="auto"/>
        <w:contextualSpacing/>
        <w:rPr>
          <w:rFonts w:ascii="Times New Roman" w:hAnsi="Times New Roman" w:cs="Times New Roman"/>
          <w:sz w:val="24"/>
          <w:szCs w:val="24"/>
        </w:rPr>
      </w:pPr>
    </w:p>
    <w:p w:rsidR="001072B6" w:rsidRPr="001072B6" w:rsidRDefault="001072B6" w:rsidP="00F3392E">
      <w:pPr>
        <w:pStyle w:val="ListParagraph"/>
        <w:numPr>
          <w:ilvl w:val="0"/>
          <w:numId w:val="1"/>
        </w:numPr>
        <w:spacing w:line="252" w:lineRule="auto"/>
        <w:ind w:left="360"/>
        <w:rPr>
          <w:rFonts w:ascii="Times New Roman" w:hAnsi="Times New Roman" w:cs="Times New Roman"/>
          <w:sz w:val="24"/>
          <w:szCs w:val="24"/>
        </w:rPr>
      </w:pPr>
      <w:r>
        <w:rPr>
          <w:rFonts w:ascii="Times New Roman" w:hAnsi="Times New Roman" w:cs="Times New Roman"/>
          <w:sz w:val="24"/>
          <w:szCs w:val="24"/>
          <w:u w:val="single"/>
        </w:rPr>
        <w:t>Contacts for Statistical Aspects and Data Collection</w:t>
      </w:r>
    </w:p>
    <w:p w:rsidR="001072B6" w:rsidRDefault="001072B6" w:rsidP="001072B6">
      <w:pPr>
        <w:pStyle w:val="ListParagraph"/>
        <w:spacing w:line="252" w:lineRule="auto"/>
        <w:ind w:left="360"/>
        <w:rPr>
          <w:rFonts w:ascii="Times New Roman" w:hAnsi="Times New Roman" w:cs="Times New Roman"/>
          <w:sz w:val="24"/>
          <w:szCs w:val="24"/>
        </w:rPr>
      </w:pPr>
    </w:p>
    <w:p w:rsidR="00D72083" w:rsidRDefault="00D72083" w:rsidP="001072B6">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Christopher A. Nicholas</w:t>
      </w:r>
    </w:p>
    <w:p w:rsidR="00D72083" w:rsidRDefault="00D72083" w:rsidP="00F3392E">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LESS Chief</w:t>
      </w:r>
    </w:p>
    <w:p w:rsidR="00D72083" w:rsidRDefault="0016302B" w:rsidP="00F3392E">
      <w:pPr>
        <w:pStyle w:val="ListParagraph"/>
        <w:spacing w:line="252" w:lineRule="auto"/>
        <w:ind w:left="360"/>
        <w:rPr>
          <w:rFonts w:ascii="Times New Roman" w:hAnsi="Times New Roman" w:cs="Times New Roman"/>
          <w:sz w:val="24"/>
          <w:szCs w:val="24"/>
        </w:rPr>
      </w:pPr>
      <w:hyperlink r:id="rId7" w:history="1">
        <w:r w:rsidR="00D72083" w:rsidRPr="00E60ACB">
          <w:rPr>
            <w:rStyle w:val="Hyperlink"/>
            <w:rFonts w:ascii="Times New Roman" w:hAnsi="Times New Roman" w:cs="Times New Roman"/>
            <w:sz w:val="24"/>
            <w:szCs w:val="24"/>
          </w:rPr>
          <w:t>christopher.nicholas@ic.fbi.gov</w:t>
        </w:r>
      </w:hyperlink>
    </w:p>
    <w:p w:rsidR="00D72083" w:rsidRDefault="00D72083" w:rsidP="00F3392E">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(304) 625-3690</w:t>
      </w:r>
    </w:p>
    <w:p w:rsidR="00815E3D" w:rsidRDefault="00815E3D" w:rsidP="00815E3D">
      <w:pPr>
        <w:pStyle w:val="ListParagraph"/>
        <w:tabs>
          <w:tab w:val="left" w:pos="1368"/>
        </w:tabs>
        <w:spacing w:line="252" w:lineRule="auto"/>
        <w:ind w:left="360"/>
        <w:rPr>
          <w:rFonts w:ascii="Times New Roman" w:hAnsi="Times New Roman" w:cs="Times New Roman"/>
          <w:sz w:val="24"/>
          <w:szCs w:val="24"/>
        </w:rPr>
      </w:pPr>
    </w:p>
    <w:p w:rsidR="001F1C00" w:rsidRPr="00815E3D" w:rsidRDefault="001F1C00" w:rsidP="00815E3D">
      <w:pPr>
        <w:pStyle w:val="ListParagraph"/>
        <w:tabs>
          <w:tab w:val="left" w:pos="1368"/>
        </w:tabs>
        <w:spacing w:line="252" w:lineRule="auto"/>
        <w:ind w:left="360"/>
        <w:rPr>
          <w:rFonts w:ascii="Times New Roman" w:hAnsi="Times New Roman" w:cs="Times New Roman"/>
          <w:sz w:val="24"/>
          <w:szCs w:val="24"/>
        </w:rPr>
      </w:pPr>
      <w:r w:rsidRPr="00815E3D">
        <w:rPr>
          <w:rFonts w:ascii="Times New Roman" w:hAnsi="Times New Roman" w:cs="Times New Roman"/>
          <w:sz w:val="24"/>
          <w:szCs w:val="24"/>
        </w:rPr>
        <w:t>Amy C. Blasher</w:t>
      </w:r>
    </w:p>
    <w:p w:rsidR="001F1C00" w:rsidRDefault="001F1C00" w:rsidP="00F3392E">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CSMU Chief</w:t>
      </w:r>
    </w:p>
    <w:p w:rsidR="001F1C00" w:rsidRDefault="0016302B" w:rsidP="00F3392E">
      <w:pPr>
        <w:pStyle w:val="ListParagraph"/>
        <w:spacing w:line="252" w:lineRule="auto"/>
        <w:ind w:left="360"/>
        <w:rPr>
          <w:rFonts w:ascii="Times New Roman" w:hAnsi="Times New Roman" w:cs="Times New Roman"/>
          <w:sz w:val="24"/>
          <w:szCs w:val="24"/>
        </w:rPr>
      </w:pPr>
      <w:hyperlink r:id="rId8" w:history="1">
        <w:r w:rsidR="001F1C00" w:rsidRPr="00E60ACB">
          <w:rPr>
            <w:rStyle w:val="Hyperlink"/>
            <w:rFonts w:ascii="Times New Roman" w:hAnsi="Times New Roman" w:cs="Times New Roman"/>
            <w:sz w:val="24"/>
            <w:szCs w:val="24"/>
          </w:rPr>
          <w:t>amy.blasher@ic.fbi.gov</w:t>
        </w:r>
      </w:hyperlink>
    </w:p>
    <w:p w:rsidR="001F1C00" w:rsidRDefault="001F1C00" w:rsidP="00F3392E">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(304) 625-4840</w:t>
      </w:r>
    </w:p>
    <w:p w:rsidR="001F1C00" w:rsidRDefault="001F1C00" w:rsidP="00F3392E">
      <w:pPr>
        <w:pStyle w:val="ListParagraph"/>
        <w:spacing w:line="252" w:lineRule="auto"/>
        <w:ind w:left="360"/>
        <w:rPr>
          <w:rFonts w:ascii="Times New Roman" w:hAnsi="Times New Roman" w:cs="Times New Roman"/>
          <w:sz w:val="24"/>
          <w:szCs w:val="24"/>
        </w:rPr>
      </w:pPr>
    </w:p>
    <w:p w:rsidR="001F1C00" w:rsidRDefault="00437176" w:rsidP="00F3392E">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Cynthia</w:t>
      </w:r>
      <w:r w:rsidR="00DE61A6">
        <w:rPr>
          <w:rFonts w:ascii="Times New Roman" w:hAnsi="Times New Roman" w:cs="Times New Roman"/>
          <w:sz w:val="24"/>
          <w:szCs w:val="24"/>
        </w:rPr>
        <w:t xml:space="preserve"> Barnett-Ryan</w:t>
      </w:r>
    </w:p>
    <w:p w:rsidR="001F1C00" w:rsidRDefault="001F1C00" w:rsidP="00F3392E">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Statistician</w:t>
      </w:r>
    </w:p>
    <w:p w:rsidR="001F1C00" w:rsidRDefault="0016302B" w:rsidP="00F3392E">
      <w:pPr>
        <w:pStyle w:val="ListParagraph"/>
        <w:spacing w:line="252" w:lineRule="auto"/>
        <w:ind w:left="360"/>
        <w:rPr>
          <w:rFonts w:ascii="Times New Roman" w:hAnsi="Times New Roman" w:cs="Times New Roman"/>
          <w:sz w:val="24"/>
          <w:szCs w:val="24"/>
        </w:rPr>
      </w:pPr>
      <w:hyperlink r:id="rId9" w:history="1">
        <w:r w:rsidR="00DE61A6" w:rsidRPr="0064614C">
          <w:rPr>
            <w:rStyle w:val="Hyperlink"/>
            <w:rFonts w:ascii="Times New Roman" w:hAnsi="Times New Roman" w:cs="Times New Roman"/>
            <w:sz w:val="24"/>
            <w:szCs w:val="24"/>
          </w:rPr>
          <w:t>cynthia.barnett-ryan@ic.fbi.gov</w:t>
        </w:r>
      </w:hyperlink>
    </w:p>
    <w:p w:rsidR="001F1C00" w:rsidRDefault="001F1C00" w:rsidP="00F3392E">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(304)</w:t>
      </w:r>
      <w:r w:rsidR="00DE61A6">
        <w:rPr>
          <w:rFonts w:ascii="Times New Roman" w:hAnsi="Times New Roman" w:cs="Times New Roman"/>
          <w:sz w:val="24"/>
          <w:szCs w:val="24"/>
        </w:rPr>
        <w:t xml:space="preserve"> 625-3576</w:t>
      </w:r>
    </w:p>
    <w:p w:rsidR="001F1C00" w:rsidRDefault="001F1C00" w:rsidP="00F3392E">
      <w:pPr>
        <w:pStyle w:val="ListParagraph"/>
        <w:spacing w:line="252" w:lineRule="auto"/>
        <w:ind w:left="360"/>
        <w:rPr>
          <w:rFonts w:ascii="Times New Roman" w:hAnsi="Times New Roman" w:cs="Times New Roman"/>
          <w:sz w:val="24"/>
          <w:szCs w:val="24"/>
        </w:rPr>
      </w:pPr>
    </w:p>
    <w:p w:rsidR="001F1C00" w:rsidRDefault="001F1C00" w:rsidP="00F3392E">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 xml:space="preserve">Kristi </w:t>
      </w:r>
      <w:r w:rsidR="00DE61A6">
        <w:rPr>
          <w:rFonts w:ascii="Times New Roman" w:hAnsi="Times New Roman" w:cs="Times New Roman"/>
          <w:sz w:val="24"/>
          <w:szCs w:val="24"/>
        </w:rPr>
        <w:t xml:space="preserve">L. </w:t>
      </w:r>
      <w:r>
        <w:rPr>
          <w:rFonts w:ascii="Times New Roman" w:hAnsi="Times New Roman" w:cs="Times New Roman"/>
          <w:sz w:val="24"/>
          <w:szCs w:val="24"/>
        </w:rPr>
        <w:t>Donahue</w:t>
      </w:r>
    </w:p>
    <w:p w:rsidR="001F1C00" w:rsidRDefault="001F1C00" w:rsidP="00F3392E">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Management/Program Analyst</w:t>
      </w:r>
    </w:p>
    <w:p w:rsidR="001F1C00" w:rsidRDefault="0016302B" w:rsidP="00F3392E">
      <w:pPr>
        <w:pStyle w:val="ListParagraph"/>
        <w:spacing w:line="252" w:lineRule="auto"/>
        <w:ind w:left="360"/>
        <w:rPr>
          <w:rFonts w:ascii="Times New Roman" w:hAnsi="Times New Roman" w:cs="Times New Roman"/>
          <w:sz w:val="24"/>
          <w:szCs w:val="24"/>
        </w:rPr>
      </w:pPr>
      <w:hyperlink r:id="rId10" w:history="1">
        <w:r w:rsidR="001F1C00" w:rsidRPr="00E60ACB">
          <w:rPr>
            <w:rStyle w:val="Hyperlink"/>
            <w:rFonts w:ascii="Times New Roman" w:hAnsi="Times New Roman" w:cs="Times New Roman"/>
            <w:sz w:val="24"/>
            <w:szCs w:val="24"/>
          </w:rPr>
          <w:t>kristi.donahue@ic.fbi.gov</w:t>
        </w:r>
      </w:hyperlink>
    </w:p>
    <w:p w:rsidR="001F1C00" w:rsidRDefault="001F1C00" w:rsidP="00F3392E">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(304) 625-2972</w:t>
      </w:r>
    </w:p>
    <w:p w:rsidR="008C72B5" w:rsidRPr="00315D7E" w:rsidRDefault="008C72B5" w:rsidP="00F3392E">
      <w:pPr>
        <w:pStyle w:val="ListParagraph"/>
        <w:spacing w:line="252" w:lineRule="auto"/>
        <w:ind w:left="360"/>
        <w:rPr>
          <w:rFonts w:ascii="Times New Roman" w:hAnsi="Times New Roman" w:cs="Times New Roman"/>
          <w:sz w:val="24"/>
          <w:szCs w:val="24"/>
        </w:rPr>
      </w:pPr>
    </w:p>
    <w:sectPr w:rsidR="008C72B5" w:rsidRPr="00315D7E" w:rsidSect="00A021A2">
      <w:footerReference w:type="default" r:id="rId11"/>
      <w:pgSz w:w="12240" w:h="15840"/>
      <w:pgMar w:top="1440" w:right="1440" w:bottom="1440" w:left="1440" w:header="720" w:footer="720" w:gutter="0"/>
      <w:pgNumType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1BE" w:rsidRDefault="000761BE" w:rsidP="000761BE">
      <w:pPr>
        <w:spacing w:after="0" w:line="240" w:lineRule="auto"/>
      </w:pPr>
      <w:r>
        <w:separator/>
      </w:r>
    </w:p>
  </w:endnote>
  <w:endnote w:type="continuationSeparator" w:id="0">
    <w:p w:rsidR="000761BE" w:rsidRDefault="000761BE" w:rsidP="0007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635447"/>
      <w:docPartObj>
        <w:docPartGallery w:val="Page Numbers (Bottom of Page)"/>
        <w:docPartUnique/>
      </w:docPartObj>
    </w:sdtPr>
    <w:sdtEndPr>
      <w:rPr>
        <w:noProof/>
      </w:rPr>
    </w:sdtEndPr>
    <w:sdtContent>
      <w:p w:rsidR="000761BE" w:rsidRDefault="000761BE">
        <w:pPr>
          <w:pStyle w:val="Footer"/>
          <w:jc w:val="center"/>
        </w:pPr>
        <w:r>
          <w:fldChar w:fldCharType="begin"/>
        </w:r>
        <w:r>
          <w:instrText xml:space="preserve"> PAGE   \* MERGEFORMAT </w:instrText>
        </w:r>
        <w:r>
          <w:fldChar w:fldCharType="separate"/>
        </w:r>
        <w:r w:rsidR="0016302B">
          <w:rPr>
            <w:noProof/>
          </w:rPr>
          <w:t>22</w:t>
        </w:r>
        <w:r>
          <w:rPr>
            <w:noProof/>
          </w:rPr>
          <w:fldChar w:fldCharType="end"/>
        </w:r>
      </w:p>
    </w:sdtContent>
  </w:sdt>
  <w:p w:rsidR="000761BE" w:rsidRDefault="00076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1BE" w:rsidRDefault="000761BE" w:rsidP="000761BE">
      <w:pPr>
        <w:spacing w:after="0" w:line="240" w:lineRule="auto"/>
      </w:pPr>
      <w:r>
        <w:separator/>
      </w:r>
    </w:p>
  </w:footnote>
  <w:footnote w:type="continuationSeparator" w:id="0">
    <w:p w:rsidR="000761BE" w:rsidRDefault="000761BE" w:rsidP="000761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350A0"/>
    <w:multiLevelType w:val="hybridMultilevel"/>
    <w:tmpl w:val="A5682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109B0"/>
    <w:multiLevelType w:val="hybridMultilevel"/>
    <w:tmpl w:val="A9304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212949"/>
    <w:multiLevelType w:val="hybridMultilevel"/>
    <w:tmpl w:val="444EE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2851A8"/>
    <w:multiLevelType w:val="hybridMultilevel"/>
    <w:tmpl w:val="A23C8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264A15"/>
    <w:multiLevelType w:val="hybridMultilevel"/>
    <w:tmpl w:val="8EFA7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ED7151"/>
    <w:multiLevelType w:val="hybridMultilevel"/>
    <w:tmpl w:val="1C8C65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6E480CAD"/>
    <w:multiLevelType w:val="hybridMultilevel"/>
    <w:tmpl w:val="FF644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52"/>
    <w:rsid w:val="0001350E"/>
    <w:rsid w:val="0006183F"/>
    <w:rsid w:val="000761BE"/>
    <w:rsid w:val="00076204"/>
    <w:rsid w:val="000A0157"/>
    <w:rsid w:val="000B4056"/>
    <w:rsid w:val="00105CFB"/>
    <w:rsid w:val="001072B6"/>
    <w:rsid w:val="00111250"/>
    <w:rsid w:val="00117D9F"/>
    <w:rsid w:val="00125CD7"/>
    <w:rsid w:val="0016302B"/>
    <w:rsid w:val="001743FC"/>
    <w:rsid w:val="00176AE9"/>
    <w:rsid w:val="001A1D12"/>
    <w:rsid w:val="001A5770"/>
    <w:rsid w:val="001E5C22"/>
    <w:rsid w:val="001F1C00"/>
    <w:rsid w:val="001F6640"/>
    <w:rsid w:val="00204A0D"/>
    <w:rsid w:val="00240E8A"/>
    <w:rsid w:val="00244F5C"/>
    <w:rsid w:val="0030134B"/>
    <w:rsid w:val="00315D7E"/>
    <w:rsid w:val="0032562B"/>
    <w:rsid w:val="003A4C2A"/>
    <w:rsid w:val="003F6232"/>
    <w:rsid w:val="003F7498"/>
    <w:rsid w:val="00423012"/>
    <w:rsid w:val="004330E3"/>
    <w:rsid w:val="00437176"/>
    <w:rsid w:val="0047007E"/>
    <w:rsid w:val="004743E3"/>
    <w:rsid w:val="00476CD5"/>
    <w:rsid w:val="004826DA"/>
    <w:rsid w:val="004B45E9"/>
    <w:rsid w:val="004D131B"/>
    <w:rsid w:val="004D3A78"/>
    <w:rsid w:val="005223B9"/>
    <w:rsid w:val="0057561B"/>
    <w:rsid w:val="00575C1D"/>
    <w:rsid w:val="005F46DB"/>
    <w:rsid w:val="006057CB"/>
    <w:rsid w:val="006606C3"/>
    <w:rsid w:val="006729F2"/>
    <w:rsid w:val="006B6DEF"/>
    <w:rsid w:val="006D14F7"/>
    <w:rsid w:val="007D0C3D"/>
    <w:rsid w:val="00803E85"/>
    <w:rsid w:val="00815E3D"/>
    <w:rsid w:val="00825092"/>
    <w:rsid w:val="00861424"/>
    <w:rsid w:val="00874855"/>
    <w:rsid w:val="008C72B5"/>
    <w:rsid w:val="008F6690"/>
    <w:rsid w:val="00936DF1"/>
    <w:rsid w:val="00951EDE"/>
    <w:rsid w:val="00954048"/>
    <w:rsid w:val="009565A7"/>
    <w:rsid w:val="009A1D8D"/>
    <w:rsid w:val="009E24D0"/>
    <w:rsid w:val="009F270E"/>
    <w:rsid w:val="009F61C8"/>
    <w:rsid w:val="00A021A2"/>
    <w:rsid w:val="00A1735A"/>
    <w:rsid w:val="00A8475B"/>
    <w:rsid w:val="00A92F3B"/>
    <w:rsid w:val="00AA06DC"/>
    <w:rsid w:val="00AC5BC9"/>
    <w:rsid w:val="00BA0127"/>
    <w:rsid w:val="00BB0A9A"/>
    <w:rsid w:val="00BB1F78"/>
    <w:rsid w:val="00C5212D"/>
    <w:rsid w:val="00D14B24"/>
    <w:rsid w:val="00D405AF"/>
    <w:rsid w:val="00D72083"/>
    <w:rsid w:val="00DA5579"/>
    <w:rsid w:val="00DD7D8C"/>
    <w:rsid w:val="00DE61A6"/>
    <w:rsid w:val="00EA4928"/>
    <w:rsid w:val="00EC1727"/>
    <w:rsid w:val="00ED235F"/>
    <w:rsid w:val="00EE5024"/>
    <w:rsid w:val="00EF003C"/>
    <w:rsid w:val="00EF647C"/>
    <w:rsid w:val="00F01F6C"/>
    <w:rsid w:val="00F04221"/>
    <w:rsid w:val="00F04AC2"/>
    <w:rsid w:val="00F21EEC"/>
    <w:rsid w:val="00F261B5"/>
    <w:rsid w:val="00F3392E"/>
    <w:rsid w:val="00F459E7"/>
    <w:rsid w:val="00F84A2A"/>
    <w:rsid w:val="00FA36E7"/>
    <w:rsid w:val="00FB3752"/>
    <w:rsid w:val="00FB5715"/>
    <w:rsid w:val="00FC110C"/>
    <w:rsid w:val="00FC6C02"/>
    <w:rsid w:val="00FE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C18EC-1554-40A4-8D8B-B8ADFF89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52"/>
    <w:pPr>
      <w:ind w:left="720"/>
      <w:contextualSpacing/>
    </w:pPr>
  </w:style>
  <w:style w:type="character" w:styleId="Hyperlink">
    <w:name w:val="Hyperlink"/>
    <w:basedOn w:val="DefaultParagraphFont"/>
    <w:uiPriority w:val="99"/>
    <w:unhideWhenUsed/>
    <w:rsid w:val="00D72083"/>
    <w:rPr>
      <w:color w:val="0563C1" w:themeColor="hyperlink"/>
      <w:u w:val="single"/>
    </w:rPr>
  </w:style>
  <w:style w:type="paragraph" w:styleId="Header">
    <w:name w:val="header"/>
    <w:basedOn w:val="Normal"/>
    <w:link w:val="HeaderChar"/>
    <w:uiPriority w:val="99"/>
    <w:unhideWhenUsed/>
    <w:rsid w:val="00076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1BE"/>
  </w:style>
  <w:style w:type="paragraph" w:styleId="Footer">
    <w:name w:val="footer"/>
    <w:basedOn w:val="Normal"/>
    <w:link w:val="FooterChar"/>
    <w:uiPriority w:val="99"/>
    <w:unhideWhenUsed/>
    <w:rsid w:val="00076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1BE"/>
  </w:style>
  <w:style w:type="character" w:styleId="CommentReference">
    <w:name w:val="annotation reference"/>
    <w:basedOn w:val="DefaultParagraphFont"/>
    <w:uiPriority w:val="99"/>
    <w:semiHidden/>
    <w:unhideWhenUsed/>
    <w:rsid w:val="0030134B"/>
    <w:rPr>
      <w:sz w:val="16"/>
      <w:szCs w:val="16"/>
    </w:rPr>
  </w:style>
  <w:style w:type="paragraph" w:styleId="CommentText">
    <w:name w:val="annotation text"/>
    <w:basedOn w:val="Normal"/>
    <w:link w:val="CommentTextChar"/>
    <w:uiPriority w:val="99"/>
    <w:semiHidden/>
    <w:unhideWhenUsed/>
    <w:rsid w:val="0030134B"/>
    <w:pPr>
      <w:spacing w:line="240" w:lineRule="auto"/>
    </w:pPr>
    <w:rPr>
      <w:sz w:val="20"/>
      <w:szCs w:val="20"/>
    </w:rPr>
  </w:style>
  <w:style w:type="character" w:customStyle="1" w:styleId="CommentTextChar">
    <w:name w:val="Comment Text Char"/>
    <w:basedOn w:val="DefaultParagraphFont"/>
    <w:link w:val="CommentText"/>
    <w:uiPriority w:val="99"/>
    <w:semiHidden/>
    <w:rsid w:val="0030134B"/>
    <w:rPr>
      <w:sz w:val="20"/>
      <w:szCs w:val="20"/>
    </w:rPr>
  </w:style>
  <w:style w:type="paragraph" w:styleId="CommentSubject">
    <w:name w:val="annotation subject"/>
    <w:basedOn w:val="CommentText"/>
    <w:next w:val="CommentText"/>
    <w:link w:val="CommentSubjectChar"/>
    <w:uiPriority w:val="99"/>
    <w:semiHidden/>
    <w:unhideWhenUsed/>
    <w:rsid w:val="0030134B"/>
    <w:rPr>
      <w:b/>
      <w:bCs/>
    </w:rPr>
  </w:style>
  <w:style w:type="character" w:customStyle="1" w:styleId="CommentSubjectChar">
    <w:name w:val="Comment Subject Char"/>
    <w:basedOn w:val="CommentTextChar"/>
    <w:link w:val="CommentSubject"/>
    <w:uiPriority w:val="99"/>
    <w:semiHidden/>
    <w:rsid w:val="0030134B"/>
    <w:rPr>
      <w:b/>
      <w:bCs/>
      <w:sz w:val="20"/>
      <w:szCs w:val="20"/>
    </w:rPr>
  </w:style>
  <w:style w:type="paragraph" w:styleId="BalloonText">
    <w:name w:val="Balloon Text"/>
    <w:basedOn w:val="Normal"/>
    <w:link w:val="BalloonTextChar"/>
    <w:uiPriority w:val="99"/>
    <w:semiHidden/>
    <w:unhideWhenUsed/>
    <w:rsid w:val="00301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blasher@ic.fbi.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opher.nicholas@ic.fbi.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risti.donahue@ic.fbi.gov" TargetMode="External"/><Relationship Id="rId4" Type="http://schemas.openxmlformats.org/officeDocument/2006/relationships/webSettings" Target="webSettings.xml"/><Relationship Id="rId9" Type="http://schemas.openxmlformats.org/officeDocument/2006/relationships/hyperlink" Target="mailto:cynthia.barnett-ryan@ic.fb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3228</Words>
  <Characters>18403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Donahue, Kristi L. (CJIS) (FBI)</cp:lastModifiedBy>
  <cp:revision>4</cp:revision>
  <cp:lastPrinted>2017-05-23T16:25:00Z</cp:lastPrinted>
  <dcterms:created xsi:type="dcterms:W3CDTF">2017-05-18T13:55:00Z</dcterms:created>
  <dcterms:modified xsi:type="dcterms:W3CDTF">2017-06-06T16:14:00Z</dcterms:modified>
</cp:coreProperties>
</file>