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9E7E5" w14:textId="0F2FD934" w:rsidR="009417B0" w:rsidRDefault="009417B0" w:rsidP="00364C6B">
      <w:pPr>
        <w:pStyle w:val="Heading1"/>
        <w:pBdr>
          <w:bottom w:val="none" w:sz="0" w:space="0" w:color="auto"/>
        </w:pBdr>
        <w:spacing w:before="0" w:after="0"/>
        <w:jc w:val="center"/>
        <w:rPr>
          <w:rFonts w:ascii="Times New Roman" w:hAnsi="Times New Roman"/>
          <w:b/>
          <w:caps w:val="0"/>
          <w:spacing w:val="-1"/>
          <w:sz w:val="32"/>
          <w:szCs w:val="32"/>
        </w:rPr>
      </w:pPr>
      <w:bookmarkStart w:id="0" w:name="_bookmark0"/>
      <w:bookmarkEnd w:id="0"/>
      <w:r w:rsidRPr="00937327">
        <w:rPr>
          <w:rFonts w:ascii="Times New Roman" w:hAnsi="Times New Roman"/>
          <w:b/>
          <w:caps w:val="0"/>
          <w:sz w:val="32"/>
          <w:szCs w:val="32"/>
        </w:rPr>
        <w:t>Supporting Statement</w:t>
      </w:r>
      <w:r>
        <w:rPr>
          <w:rFonts w:ascii="Times New Roman" w:hAnsi="Times New Roman"/>
          <w:b/>
          <w:caps w:val="0"/>
          <w:sz w:val="32"/>
          <w:szCs w:val="32"/>
        </w:rPr>
        <w:t>,</w:t>
      </w:r>
      <w:r w:rsidRPr="00937327">
        <w:rPr>
          <w:rFonts w:ascii="Times New Roman" w:hAnsi="Times New Roman"/>
          <w:b/>
          <w:caps w:val="0"/>
          <w:sz w:val="32"/>
          <w:szCs w:val="32"/>
        </w:rPr>
        <w:t xml:space="preserve"> Part A</w:t>
      </w:r>
    </w:p>
    <w:p w14:paraId="08E23B20" w14:textId="77777777" w:rsidR="009417B0" w:rsidRDefault="009417B0" w:rsidP="00364C6B">
      <w:pPr>
        <w:pStyle w:val="Heading1"/>
        <w:pBdr>
          <w:bottom w:val="none" w:sz="0" w:space="0" w:color="auto"/>
        </w:pBdr>
        <w:spacing w:before="0" w:after="0"/>
        <w:jc w:val="center"/>
        <w:rPr>
          <w:rFonts w:ascii="Times New Roman" w:hAnsi="Times New Roman"/>
          <w:b/>
          <w:caps w:val="0"/>
          <w:spacing w:val="-1"/>
          <w:sz w:val="32"/>
          <w:szCs w:val="32"/>
        </w:rPr>
      </w:pPr>
    </w:p>
    <w:p w14:paraId="7EE1CC52" w14:textId="49398C67" w:rsidR="00364C6B" w:rsidRDefault="00937327" w:rsidP="00364C6B">
      <w:pPr>
        <w:pStyle w:val="Heading1"/>
        <w:pBdr>
          <w:bottom w:val="none" w:sz="0" w:space="0" w:color="auto"/>
        </w:pBdr>
        <w:spacing w:before="0" w:after="0"/>
        <w:jc w:val="center"/>
        <w:rPr>
          <w:rFonts w:ascii="Times New Roman" w:hAnsi="Times New Roman"/>
          <w:b/>
          <w:caps w:val="0"/>
          <w:sz w:val="32"/>
          <w:szCs w:val="32"/>
        </w:rPr>
      </w:pPr>
      <w:r w:rsidRPr="00937327">
        <w:rPr>
          <w:rFonts w:ascii="Times New Roman" w:hAnsi="Times New Roman"/>
          <w:b/>
          <w:caps w:val="0"/>
          <w:sz w:val="32"/>
          <w:szCs w:val="32"/>
        </w:rPr>
        <w:t>Evaluatin</w:t>
      </w:r>
      <w:r w:rsidR="009D385A">
        <w:rPr>
          <w:rFonts w:ascii="Times New Roman" w:hAnsi="Times New Roman"/>
          <w:b/>
          <w:caps w:val="0"/>
          <w:sz w:val="32"/>
          <w:szCs w:val="32"/>
        </w:rPr>
        <w:t>g a Pilot Mobile Health Program</w:t>
      </w:r>
    </w:p>
    <w:p w14:paraId="1CAAC1DE" w14:textId="6C34DB7E" w:rsidR="00364C6B" w:rsidRPr="00364C6B" w:rsidRDefault="00364C6B" w:rsidP="00364C6B">
      <w:pPr>
        <w:pStyle w:val="NormalSS"/>
        <w:jc w:val="center"/>
      </w:pPr>
      <w:r>
        <w:rPr>
          <w:b/>
          <w:sz w:val="32"/>
          <w:szCs w:val="32"/>
        </w:rPr>
        <w:t>CMS-10634, OMB 0938-TBD (New)</w:t>
      </w:r>
    </w:p>
    <w:p w14:paraId="6C50F826" w14:textId="7BFBCE22" w:rsidR="006F01AA" w:rsidRPr="00D535C4" w:rsidRDefault="00302995" w:rsidP="00D535C4">
      <w:pPr>
        <w:pStyle w:val="NormalSS"/>
        <w:ind w:firstLine="0"/>
        <w:jc w:val="center"/>
        <w:rPr>
          <w:sz w:val="32"/>
          <w:szCs w:val="32"/>
        </w:rPr>
      </w:pPr>
      <w:r>
        <w:rPr>
          <w:sz w:val="32"/>
          <w:szCs w:val="32"/>
        </w:rPr>
        <w:t xml:space="preserve">August </w:t>
      </w:r>
      <w:r w:rsidR="00DF5D6D">
        <w:rPr>
          <w:sz w:val="32"/>
          <w:szCs w:val="32"/>
        </w:rPr>
        <w:t>2016</w:t>
      </w:r>
    </w:p>
    <w:p w14:paraId="794CADFB" w14:textId="77777777" w:rsidR="006F01AA" w:rsidRDefault="006F01AA">
      <w:pPr>
        <w:jc w:val="center"/>
        <w:sectPr w:rsidR="006F01AA" w:rsidSect="00A94C6B">
          <w:headerReference w:type="default" r:id="rId8"/>
          <w:footerReference w:type="default" r:id="rId9"/>
          <w:type w:val="continuous"/>
          <w:pgSz w:w="12240" w:h="15840" w:code="1"/>
          <w:pgMar w:top="1440" w:right="1440" w:bottom="1440" w:left="1440" w:header="720" w:footer="720" w:gutter="0"/>
          <w:cols w:space="720"/>
          <w:titlePg/>
          <w:docGrid w:linePitch="326"/>
        </w:sectPr>
      </w:pPr>
    </w:p>
    <w:p w14:paraId="2516141F" w14:textId="77777777" w:rsidR="006F01AA" w:rsidRPr="00D535C4" w:rsidRDefault="007E246F" w:rsidP="00937327">
      <w:pPr>
        <w:pStyle w:val="NormalSS"/>
        <w:spacing w:before="3360"/>
        <w:ind w:firstLine="0"/>
        <w:jc w:val="center"/>
        <w:rPr>
          <w:b/>
          <w:bCs/>
        </w:rPr>
      </w:pPr>
      <w:r w:rsidRPr="00D535C4">
        <w:rPr>
          <w:b/>
          <w:bCs/>
        </w:rPr>
        <w:lastRenderedPageBreak/>
        <w:t>This page left</w:t>
      </w:r>
      <w:r w:rsidRPr="00D535C4">
        <w:rPr>
          <w:b/>
          <w:bCs/>
          <w:spacing w:val="-4"/>
        </w:rPr>
        <w:t xml:space="preserve"> </w:t>
      </w:r>
      <w:r w:rsidRPr="00D535C4">
        <w:rPr>
          <w:b/>
          <w:bCs/>
        </w:rPr>
        <w:t>blank for</w:t>
      </w:r>
      <w:r w:rsidRPr="00D535C4">
        <w:rPr>
          <w:b/>
          <w:bCs/>
          <w:spacing w:val="-4"/>
        </w:rPr>
        <w:t xml:space="preserve"> </w:t>
      </w:r>
      <w:r w:rsidRPr="00D535C4">
        <w:rPr>
          <w:b/>
          <w:bCs/>
        </w:rPr>
        <w:t>double-sided copying.</w:t>
      </w:r>
    </w:p>
    <w:p w14:paraId="5B0EB0F7" w14:textId="77777777" w:rsidR="006F01AA" w:rsidRDefault="006F01AA">
      <w:pPr>
        <w:sectPr w:rsidR="006F01AA" w:rsidSect="007B5951">
          <w:footerReference w:type="default" r:id="rId10"/>
          <w:pgSz w:w="12240" w:h="15840" w:code="1"/>
          <w:pgMar w:top="1440" w:right="1440" w:bottom="1440" w:left="1440" w:header="720" w:footer="720" w:gutter="0"/>
          <w:cols w:space="720"/>
        </w:sectPr>
      </w:pPr>
    </w:p>
    <w:p w14:paraId="029271EA" w14:textId="68B43B00" w:rsidR="00FD146C" w:rsidRDefault="00FD146C" w:rsidP="00942E46">
      <w:pPr>
        <w:pStyle w:val="H2Chapter"/>
      </w:pPr>
      <w:bookmarkStart w:id="1" w:name="_Toc426101425"/>
      <w:r>
        <w:lastRenderedPageBreak/>
        <w:t>CONTENTS</w:t>
      </w:r>
      <w:bookmarkEnd w:id="1"/>
    </w:p>
    <w:p w14:paraId="0658E240" w14:textId="7B8BC47E" w:rsidR="00942E46" w:rsidRDefault="00942E46">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sidRPr="00780732">
        <w:rPr>
          <w:noProof/>
          <w:spacing w:val="-1"/>
        </w:rPr>
        <w:t>OMB</w:t>
      </w:r>
      <w:r w:rsidRPr="00780732">
        <w:rPr>
          <w:noProof/>
          <w:spacing w:val="2"/>
        </w:rPr>
        <w:t xml:space="preserve"> </w:t>
      </w:r>
      <w:r>
        <w:rPr>
          <w:noProof/>
        </w:rPr>
        <w:t>SUPPORTING</w:t>
      </w:r>
      <w:r w:rsidRPr="00780732">
        <w:rPr>
          <w:noProof/>
          <w:spacing w:val="-3"/>
        </w:rPr>
        <w:t xml:space="preserve"> </w:t>
      </w:r>
      <w:r w:rsidRPr="00780732">
        <w:rPr>
          <w:noProof/>
          <w:spacing w:val="-1"/>
        </w:rPr>
        <w:t>STATEMENT</w:t>
      </w:r>
      <w:r>
        <w:rPr>
          <w:noProof/>
        </w:rPr>
        <w:t xml:space="preserve"> </w:t>
      </w:r>
      <w:r w:rsidRPr="00780732">
        <w:rPr>
          <w:noProof/>
          <w:spacing w:val="-1"/>
        </w:rPr>
        <w:t>PART</w:t>
      </w:r>
      <w:r w:rsidRPr="00780732">
        <w:rPr>
          <w:noProof/>
          <w:spacing w:val="-3"/>
        </w:rPr>
        <w:t xml:space="preserve"> </w:t>
      </w:r>
      <w:r>
        <w:rPr>
          <w:noProof/>
        </w:rPr>
        <w:t>A</w:t>
      </w:r>
      <w:r w:rsidRPr="00780732">
        <w:rPr>
          <w:noProof/>
          <w:spacing w:val="2"/>
        </w:rPr>
        <w:t xml:space="preserve"> </w:t>
      </w:r>
      <w:r w:rsidRPr="00780732">
        <w:rPr>
          <w:noProof/>
          <w:spacing w:val="-1"/>
        </w:rPr>
        <w:t>FOR</w:t>
      </w:r>
      <w:r w:rsidRPr="00780732">
        <w:rPr>
          <w:noProof/>
          <w:spacing w:val="2"/>
        </w:rPr>
        <w:t xml:space="preserve"> </w:t>
      </w:r>
      <w:r>
        <w:rPr>
          <w:noProof/>
        </w:rPr>
        <w:t>EVALUATING A PILOT MOBILE HEALTH PROGRAM</w:t>
      </w:r>
      <w:r>
        <w:rPr>
          <w:noProof/>
          <w:webHidden/>
        </w:rPr>
        <w:tab/>
      </w:r>
      <w:r>
        <w:rPr>
          <w:noProof/>
          <w:webHidden/>
        </w:rPr>
        <w:fldChar w:fldCharType="begin"/>
      </w:r>
      <w:r>
        <w:rPr>
          <w:noProof/>
          <w:webHidden/>
        </w:rPr>
        <w:instrText xml:space="preserve"> PAGEREF _Toc426101426 \h </w:instrText>
      </w:r>
      <w:r>
        <w:rPr>
          <w:noProof/>
          <w:webHidden/>
        </w:rPr>
      </w:r>
      <w:r>
        <w:rPr>
          <w:noProof/>
          <w:webHidden/>
        </w:rPr>
        <w:fldChar w:fldCharType="separate"/>
      </w:r>
      <w:r w:rsidR="00E444E2">
        <w:rPr>
          <w:noProof/>
          <w:webHidden/>
        </w:rPr>
        <w:t>1</w:t>
      </w:r>
      <w:r>
        <w:rPr>
          <w:noProof/>
          <w:webHidden/>
        </w:rPr>
        <w:fldChar w:fldCharType="end"/>
      </w:r>
    </w:p>
    <w:p w14:paraId="1AEC6374" w14:textId="77777777" w:rsidR="00942E46" w:rsidRDefault="00942E46">
      <w:pPr>
        <w:pStyle w:val="TOC2"/>
        <w:rPr>
          <w:rFonts w:asciiTheme="minorHAnsi" w:eastAsiaTheme="minorEastAsia" w:hAnsiTheme="minorHAnsi" w:cstheme="minorBidi"/>
          <w:sz w:val="22"/>
          <w:szCs w:val="22"/>
        </w:rPr>
      </w:pPr>
      <w:r w:rsidRPr="00780732">
        <w:rPr>
          <w:rFonts w:eastAsia="Arial Black"/>
        </w:rPr>
        <w:t>A.</w:t>
      </w:r>
      <w:r>
        <w:rPr>
          <w:rFonts w:asciiTheme="minorHAnsi" w:eastAsiaTheme="minorEastAsia" w:hAnsiTheme="minorHAnsi" w:cstheme="minorBidi"/>
          <w:sz w:val="22"/>
          <w:szCs w:val="22"/>
        </w:rPr>
        <w:tab/>
      </w:r>
      <w:r w:rsidRPr="00780732">
        <w:rPr>
          <w:rFonts w:eastAsia="Arial Black"/>
        </w:rPr>
        <w:t>Background</w:t>
      </w:r>
      <w:r>
        <w:rPr>
          <w:webHidden/>
        </w:rPr>
        <w:tab/>
      </w:r>
      <w:r>
        <w:rPr>
          <w:webHidden/>
        </w:rPr>
        <w:fldChar w:fldCharType="begin"/>
      </w:r>
      <w:r>
        <w:rPr>
          <w:webHidden/>
        </w:rPr>
        <w:instrText xml:space="preserve"> PAGEREF _Toc426101427 \h </w:instrText>
      </w:r>
      <w:r>
        <w:rPr>
          <w:webHidden/>
        </w:rPr>
      </w:r>
      <w:r>
        <w:rPr>
          <w:webHidden/>
        </w:rPr>
        <w:fldChar w:fldCharType="separate"/>
      </w:r>
      <w:r w:rsidR="00E444E2">
        <w:rPr>
          <w:webHidden/>
        </w:rPr>
        <w:t>1</w:t>
      </w:r>
      <w:r>
        <w:rPr>
          <w:webHidden/>
        </w:rPr>
        <w:fldChar w:fldCharType="end"/>
      </w:r>
    </w:p>
    <w:p w14:paraId="79B02770" w14:textId="77777777" w:rsidR="00942E46" w:rsidRDefault="00942E46">
      <w:pPr>
        <w:pStyle w:val="TOC3"/>
        <w:rPr>
          <w:rFonts w:asciiTheme="minorHAnsi" w:eastAsiaTheme="minorEastAsia" w:hAnsiTheme="minorHAnsi" w:cstheme="minorBidi"/>
          <w:sz w:val="22"/>
          <w:szCs w:val="22"/>
        </w:rPr>
      </w:pPr>
      <w:r w:rsidRPr="00780732">
        <w:rPr>
          <w:rFonts w:eastAsia="Arial Black"/>
        </w:rPr>
        <w:t>1.</w:t>
      </w:r>
      <w:r>
        <w:rPr>
          <w:rFonts w:asciiTheme="minorHAnsi" w:eastAsiaTheme="minorEastAsia" w:hAnsiTheme="minorHAnsi" w:cstheme="minorBidi"/>
          <w:sz w:val="22"/>
          <w:szCs w:val="22"/>
        </w:rPr>
        <w:tab/>
      </w:r>
      <w:r w:rsidRPr="00780732">
        <w:rPr>
          <w:rFonts w:eastAsia="Arial Black"/>
        </w:rPr>
        <w:t>Overview of a pilot mobile health program</w:t>
      </w:r>
      <w:r>
        <w:rPr>
          <w:webHidden/>
        </w:rPr>
        <w:tab/>
      </w:r>
      <w:r>
        <w:rPr>
          <w:webHidden/>
        </w:rPr>
        <w:fldChar w:fldCharType="begin"/>
      </w:r>
      <w:r>
        <w:rPr>
          <w:webHidden/>
        </w:rPr>
        <w:instrText xml:space="preserve"> PAGEREF _Toc426101428 \h </w:instrText>
      </w:r>
      <w:r>
        <w:rPr>
          <w:webHidden/>
        </w:rPr>
      </w:r>
      <w:r>
        <w:rPr>
          <w:webHidden/>
        </w:rPr>
        <w:fldChar w:fldCharType="separate"/>
      </w:r>
      <w:r w:rsidR="00E444E2">
        <w:rPr>
          <w:webHidden/>
        </w:rPr>
        <w:t>1</w:t>
      </w:r>
      <w:r>
        <w:rPr>
          <w:webHidden/>
        </w:rPr>
        <w:fldChar w:fldCharType="end"/>
      </w:r>
    </w:p>
    <w:p w14:paraId="75E5ECC5" w14:textId="77777777" w:rsidR="00942E46" w:rsidRDefault="00942E46">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Need for evaluation of a pilot mHealth program</w:t>
      </w:r>
      <w:r>
        <w:rPr>
          <w:webHidden/>
        </w:rPr>
        <w:tab/>
      </w:r>
      <w:r>
        <w:rPr>
          <w:webHidden/>
        </w:rPr>
        <w:fldChar w:fldCharType="begin"/>
      </w:r>
      <w:r>
        <w:rPr>
          <w:webHidden/>
        </w:rPr>
        <w:instrText xml:space="preserve"> PAGEREF _Toc426101429 \h </w:instrText>
      </w:r>
      <w:r>
        <w:rPr>
          <w:webHidden/>
        </w:rPr>
      </w:r>
      <w:r>
        <w:rPr>
          <w:webHidden/>
        </w:rPr>
        <w:fldChar w:fldCharType="separate"/>
      </w:r>
      <w:r w:rsidR="00E444E2">
        <w:rPr>
          <w:webHidden/>
        </w:rPr>
        <w:t>1</w:t>
      </w:r>
      <w:r>
        <w:rPr>
          <w:webHidden/>
        </w:rPr>
        <w:fldChar w:fldCharType="end"/>
      </w:r>
    </w:p>
    <w:p w14:paraId="10B92FCA" w14:textId="77777777" w:rsidR="00942E46" w:rsidRDefault="00942E46">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Data collection activities under the evaluation of a pilot mHealth program</w:t>
      </w:r>
      <w:r>
        <w:rPr>
          <w:webHidden/>
        </w:rPr>
        <w:tab/>
      </w:r>
      <w:r>
        <w:rPr>
          <w:webHidden/>
        </w:rPr>
        <w:fldChar w:fldCharType="begin"/>
      </w:r>
      <w:r>
        <w:rPr>
          <w:webHidden/>
        </w:rPr>
        <w:instrText xml:space="preserve"> PAGEREF _Toc426101430 \h </w:instrText>
      </w:r>
      <w:r>
        <w:rPr>
          <w:webHidden/>
        </w:rPr>
      </w:r>
      <w:r>
        <w:rPr>
          <w:webHidden/>
        </w:rPr>
        <w:fldChar w:fldCharType="separate"/>
      </w:r>
      <w:r w:rsidR="00E444E2">
        <w:rPr>
          <w:webHidden/>
        </w:rPr>
        <w:t>2</w:t>
      </w:r>
      <w:r>
        <w:rPr>
          <w:webHidden/>
        </w:rPr>
        <w:fldChar w:fldCharType="end"/>
      </w:r>
    </w:p>
    <w:p w14:paraId="2B6B135A" w14:textId="77777777" w:rsidR="00942E46" w:rsidRDefault="00942E46">
      <w:pPr>
        <w:pStyle w:val="TOC2"/>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Justification</w:t>
      </w:r>
      <w:r>
        <w:rPr>
          <w:webHidden/>
        </w:rPr>
        <w:tab/>
      </w:r>
      <w:r>
        <w:rPr>
          <w:webHidden/>
        </w:rPr>
        <w:fldChar w:fldCharType="begin"/>
      </w:r>
      <w:r>
        <w:rPr>
          <w:webHidden/>
        </w:rPr>
        <w:instrText xml:space="preserve"> PAGEREF _Toc426101431 \h </w:instrText>
      </w:r>
      <w:r>
        <w:rPr>
          <w:webHidden/>
        </w:rPr>
      </w:r>
      <w:r>
        <w:rPr>
          <w:webHidden/>
        </w:rPr>
        <w:fldChar w:fldCharType="separate"/>
      </w:r>
      <w:r w:rsidR="00E444E2">
        <w:rPr>
          <w:webHidden/>
        </w:rPr>
        <w:t>3</w:t>
      </w:r>
      <w:r>
        <w:rPr>
          <w:webHidden/>
        </w:rPr>
        <w:fldChar w:fldCharType="end"/>
      </w:r>
    </w:p>
    <w:p w14:paraId="45D23BA9" w14:textId="77777777" w:rsidR="00942E46" w:rsidRDefault="00942E46">
      <w:pPr>
        <w:pStyle w:val="TOC3"/>
        <w:rPr>
          <w:rFonts w:asciiTheme="minorHAnsi" w:eastAsiaTheme="minorEastAsia" w:hAnsiTheme="minorHAnsi" w:cstheme="minorBidi"/>
          <w:sz w:val="22"/>
          <w:szCs w:val="22"/>
        </w:rPr>
      </w:pPr>
      <w:r w:rsidRPr="00780732">
        <w:rPr>
          <w:u w:color="000000"/>
        </w:rPr>
        <w:t>1.</w:t>
      </w:r>
      <w:r>
        <w:rPr>
          <w:rFonts w:asciiTheme="minorHAnsi" w:eastAsiaTheme="minorEastAsia" w:hAnsiTheme="minorHAnsi" w:cstheme="minorBidi"/>
          <w:sz w:val="22"/>
          <w:szCs w:val="22"/>
        </w:rPr>
        <w:tab/>
      </w:r>
      <w:r w:rsidRPr="00780732">
        <w:rPr>
          <w:u w:color="000000"/>
        </w:rPr>
        <w:t>Need and legal basis</w:t>
      </w:r>
      <w:r>
        <w:rPr>
          <w:webHidden/>
        </w:rPr>
        <w:tab/>
      </w:r>
      <w:r>
        <w:rPr>
          <w:webHidden/>
        </w:rPr>
        <w:fldChar w:fldCharType="begin"/>
      </w:r>
      <w:r>
        <w:rPr>
          <w:webHidden/>
        </w:rPr>
        <w:instrText xml:space="preserve"> PAGEREF _Toc426101432 \h </w:instrText>
      </w:r>
      <w:r>
        <w:rPr>
          <w:webHidden/>
        </w:rPr>
      </w:r>
      <w:r>
        <w:rPr>
          <w:webHidden/>
        </w:rPr>
        <w:fldChar w:fldCharType="separate"/>
      </w:r>
      <w:r w:rsidR="00E444E2">
        <w:rPr>
          <w:webHidden/>
        </w:rPr>
        <w:t>3</w:t>
      </w:r>
      <w:r>
        <w:rPr>
          <w:webHidden/>
        </w:rPr>
        <w:fldChar w:fldCharType="end"/>
      </w:r>
    </w:p>
    <w:p w14:paraId="2D47A5AD" w14:textId="77777777" w:rsidR="00942E46" w:rsidRDefault="00942E46">
      <w:pPr>
        <w:pStyle w:val="TOC3"/>
        <w:rPr>
          <w:rFonts w:asciiTheme="minorHAnsi" w:eastAsiaTheme="minorEastAsia" w:hAnsiTheme="minorHAnsi" w:cstheme="minorBidi"/>
          <w:sz w:val="22"/>
          <w:szCs w:val="22"/>
        </w:rPr>
      </w:pPr>
      <w:r w:rsidRPr="00780732">
        <w:rPr>
          <w:u w:color="000000"/>
        </w:rPr>
        <w:t>2.</w:t>
      </w:r>
      <w:r>
        <w:rPr>
          <w:rFonts w:asciiTheme="minorHAnsi" w:eastAsiaTheme="minorEastAsia" w:hAnsiTheme="minorHAnsi" w:cstheme="minorBidi"/>
          <w:sz w:val="22"/>
          <w:szCs w:val="22"/>
        </w:rPr>
        <w:tab/>
      </w:r>
      <w:r w:rsidRPr="00780732">
        <w:rPr>
          <w:u w:color="000000"/>
        </w:rPr>
        <w:t>Purpose of use of information collection</w:t>
      </w:r>
      <w:r>
        <w:rPr>
          <w:webHidden/>
        </w:rPr>
        <w:tab/>
      </w:r>
      <w:r>
        <w:rPr>
          <w:webHidden/>
        </w:rPr>
        <w:fldChar w:fldCharType="begin"/>
      </w:r>
      <w:r>
        <w:rPr>
          <w:webHidden/>
        </w:rPr>
        <w:instrText xml:space="preserve"> PAGEREF _Toc426101433 \h </w:instrText>
      </w:r>
      <w:r>
        <w:rPr>
          <w:webHidden/>
        </w:rPr>
      </w:r>
      <w:r>
        <w:rPr>
          <w:webHidden/>
        </w:rPr>
        <w:fldChar w:fldCharType="separate"/>
      </w:r>
      <w:r w:rsidR="00E444E2">
        <w:rPr>
          <w:webHidden/>
        </w:rPr>
        <w:t>4</w:t>
      </w:r>
      <w:r>
        <w:rPr>
          <w:webHidden/>
        </w:rPr>
        <w:fldChar w:fldCharType="end"/>
      </w:r>
    </w:p>
    <w:p w14:paraId="30ABAB2D" w14:textId="77777777" w:rsidR="00942E46" w:rsidRDefault="00942E46">
      <w:pPr>
        <w:pStyle w:val="TOC3"/>
        <w:rPr>
          <w:rFonts w:asciiTheme="minorHAnsi" w:eastAsiaTheme="minorEastAsia" w:hAnsiTheme="minorHAnsi" w:cstheme="minorBidi"/>
          <w:sz w:val="22"/>
          <w:szCs w:val="22"/>
        </w:rPr>
      </w:pPr>
      <w:r w:rsidRPr="00780732">
        <w:rPr>
          <w:u w:color="000000"/>
        </w:rPr>
        <w:t>3.</w:t>
      </w:r>
      <w:r>
        <w:rPr>
          <w:rFonts w:asciiTheme="minorHAnsi" w:eastAsiaTheme="minorEastAsia" w:hAnsiTheme="minorHAnsi" w:cstheme="minorBidi"/>
          <w:sz w:val="22"/>
          <w:szCs w:val="22"/>
        </w:rPr>
        <w:tab/>
      </w:r>
      <w:r w:rsidRPr="00780732">
        <w:rPr>
          <w:u w:color="000000"/>
        </w:rPr>
        <w:t>Use of improved information technology and burden reduction</w:t>
      </w:r>
      <w:r>
        <w:rPr>
          <w:webHidden/>
        </w:rPr>
        <w:tab/>
      </w:r>
      <w:r>
        <w:rPr>
          <w:webHidden/>
        </w:rPr>
        <w:fldChar w:fldCharType="begin"/>
      </w:r>
      <w:r>
        <w:rPr>
          <w:webHidden/>
        </w:rPr>
        <w:instrText xml:space="preserve"> PAGEREF _Toc426101434 \h </w:instrText>
      </w:r>
      <w:r>
        <w:rPr>
          <w:webHidden/>
        </w:rPr>
      </w:r>
      <w:r>
        <w:rPr>
          <w:webHidden/>
        </w:rPr>
        <w:fldChar w:fldCharType="separate"/>
      </w:r>
      <w:r w:rsidR="00E444E2">
        <w:rPr>
          <w:webHidden/>
        </w:rPr>
        <w:t>5</w:t>
      </w:r>
      <w:r>
        <w:rPr>
          <w:webHidden/>
        </w:rPr>
        <w:fldChar w:fldCharType="end"/>
      </w:r>
    </w:p>
    <w:p w14:paraId="44D2A235" w14:textId="77777777" w:rsidR="00942E46" w:rsidRDefault="00942E46">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Efforts to identify duplication and use of similar information</w:t>
      </w:r>
      <w:r>
        <w:rPr>
          <w:webHidden/>
        </w:rPr>
        <w:tab/>
      </w:r>
      <w:r>
        <w:rPr>
          <w:webHidden/>
        </w:rPr>
        <w:fldChar w:fldCharType="begin"/>
      </w:r>
      <w:r>
        <w:rPr>
          <w:webHidden/>
        </w:rPr>
        <w:instrText xml:space="preserve"> PAGEREF _Toc426101435 \h </w:instrText>
      </w:r>
      <w:r>
        <w:rPr>
          <w:webHidden/>
        </w:rPr>
      </w:r>
      <w:r>
        <w:rPr>
          <w:webHidden/>
        </w:rPr>
        <w:fldChar w:fldCharType="separate"/>
      </w:r>
      <w:r w:rsidR="00E444E2">
        <w:rPr>
          <w:webHidden/>
        </w:rPr>
        <w:t>6</w:t>
      </w:r>
      <w:r>
        <w:rPr>
          <w:webHidden/>
        </w:rPr>
        <w:fldChar w:fldCharType="end"/>
      </w:r>
    </w:p>
    <w:p w14:paraId="5FA5A252" w14:textId="77777777" w:rsidR="00942E46" w:rsidRDefault="00942E46">
      <w:pPr>
        <w:pStyle w:val="TOC3"/>
        <w:rPr>
          <w:rFonts w:asciiTheme="minorHAnsi" w:eastAsiaTheme="minorEastAsia" w:hAnsiTheme="minorHAnsi" w:cstheme="minorBidi"/>
          <w:sz w:val="22"/>
          <w:szCs w:val="22"/>
        </w:rPr>
      </w:pPr>
      <w:r w:rsidRPr="00780732">
        <w:rPr>
          <w:u w:color="000000"/>
        </w:rPr>
        <w:t>5.</w:t>
      </w:r>
      <w:r>
        <w:rPr>
          <w:rFonts w:asciiTheme="minorHAnsi" w:eastAsiaTheme="minorEastAsia" w:hAnsiTheme="minorHAnsi" w:cstheme="minorBidi"/>
          <w:sz w:val="22"/>
          <w:szCs w:val="22"/>
        </w:rPr>
        <w:tab/>
      </w:r>
      <w:r w:rsidRPr="00780732">
        <w:rPr>
          <w:u w:color="000000"/>
        </w:rPr>
        <w:t>Small businesses</w:t>
      </w:r>
      <w:r>
        <w:rPr>
          <w:webHidden/>
        </w:rPr>
        <w:tab/>
      </w:r>
      <w:r>
        <w:rPr>
          <w:webHidden/>
        </w:rPr>
        <w:fldChar w:fldCharType="begin"/>
      </w:r>
      <w:r>
        <w:rPr>
          <w:webHidden/>
        </w:rPr>
        <w:instrText xml:space="preserve"> PAGEREF _Toc426101436 \h </w:instrText>
      </w:r>
      <w:r>
        <w:rPr>
          <w:webHidden/>
        </w:rPr>
      </w:r>
      <w:r>
        <w:rPr>
          <w:webHidden/>
        </w:rPr>
        <w:fldChar w:fldCharType="separate"/>
      </w:r>
      <w:r w:rsidR="00E444E2">
        <w:rPr>
          <w:webHidden/>
        </w:rPr>
        <w:t>7</w:t>
      </w:r>
      <w:r>
        <w:rPr>
          <w:webHidden/>
        </w:rPr>
        <w:fldChar w:fldCharType="end"/>
      </w:r>
    </w:p>
    <w:p w14:paraId="7051002C" w14:textId="77777777" w:rsidR="00942E46" w:rsidRDefault="00942E46">
      <w:pPr>
        <w:pStyle w:val="TOC3"/>
        <w:rPr>
          <w:rFonts w:asciiTheme="minorHAnsi" w:eastAsiaTheme="minorEastAsia" w:hAnsiTheme="minorHAnsi" w:cstheme="minorBidi"/>
          <w:sz w:val="22"/>
          <w:szCs w:val="22"/>
        </w:rPr>
      </w:pPr>
      <w:r w:rsidRPr="00780732">
        <w:rPr>
          <w:u w:color="000000"/>
        </w:rPr>
        <w:t>6.</w:t>
      </w:r>
      <w:r>
        <w:rPr>
          <w:rFonts w:asciiTheme="minorHAnsi" w:eastAsiaTheme="minorEastAsia" w:hAnsiTheme="minorHAnsi" w:cstheme="minorBidi"/>
          <w:sz w:val="22"/>
          <w:szCs w:val="22"/>
        </w:rPr>
        <w:tab/>
      </w:r>
      <w:r w:rsidRPr="00780732">
        <w:rPr>
          <w:u w:color="000000"/>
        </w:rPr>
        <w:t>Less frequent collection</w:t>
      </w:r>
      <w:r>
        <w:rPr>
          <w:webHidden/>
        </w:rPr>
        <w:tab/>
      </w:r>
      <w:r>
        <w:rPr>
          <w:webHidden/>
        </w:rPr>
        <w:fldChar w:fldCharType="begin"/>
      </w:r>
      <w:r>
        <w:rPr>
          <w:webHidden/>
        </w:rPr>
        <w:instrText xml:space="preserve"> PAGEREF _Toc426101437 \h </w:instrText>
      </w:r>
      <w:r>
        <w:rPr>
          <w:webHidden/>
        </w:rPr>
      </w:r>
      <w:r>
        <w:rPr>
          <w:webHidden/>
        </w:rPr>
        <w:fldChar w:fldCharType="separate"/>
      </w:r>
      <w:r w:rsidR="00E444E2">
        <w:rPr>
          <w:webHidden/>
        </w:rPr>
        <w:t>8</w:t>
      </w:r>
      <w:r>
        <w:rPr>
          <w:webHidden/>
        </w:rPr>
        <w:fldChar w:fldCharType="end"/>
      </w:r>
    </w:p>
    <w:p w14:paraId="6E8096C3" w14:textId="77777777" w:rsidR="00942E46" w:rsidRDefault="00942E46">
      <w:pPr>
        <w:pStyle w:val="TOC3"/>
        <w:rPr>
          <w:rFonts w:asciiTheme="minorHAnsi" w:eastAsiaTheme="minorEastAsia" w:hAnsiTheme="minorHAnsi" w:cstheme="minorBidi"/>
          <w:sz w:val="22"/>
          <w:szCs w:val="22"/>
        </w:rPr>
      </w:pPr>
      <w:r w:rsidRPr="00780732">
        <w:rPr>
          <w:u w:color="000000"/>
        </w:rPr>
        <w:t>7.</w:t>
      </w:r>
      <w:r>
        <w:rPr>
          <w:rFonts w:asciiTheme="minorHAnsi" w:eastAsiaTheme="minorEastAsia" w:hAnsiTheme="minorHAnsi" w:cstheme="minorBidi"/>
          <w:sz w:val="22"/>
          <w:szCs w:val="22"/>
        </w:rPr>
        <w:tab/>
      </w:r>
      <w:r w:rsidRPr="00780732">
        <w:rPr>
          <w:u w:color="000000"/>
        </w:rPr>
        <w:t>Special circumstances</w:t>
      </w:r>
      <w:r>
        <w:rPr>
          <w:webHidden/>
        </w:rPr>
        <w:tab/>
      </w:r>
      <w:r>
        <w:rPr>
          <w:webHidden/>
        </w:rPr>
        <w:fldChar w:fldCharType="begin"/>
      </w:r>
      <w:r>
        <w:rPr>
          <w:webHidden/>
        </w:rPr>
        <w:instrText xml:space="preserve"> PAGEREF _Toc426101438 \h </w:instrText>
      </w:r>
      <w:r>
        <w:rPr>
          <w:webHidden/>
        </w:rPr>
      </w:r>
      <w:r>
        <w:rPr>
          <w:webHidden/>
        </w:rPr>
        <w:fldChar w:fldCharType="separate"/>
      </w:r>
      <w:r w:rsidR="00E444E2">
        <w:rPr>
          <w:webHidden/>
        </w:rPr>
        <w:t>8</w:t>
      </w:r>
      <w:r>
        <w:rPr>
          <w:webHidden/>
        </w:rPr>
        <w:fldChar w:fldCharType="end"/>
      </w:r>
    </w:p>
    <w:p w14:paraId="56249D91" w14:textId="77777777" w:rsidR="00942E46" w:rsidRDefault="00942E46">
      <w:pPr>
        <w:pStyle w:val="TOC3"/>
        <w:rPr>
          <w:rFonts w:asciiTheme="minorHAnsi" w:eastAsiaTheme="minorEastAsia" w:hAnsiTheme="minorHAnsi" w:cstheme="minorBidi"/>
          <w:sz w:val="22"/>
          <w:szCs w:val="22"/>
        </w:rPr>
      </w:pPr>
      <w:r w:rsidRPr="00780732">
        <w:rPr>
          <w:u w:color="000000"/>
        </w:rPr>
        <w:t>8.</w:t>
      </w:r>
      <w:r>
        <w:rPr>
          <w:rFonts w:asciiTheme="minorHAnsi" w:eastAsiaTheme="minorEastAsia" w:hAnsiTheme="minorHAnsi" w:cstheme="minorBidi"/>
          <w:sz w:val="22"/>
          <w:szCs w:val="22"/>
        </w:rPr>
        <w:tab/>
      </w:r>
      <w:r w:rsidRPr="00780732">
        <w:rPr>
          <w:u w:color="000000"/>
        </w:rPr>
        <w:t>Federal Register/outside consultation</w:t>
      </w:r>
      <w:r>
        <w:rPr>
          <w:webHidden/>
        </w:rPr>
        <w:tab/>
      </w:r>
      <w:r>
        <w:rPr>
          <w:webHidden/>
        </w:rPr>
        <w:fldChar w:fldCharType="begin"/>
      </w:r>
      <w:r>
        <w:rPr>
          <w:webHidden/>
        </w:rPr>
        <w:instrText xml:space="preserve"> PAGEREF _Toc426101439 \h </w:instrText>
      </w:r>
      <w:r>
        <w:rPr>
          <w:webHidden/>
        </w:rPr>
      </w:r>
      <w:r>
        <w:rPr>
          <w:webHidden/>
        </w:rPr>
        <w:fldChar w:fldCharType="separate"/>
      </w:r>
      <w:r w:rsidR="00E444E2">
        <w:rPr>
          <w:webHidden/>
        </w:rPr>
        <w:t>8</w:t>
      </w:r>
      <w:r>
        <w:rPr>
          <w:webHidden/>
        </w:rPr>
        <w:fldChar w:fldCharType="end"/>
      </w:r>
    </w:p>
    <w:p w14:paraId="55BD9EB6" w14:textId="77777777" w:rsidR="00942E46" w:rsidRDefault="00942E46">
      <w:pPr>
        <w:pStyle w:val="TOC3"/>
        <w:rPr>
          <w:rFonts w:asciiTheme="minorHAnsi" w:eastAsiaTheme="minorEastAsia" w:hAnsiTheme="minorHAnsi" w:cstheme="minorBidi"/>
          <w:sz w:val="22"/>
          <w:szCs w:val="22"/>
        </w:rPr>
      </w:pPr>
      <w:r w:rsidRPr="00780732">
        <w:rPr>
          <w:u w:color="000000"/>
        </w:rPr>
        <w:t>9.</w:t>
      </w:r>
      <w:r>
        <w:rPr>
          <w:rFonts w:asciiTheme="minorHAnsi" w:eastAsiaTheme="minorEastAsia" w:hAnsiTheme="minorHAnsi" w:cstheme="minorBidi"/>
          <w:sz w:val="22"/>
          <w:szCs w:val="22"/>
        </w:rPr>
        <w:tab/>
      </w:r>
      <w:r w:rsidRPr="00780732">
        <w:rPr>
          <w:u w:color="000000"/>
        </w:rPr>
        <w:t>Payments/gifts to respondents</w:t>
      </w:r>
      <w:r>
        <w:rPr>
          <w:webHidden/>
        </w:rPr>
        <w:tab/>
      </w:r>
      <w:r>
        <w:rPr>
          <w:webHidden/>
        </w:rPr>
        <w:fldChar w:fldCharType="begin"/>
      </w:r>
      <w:r>
        <w:rPr>
          <w:webHidden/>
        </w:rPr>
        <w:instrText xml:space="preserve"> PAGEREF _Toc426101440 \h </w:instrText>
      </w:r>
      <w:r>
        <w:rPr>
          <w:webHidden/>
        </w:rPr>
      </w:r>
      <w:r>
        <w:rPr>
          <w:webHidden/>
        </w:rPr>
        <w:fldChar w:fldCharType="separate"/>
      </w:r>
      <w:r w:rsidR="00E444E2">
        <w:rPr>
          <w:webHidden/>
        </w:rPr>
        <w:t>8</w:t>
      </w:r>
      <w:r>
        <w:rPr>
          <w:webHidden/>
        </w:rPr>
        <w:fldChar w:fldCharType="end"/>
      </w:r>
    </w:p>
    <w:p w14:paraId="667EA08E" w14:textId="77777777" w:rsidR="00942E46" w:rsidRDefault="00942E46">
      <w:pPr>
        <w:pStyle w:val="TOC3"/>
        <w:rPr>
          <w:rFonts w:asciiTheme="minorHAnsi" w:eastAsiaTheme="minorEastAsia" w:hAnsiTheme="minorHAnsi" w:cstheme="minorBidi"/>
          <w:sz w:val="22"/>
          <w:szCs w:val="22"/>
        </w:rPr>
      </w:pPr>
      <w:r w:rsidRPr="00780732">
        <w:rPr>
          <w:u w:color="000000"/>
        </w:rPr>
        <w:t>10.</w:t>
      </w:r>
      <w:r>
        <w:rPr>
          <w:rFonts w:asciiTheme="minorHAnsi" w:eastAsiaTheme="minorEastAsia" w:hAnsiTheme="minorHAnsi" w:cstheme="minorBidi"/>
          <w:sz w:val="22"/>
          <w:szCs w:val="22"/>
        </w:rPr>
        <w:tab/>
      </w:r>
      <w:r w:rsidRPr="00780732">
        <w:rPr>
          <w:u w:color="000000"/>
        </w:rPr>
        <w:t>Assurance of confidentiality</w:t>
      </w:r>
      <w:r>
        <w:rPr>
          <w:webHidden/>
        </w:rPr>
        <w:tab/>
      </w:r>
      <w:r>
        <w:rPr>
          <w:webHidden/>
        </w:rPr>
        <w:fldChar w:fldCharType="begin"/>
      </w:r>
      <w:r>
        <w:rPr>
          <w:webHidden/>
        </w:rPr>
        <w:instrText xml:space="preserve"> PAGEREF _Toc426101441 \h </w:instrText>
      </w:r>
      <w:r>
        <w:rPr>
          <w:webHidden/>
        </w:rPr>
      </w:r>
      <w:r>
        <w:rPr>
          <w:webHidden/>
        </w:rPr>
        <w:fldChar w:fldCharType="separate"/>
      </w:r>
      <w:r w:rsidR="00E444E2">
        <w:rPr>
          <w:webHidden/>
        </w:rPr>
        <w:t>9</w:t>
      </w:r>
      <w:r>
        <w:rPr>
          <w:webHidden/>
        </w:rPr>
        <w:fldChar w:fldCharType="end"/>
      </w:r>
    </w:p>
    <w:p w14:paraId="22E24BC4" w14:textId="77777777" w:rsidR="00942E46" w:rsidRDefault="00942E46">
      <w:pPr>
        <w:pStyle w:val="TOC3"/>
        <w:rPr>
          <w:rFonts w:asciiTheme="minorHAnsi" w:eastAsiaTheme="minorEastAsia" w:hAnsiTheme="minorHAnsi" w:cstheme="minorBidi"/>
          <w:sz w:val="22"/>
          <w:szCs w:val="22"/>
        </w:rPr>
      </w:pPr>
      <w:r w:rsidRPr="00780732">
        <w:rPr>
          <w:u w:color="000000"/>
        </w:rPr>
        <w:t>11.</w:t>
      </w:r>
      <w:r>
        <w:rPr>
          <w:rFonts w:asciiTheme="minorHAnsi" w:eastAsiaTheme="minorEastAsia" w:hAnsiTheme="minorHAnsi" w:cstheme="minorBidi"/>
          <w:sz w:val="22"/>
          <w:szCs w:val="22"/>
        </w:rPr>
        <w:tab/>
      </w:r>
      <w:r w:rsidRPr="00780732">
        <w:rPr>
          <w:u w:color="000000"/>
        </w:rPr>
        <w:t>Justification for Sensitive Questions</w:t>
      </w:r>
      <w:r>
        <w:rPr>
          <w:webHidden/>
        </w:rPr>
        <w:tab/>
      </w:r>
      <w:r>
        <w:rPr>
          <w:webHidden/>
        </w:rPr>
        <w:fldChar w:fldCharType="begin"/>
      </w:r>
      <w:r>
        <w:rPr>
          <w:webHidden/>
        </w:rPr>
        <w:instrText xml:space="preserve"> PAGEREF _Toc426101442 \h </w:instrText>
      </w:r>
      <w:r>
        <w:rPr>
          <w:webHidden/>
        </w:rPr>
      </w:r>
      <w:r>
        <w:rPr>
          <w:webHidden/>
        </w:rPr>
        <w:fldChar w:fldCharType="separate"/>
      </w:r>
      <w:r w:rsidR="00E444E2">
        <w:rPr>
          <w:webHidden/>
        </w:rPr>
        <w:t>10</w:t>
      </w:r>
      <w:r>
        <w:rPr>
          <w:webHidden/>
        </w:rPr>
        <w:fldChar w:fldCharType="end"/>
      </w:r>
    </w:p>
    <w:p w14:paraId="5E81726C" w14:textId="77777777" w:rsidR="00942E46" w:rsidRDefault="00942E46">
      <w:pPr>
        <w:pStyle w:val="TOC3"/>
        <w:rPr>
          <w:rFonts w:asciiTheme="minorHAnsi" w:eastAsiaTheme="minorEastAsia" w:hAnsiTheme="minorHAnsi" w:cstheme="minorBidi"/>
          <w:sz w:val="22"/>
          <w:szCs w:val="22"/>
        </w:rPr>
      </w:pPr>
      <w:r w:rsidRPr="00780732">
        <w:rPr>
          <w:u w:color="000000"/>
        </w:rPr>
        <w:t>12.</w:t>
      </w:r>
      <w:r>
        <w:rPr>
          <w:rFonts w:asciiTheme="minorHAnsi" w:eastAsiaTheme="minorEastAsia" w:hAnsiTheme="minorHAnsi" w:cstheme="minorBidi"/>
          <w:sz w:val="22"/>
          <w:szCs w:val="22"/>
        </w:rPr>
        <w:tab/>
      </w:r>
      <w:r w:rsidRPr="00780732">
        <w:rPr>
          <w:u w:color="000000"/>
        </w:rPr>
        <w:t>Estimates of annualized hour and cost burden</w:t>
      </w:r>
      <w:r>
        <w:rPr>
          <w:webHidden/>
        </w:rPr>
        <w:tab/>
      </w:r>
      <w:r>
        <w:rPr>
          <w:webHidden/>
        </w:rPr>
        <w:fldChar w:fldCharType="begin"/>
      </w:r>
      <w:r>
        <w:rPr>
          <w:webHidden/>
        </w:rPr>
        <w:instrText xml:space="preserve"> PAGEREF _Toc426101443 \h </w:instrText>
      </w:r>
      <w:r>
        <w:rPr>
          <w:webHidden/>
        </w:rPr>
      </w:r>
      <w:r>
        <w:rPr>
          <w:webHidden/>
        </w:rPr>
        <w:fldChar w:fldCharType="separate"/>
      </w:r>
      <w:r w:rsidR="00E444E2">
        <w:rPr>
          <w:webHidden/>
        </w:rPr>
        <w:t>11</w:t>
      </w:r>
      <w:r>
        <w:rPr>
          <w:webHidden/>
        </w:rPr>
        <w:fldChar w:fldCharType="end"/>
      </w:r>
    </w:p>
    <w:p w14:paraId="270F795F" w14:textId="77777777" w:rsidR="00942E46" w:rsidRDefault="00942E46">
      <w:pPr>
        <w:pStyle w:val="TOC3"/>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Estimates of other total cost burden to respondents or record keepers</w:t>
      </w:r>
      <w:r>
        <w:rPr>
          <w:webHidden/>
        </w:rPr>
        <w:tab/>
      </w:r>
      <w:r>
        <w:rPr>
          <w:webHidden/>
        </w:rPr>
        <w:fldChar w:fldCharType="begin"/>
      </w:r>
      <w:r>
        <w:rPr>
          <w:webHidden/>
        </w:rPr>
        <w:instrText xml:space="preserve"> PAGEREF _Toc426101444 \h </w:instrText>
      </w:r>
      <w:r>
        <w:rPr>
          <w:webHidden/>
        </w:rPr>
      </w:r>
      <w:r>
        <w:rPr>
          <w:webHidden/>
        </w:rPr>
        <w:fldChar w:fldCharType="separate"/>
      </w:r>
      <w:r w:rsidR="00E444E2">
        <w:rPr>
          <w:webHidden/>
        </w:rPr>
        <w:t>12</w:t>
      </w:r>
      <w:r>
        <w:rPr>
          <w:webHidden/>
        </w:rPr>
        <w:fldChar w:fldCharType="end"/>
      </w:r>
    </w:p>
    <w:p w14:paraId="17AFE6B7" w14:textId="77777777" w:rsidR="00942E46" w:rsidRDefault="00942E46">
      <w:pPr>
        <w:pStyle w:val="TOC3"/>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Annualized cost to federal government</w:t>
      </w:r>
      <w:r>
        <w:rPr>
          <w:webHidden/>
        </w:rPr>
        <w:tab/>
      </w:r>
      <w:r>
        <w:rPr>
          <w:webHidden/>
        </w:rPr>
        <w:fldChar w:fldCharType="begin"/>
      </w:r>
      <w:r>
        <w:rPr>
          <w:webHidden/>
        </w:rPr>
        <w:instrText xml:space="preserve"> PAGEREF _Toc426101445 \h </w:instrText>
      </w:r>
      <w:r>
        <w:rPr>
          <w:webHidden/>
        </w:rPr>
      </w:r>
      <w:r>
        <w:rPr>
          <w:webHidden/>
        </w:rPr>
        <w:fldChar w:fldCharType="separate"/>
      </w:r>
      <w:r w:rsidR="00E444E2">
        <w:rPr>
          <w:webHidden/>
        </w:rPr>
        <w:t>12</w:t>
      </w:r>
      <w:r>
        <w:rPr>
          <w:webHidden/>
        </w:rPr>
        <w:fldChar w:fldCharType="end"/>
      </w:r>
    </w:p>
    <w:p w14:paraId="5232AC9B" w14:textId="77777777" w:rsidR="00942E46" w:rsidRDefault="00942E46">
      <w:pPr>
        <w:pStyle w:val="TOC3"/>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Changes to burden</w:t>
      </w:r>
      <w:r>
        <w:rPr>
          <w:webHidden/>
        </w:rPr>
        <w:tab/>
      </w:r>
      <w:r>
        <w:rPr>
          <w:webHidden/>
        </w:rPr>
        <w:fldChar w:fldCharType="begin"/>
      </w:r>
      <w:r>
        <w:rPr>
          <w:webHidden/>
        </w:rPr>
        <w:instrText xml:space="preserve"> PAGEREF _Toc426101446 \h </w:instrText>
      </w:r>
      <w:r>
        <w:rPr>
          <w:webHidden/>
        </w:rPr>
      </w:r>
      <w:r>
        <w:rPr>
          <w:webHidden/>
        </w:rPr>
        <w:fldChar w:fldCharType="separate"/>
      </w:r>
      <w:r w:rsidR="00E444E2">
        <w:rPr>
          <w:webHidden/>
        </w:rPr>
        <w:t>12</w:t>
      </w:r>
      <w:r>
        <w:rPr>
          <w:webHidden/>
        </w:rPr>
        <w:fldChar w:fldCharType="end"/>
      </w:r>
    </w:p>
    <w:p w14:paraId="7D14A400" w14:textId="77777777" w:rsidR="00942E46" w:rsidRDefault="00942E46">
      <w:pPr>
        <w:pStyle w:val="TOC3"/>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Plans for tabulation and publication and project time schedule</w:t>
      </w:r>
      <w:r>
        <w:rPr>
          <w:webHidden/>
        </w:rPr>
        <w:tab/>
      </w:r>
      <w:r>
        <w:rPr>
          <w:webHidden/>
        </w:rPr>
        <w:fldChar w:fldCharType="begin"/>
      </w:r>
      <w:r>
        <w:rPr>
          <w:webHidden/>
        </w:rPr>
        <w:instrText xml:space="preserve"> PAGEREF _Toc426101447 \h </w:instrText>
      </w:r>
      <w:r>
        <w:rPr>
          <w:webHidden/>
        </w:rPr>
      </w:r>
      <w:r>
        <w:rPr>
          <w:webHidden/>
        </w:rPr>
        <w:fldChar w:fldCharType="separate"/>
      </w:r>
      <w:r w:rsidR="00E444E2">
        <w:rPr>
          <w:webHidden/>
        </w:rPr>
        <w:t>13</w:t>
      </w:r>
      <w:r>
        <w:rPr>
          <w:webHidden/>
        </w:rPr>
        <w:fldChar w:fldCharType="end"/>
      </w:r>
    </w:p>
    <w:p w14:paraId="1BE49135" w14:textId="77777777" w:rsidR="00942E46" w:rsidRDefault="00942E46">
      <w:pPr>
        <w:pStyle w:val="TOC3"/>
        <w:rPr>
          <w:rFonts w:asciiTheme="minorHAnsi" w:eastAsiaTheme="minorEastAsia" w:hAnsiTheme="minorHAnsi" w:cstheme="minorBidi"/>
          <w:sz w:val="22"/>
          <w:szCs w:val="22"/>
        </w:rPr>
      </w:pPr>
      <w:r w:rsidRPr="00780732">
        <w:rPr>
          <w:u w:color="000000"/>
        </w:rPr>
        <w:t>17.</w:t>
      </w:r>
      <w:r>
        <w:rPr>
          <w:rFonts w:asciiTheme="minorHAnsi" w:eastAsiaTheme="minorEastAsia" w:hAnsiTheme="minorHAnsi" w:cstheme="minorBidi"/>
          <w:sz w:val="22"/>
          <w:szCs w:val="22"/>
        </w:rPr>
        <w:tab/>
      </w:r>
      <w:r w:rsidRPr="00780732">
        <w:rPr>
          <w:u w:color="000000"/>
        </w:rPr>
        <w:t>Reason(s) display of</w:t>
      </w:r>
      <w:r w:rsidRPr="00780732">
        <w:rPr>
          <w:spacing w:val="1"/>
          <w:u w:color="000000"/>
        </w:rPr>
        <w:t xml:space="preserve"> </w:t>
      </w:r>
      <w:r w:rsidRPr="00780732">
        <w:rPr>
          <w:u w:color="000000"/>
        </w:rPr>
        <w:t>OMB expiration date is inappropriate</w:t>
      </w:r>
      <w:r>
        <w:rPr>
          <w:webHidden/>
        </w:rPr>
        <w:tab/>
      </w:r>
      <w:r>
        <w:rPr>
          <w:webHidden/>
        </w:rPr>
        <w:fldChar w:fldCharType="begin"/>
      </w:r>
      <w:r>
        <w:rPr>
          <w:webHidden/>
        </w:rPr>
        <w:instrText xml:space="preserve"> PAGEREF _Toc426101448 \h </w:instrText>
      </w:r>
      <w:r>
        <w:rPr>
          <w:webHidden/>
        </w:rPr>
      </w:r>
      <w:r>
        <w:rPr>
          <w:webHidden/>
        </w:rPr>
        <w:fldChar w:fldCharType="separate"/>
      </w:r>
      <w:r w:rsidR="00E444E2">
        <w:rPr>
          <w:webHidden/>
        </w:rPr>
        <w:t>15</w:t>
      </w:r>
      <w:r>
        <w:rPr>
          <w:webHidden/>
        </w:rPr>
        <w:fldChar w:fldCharType="end"/>
      </w:r>
    </w:p>
    <w:p w14:paraId="2AA365D0" w14:textId="77777777" w:rsidR="00942E46" w:rsidRDefault="00942E46">
      <w:pPr>
        <w:pStyle w:val="TOC3"/>
        <w:rPr>
          <w:rFonts w:asciiTheme="minorHAnsi" w:eastAsiaTheme="minorEastAsia" w:hAnsiTheme="minorHAnsi" w:cstheme="minorBidi"/>
          <w:sz w:val="22"/>
          <w:szCs w:val="22"/>
        </w:rPr>
      </w:pPr>
      <w:r w:rsidRPr="00780732">
        <w:rPr>
          <w:u w:color="000000"/>
        </w:rPr>
        <w:t>18.</w:t>
      </w:r>
      <w:r>
        <w:rPr>
          <w:rFonts w:asciiTheme="minorHAnsi" w:eastAsiaTheme="minorEastAsia" w:hAnsiTheme="minorHAnsi" w:cstheme="minorBidi"/>
          <w:sz w:val="22"/>
          <w:szCs w:val="22"/>
        </w:rPr>
        <w:tab/>
      </w:r>
      <w:r w:rsidRPr="00780732">
        <w:rPr>
          <w:u w:color="000000"/>
        </w:rPr>
        <w:t>Exceptions to certification for paperwork</w:t>
      </w:r>
      <w:r w:rsidRPr="00780732">
        <w:rPr>
          <w:spacing w:val="1"/>
          <w:u w:color="000000"/>
        </w:rPr>
        <w:t xml:space="preserve"> </w:t>
      </w:r>
      <w:r w:rsidRPr="00780732">
        <w:rPr>
          <w:u w:color="000000"/>
        </w:rPr>
        <w:t>reduction act submissions</w:t>
      </w:r>
      <w:r>
        <w:rPr>
          <w:webHidden/>
        </w:rPr>
        <w:tab/>
      </w:r>
      <w:r>
        <w:rPr>
          <w:webHidden/>
        </w:rPr>
        <w:fldChar w:fldCharType="begin"/>
      </w:r>
      <w:r>
        <w:rPr>
          <w:webHidden/>
        </w:rPr>
        <w:instrText xml:space="preserve"> PAGEREF _Toc426101449 \h </w:instrText>
      </w:r>
      <w:r>
        <w:rPr>
          <w:webHidden/>
        </w:rPr>
      </w:r>
      <w:r>
        <w:rPr>
          <w:webHidden/>
        </w:rPr>
        <w:fldChar w:fldCharType="separate"/>
      </w:r>
      <w:r w:rsidR="00E444E2">
        <w:rPr>
          <w:webHidden/>
        </w:rPr>
        <w:t>15</w:t>
      </w:r>
      <w:r>
        <w:rPr>
          <w:webHidden/>
        </w:rPr>
        <w:fldChar w:fldCharType="end"/>
      </w:r>
    </w:p>
    <w:p w14:paraId="6548605D" w14:textId="59A19565" w:rsidR="00FD146C" w:rsidRDefault="00942E46" w:rsidP="00FD146C">
      <w:pPr>
        <w:spacing w:after="180" w:line="240" w:lineRule="auto"/>
        <w:ind w:firstLine="0"/>
        <w:jc w:val="both"/>
        <w:rPr>
          <w:rFonts w:ascii="Arial" w:hAnsi="Arial" w:cs="Arial"/>
          <w:sz w:val="20"/>
        </w:rPr>
      </w:pPr>
      <w:r>
        <w:rPr>
          <w:rFonts w:ascii="Arial" w:hAnsi="Arial" w:cs="Arial"/>
          <w:sz w:val="20"/>
        </w:rPr>
        <w:fldChar w:fldCharType="end"/>
      </w:r>
      <w:r w:rsidR="00FD146C">
        <w:rPr>
          <w:rFonts w:ascii="Arial" w:hAnsi="Arial" w:cs="Arial"/>
          <w:sz w:val="20"/>
        </w:rPr>
        <w:t>APPENDIX A:</w:t>
      </w:r>
      <w:r w:rsidR="00FD146C">
        <w:rPr>
          <w:rFonts w:ascii="Arial" w:hAnsi="Arial" w:cs="Arial"/>
          <w:sz w:val="20"/>
        </w:rPr>
        <w:tab/>
        <w:t>TELEPHONE SURVEY</w:t>
      </w:r>
    </w:p>
    <w:p w14:paraId="701DAC5F" w14:textId="59093F49" w:rsidR="00FD146C" w:rsidRDefault="00FD146C" w:rsidP="00FD146C">
      <w:pPr>
        <w:spacing w:after="180" w:line="240" w:lineRule="auto"/>
        <w:ind w:firstLine="0"/>
        <w:jc w:val="both"/>
        <w:rPr>
          <w:rFonts w:ascii="Arial" w:hAnsi="Arial" w:cs="Arial"/>
          <w:sz w:val="20"/>
        </w:rPr>
      </w:pPr>
      <w:r>
        <w:rPr>
          <w:rFonts w:ascii="Arial" w:hAnsi="Arial" w:cs="Arial"/>
          <w:sz w:val="20"/>
        </w:rPr>
        <w:t>APPENDIX B:</w:t>
      </w:r>
      <w:r>
        <w:rPr>
          <w:rFonts w:ascii="Arial" w:hAnsi="Arial" w:cs="Arial"/>
          <w:sz w:val="20"/>
        </w:rPr>
        <w:tab/>
        <w:t>KEY INFORMANT INTERVIEWS</w:t>
      </w:r>
    </w:p>
    <w:p w14:paraId="52CDC2CA" w14:textId="089CE2D7" w:rsidR="00FD146C" w:rsidRDefault="00FD146C" w:rsidP="00FD146C">
      <w:pPr>
        <w:spacing w:after="180" w:line="240" w:lineRule="auto"/>
        <w:ind w:firstLine="0"/>
        <w:jc w:val="both"/>
        <w:rPr>
          <w:rFonts w:ascii="Arial" w:hAnsi="Arial" w:cs="Arial"/>
          <w:sz w:val="20"/>
        </w:rPr>
      </w:pPr>
      <w:r>
        <w:rPr>
          <w:rFonts w:ascii="Arial" w:hAnsi="Arial" w:cs="Arial"/>
          <w:sz w:val="20"/>
        </w:rPr>
        <w:t>APPENDIX C:</w:t>
      </w:r>
      <w:r>
        <w:rPr>
          <w:rFonts w:ascii="Arial" w:hAnsi="Arial" w:cs="Arial"/>
          <w:sz w:val="20"/>
        </w:rPr>
        <w:tab/>
        <w:t>FOCUS GROUPS</w:t>
      </w:r>
    </w:p>
    <w:p w14:paraId="3AB68F1B" w14:textId="03C1A3B8" w:rsidR="00FD146C" w:rsidRDefault="00FD146C" w:rsidP="00FD146C">
      <w:pPr>
        <w:spacing w:after="180" w:line="240" w:lineRule="auto"/>
        <w:ind w:firstLine="0"/>
        <w:jc w:val="both"/>
        <w:rPr>
          <w:rFonts w:ascii="Arial" w:hAnsi="Arial" w:cs="Arial"/>
          <w:sz w:val="20"/>
        </w:rPr>
      </w:pPr>
      <w:r>
        <w:rPr>
          <w:rFonts w:ascii="Arial" w:hAnsi="Arial" w:cs="Arial"/>
          <w:sz w:val="20"/>
        </w:rPr>
        <w:t>APPENDIX D:</w:t>
      </w:r>
      <w:r w:rsidR="004A3B04">
        <w:rPr>
          <w:rFonts w:ascii="Arial" w:hAnsi="Arial" w:cs="Arial"/>
          <w:sz w:val="20"/>
        </w:rPr>
        <w:tab/>
        <w:t>VOXIVA TEXT4BABY ADMINISTRATIVE DATA</w:t>
      </w:r>
    </w:p>
    <w:p w14:paraId="05B71864" w14:textId="40BE6268" w:rsidR="00FD146C" w:rsidRDefault="00FD146C" w:rsidP="00FD146C">
      <w:pPr>
        <w:spacing w:after="180" w:line="240" w:lineRule="auto"/>
        <w:ind w:firstLine="0"/>
        <w:jc w:val="both"/>
        <w:rPr>
          <w:rFonts w:ascii="Arial" w:hAnsi="Arial" w:cs="Arial"/>
          <w:sz w:val="20"/>
        </w:rPr>
      </w:pPr>
      <w:r>
        <w:rPr>
          <w:rFonts w:ascii="Arial" w:hAnsi="Arial" w:cs="Arial"/>
          <w:sz w:val="20"/>
        </w:rPr>
        <w:t>APPENDIX E:</w:t>
      </w:r>
      <w:r>
        <w:rPr>
          <w:rFonts w:ascii="Arial" w:hAnsi="Arial" w:cs="Arial"/>
          <w:sz w:val="20"/>
        </w:rPr>
        <w:tab/>
        <w:t>STATE MEDICAID DATA</w:t>
      </w:r>
    </w:p>
    <w:p w14:paraId="053B2D4D" w14:textId="0F70350D" w:rsidR="00FD146C" w:rsidRDefault="00FD146C" w:rsidP="00FD146C">
      <w:pPr>
        <w:spacing w:after="180" w:line="240" w:lineRule="auto"/>
        <w:ind w:firstLine="0"/>
        <w:jc w:val="both"/>
      </w:pPr>
      <w:r>
        <w:rPr>
          <w:rFonts w:ascii="Arial" w:hAnsi="Arial" w:cs="Arial"/>
          <w:sz w:val="20"/>
        </w:rPr>
        <w:t>APPENDIX F:</w:t>
      </w:r>
      <w:r>
        <w:rPr>
          <w:rFonts w:ascii="Arial" w:hAnsi="Arial" w:cs="Arial"/>
          <w:sz w:val="20"/>
        </w:rPr>
        <w:tab/>
        <w:t>STATE VITAL STATISTICS DATA</w:t>
      </w:r>
    </w:p>
    <w:p w14:paraId="6A14122C" w14:textId="77777777" w:rsidR="00FD146C" w:rsidRDefault="00FD146C" w:rsidP="00FD146C">
      <w:pPr>
        <w:sectPr w:rsidR="00FD146C" w:rsidSect="00FD146C">
          <w:headerReference w:type="default" r:id="rId11"/>
          <w:footerReference w:type="default" r:id="rId12"/>
          <w:pgSz w:w="12240" w:h="15840" w:code="1"/>
          <w:pgMar w:top="1440" w:right="1440" w:bottom="1440" w:left="1440" w:header="720" w:footer="720" w:gutter="0"/>
          <w:pgNumType w:fmt="lowerRoman" w:start="3"/>
          <w:cols w:space="720"/>
          <w:docGrid w:linePitch="326"/>
        </w:sectPr>
      </w:pPr>
    </w:p>
    <w:p w14:paraId="250B78C5" w14:textId="77777777" w:rsidR="00FD146C" w:rsidRPr="00D535C4" w:rsidRDefault="00FD146C" w:rsidP="00CD2D40">
      <w:pPr>
        <w:pStyle w:val="NormalSS"/>
        <w:spacing w:before="3360"/>
        <w:ind w:firstLine="0"/>
        <w:jc w:val="center"/>
        <w:rPr>
          <w:b/>
          <w:bCs/>
        </w:rPr>
      </w:pPr>
      <w:bookmarkStart w:id="2" w:name="_Toc409097424"/>
      <w:r w:rsidRPr="00D535C4">
        <w:rPr>
          <w:b/>
          <w:bCs/>
        </w:rPr>
        <w:t>This page left</w:t>
      </w:r>
      <w:r w:rsidRPr="00D535C4">
        <w:rPr>
          <w:b/>
          <w:bCs/>
          <w:spacing w:val="-4"/>
        </w:rPr>
        <w:t xml:space="preserve"> </w:t>
      </w:r>
      <w:r w:rsidRPr="00D535C4">
        <w:rPr>
          <w:b/>
          <w:bCs/>
        </w:rPr>
        <w:t>blank for</w:t>
      </w:r>
      <w:r w:rsidRPr="00D535C4">
        <w:rPr>
          <w:b/>
          <w:bCs/>
          <w:spacing w:val="-4"/>
        </w:rPr>
        <w:t xml:space="preserve"> </w:t>
      </w:r>
      <w:r w:rsidRPr="00D535C4">
        <w:rPr>
          <w:b/>
          <w:bCs/>
        </w:rPr>
        <w:t>double-sided copying.</w:t>
      </w:r>
    </w:p>
    <w:p w14:paraId="49B958B2" w14:textId="77777777" w:rsidR="00FD146C" w:rsidRDefault="00FD146C" w:rsidP="00FD146C">
      <w:pPr>
        <w:sectPr w:rsidR="00FD146C" w:rsidSect="00FD146C">
          <w:headerReference w:type="default" r:id="rId13"/>
          <w:footerReference w:type="default" r:id="rId14"/>
          <w:pgSz w:w="12240" w:h="15840" w:code="1"/>
          <w:pgMar w:top="1440" w:right="1440" w:bottom="1440" w:left="1440" w:header="720" w:footer="720" w:gutter="0"/>
          <w:pgNumType w:start="1"/>
          <w:cols w:space="720"/>
          <w:docGrid w:linePitch="326"/>
        </w:sectPr>
      </w:pPr>
    </w:p>
    <w:p w14:paraId="041575A2" w14:textId="08DE0D85" w:rsidR="006F01AA" w:rsidRDefault="007E246F" w:rsidP="00CD2D40">
      <w:pPr>
        <w:pStyle w:val="H2Chapter"/>
        <w:ind w:left="0" w:firstLine="0"/>
        <w:rPr>
          <w:rFonts w:eastAsia="Arial Black" w:cs="Arial Black"/>
        </w:rPr>
      </w:pPr>
      <w:bookmarkStart w:id="3" w:name="_Toc426101426"/>
      <w:r>
        <w:rPr>
          <w:spacing w:val="-1"/>
        </w:rPr>
        <w:t>OMB</w:t>
      </w:r>
      <w:r>
        <w:rPr>
          <w:spacing w:val="2"/>
        </w:rPr>
        <w:t xml:space="preserve"> </w:t>
      </w:r>
      <w:r>
        <w:t>SUPPORTING</w:t>
      </w:r>
      <w:r>
        <w:rPr>
          <w:spacing w:val="-3"/>
        </w:rPr>
        <w:t xml:space="preserve"> </w:t>
      </w:r>
      <w:r>
        <w:rPr>
          <w:spacing w:val="-1"/>
        </w:rPr>
        <w:t>STATEMENT</w:t>
      </w:r>
      <w:r>
        <w:t xml:space="preserve"> </w:t>
      </w:r>
      <w:r>
        <w:rPr>
          <w:spacing w:val="-1"/>
        </w:rPr>
        <w:t>PART</w:t>
      </w:r>
      <w:r>
        <w:rPr>
          <w:spacing w:val="-3"/>
        </w:rPr>
        <w:t xml:space="preserve"> </w:t>
      </w:r>
      <w:r>
        <w:t>A</w:t>
      </w:r>
      <w:r>
        <w:rPr>
          <w:spacing w:val="2"/>
        </w:rPr>
        <w:t xml:space="preserve"> </w:t>
      </w:r>
      <w:r>
        <w:rPr>
          <w:spacing w:val="-1"/>
        </w:rPr>
        <w:t>FOR</w:t>
      </w:r>
      <w:r>
        <w:rPr>
          <w:spacing w:val="2"/>
        </w:rPr>
        <w:t xml:space="preserve"> </w:t>
      </w:r>
      <w:r>
        <w:t>EVALUATING A PILOT MOBILE HEALTH PROGRAM</w:t>
      </w:r>
      <w:bookmarkEnd w:id="2"/>
      <w:bookmarkEnd w:id="3"/>
    </w:p>
    <w:p w14:paraId="4252D61B" w14:textId="06368122" w:rsidR="00695319" w:rsidRDefault="007B5951" w:rsidP="00CD2D40">
      <w:pPr>
        <w:pStyle w:val="H3Alpha"/>
        <w:rPr>
          <w:rFonts w:eastAsia="Arial Black"/>
        </w:rPr>
      </w:pPr>
      <w:bookmarkStart w:id="4" w:name="A._Justification"/>
      <w:bookmarkStart w:id="5" w:name="_Toc409097425"/>
      <w:bookmarkStart w:id="6" w:name="_Toc426101427"/>
      <w:bookmarkEnd w:id="4"/>
      <w:r>
        <w:rPr>
          <w:rFonts w:eastAsia="Arial Black"/>
        </w:rPr>
        <w:t>A.</w:t>
      </w:r>
      <w:r>
        <w:rPr>
          <w:rFonts w:eastAsia="Arial Black"/>
        </w:rPr>
        <w:tab/>
      </w:r>
      <w:r w:rsidR="000E0AEB">
        <w:rPr>
          <w:rFonts w:eastAsia="Arial Black"/>
        </w:rPr>
        <w:t>Background</w:t>
      </w:r>
      <w:bookmarkStart w:id="7" w:name="_Toc409097426"/>
      <w:bookmarkEnd w:id="5"/>
      <w:bookmarkEnd w:id="6"/>
    </w:p>
    <w:p w14:paraId="0201BD53" w14:textId="679D77B5" w:rsidR="0019564B" w:rsidRPr="001D12DA" w:rsidRDefault="00626FD7" w:rsidP="00CD2D40">
      <w:pPr>
        <w:pStyle w:val="H4Number"/>
        <w:rPr>
          <w:rFonts w:eastAsia="Arial Black"/>
        </w:rPr>
      </w:pPr>
      <w:bookmarkStart w:id="8" w:name="_Toc426101428"/>
      <w:r>
        <w:rPr>
          <w:rFonts w:eastAsia="Arial Black"/>
        </w:rPr>
        <w:t>1.</w:t>
      </w:r>
      <w:r>
        <w:rPr>
          <w:rFonts w:eastAsia="Arial Black"/>
        </w:rPr>
        <w:tab/>
      </w:r>
      <w:r w:rsidR="008B6931" w:rsidRPr="001D12DA">
        <w:rPr>
          <w:rFonts w:eastAsia="Arial Black"/>
        </w:rPr>
        <w:t xml:space="preserve">Overview of a </w:t>
      </w:r>
      <w:r w:rsidR="004F4C8E">
        <w:rPr>
          <w:rFonts w:eastAsia="Arial Black"/>
        </w:rPr>
        <w:t>p</w:t>
      </w:r>
      <w:r w:rsidR="008B6931" w:rsidRPr="001D12DA">
        <w:rPr>
          <w:rFonts w:eastAsia="Arial Black"/>
        </w:rPr>
        <w:t xml:space="preserve">ilot </w:t>
      </w:r>
      <w:r w:rsidR="004F4C8E">
        <w:rPr>
          <w:rFonts w:eastAsia="Arial Black"/>
        </w:rPr>
        <w:t>m</w:t>
      </w:r>
      <w:r w:rsidR="008B6931" w:rsidRPr="001D12DA">
        <w:rPr>
          <w:rFonts w:eastAsia="Arial Black"/>
        </w:rPr>
        <w:t xml:space="preserve">obile </w:t>
      </w:r>
      <w:r w:rsidR="004F4C8E">
        <w:rPr>
          <w:rFonts w:eastAsia="Arial Black"/>
        </w:rPr>
        <w:t>h</w:t>
      </w:r>
      <w:r w:rsidR="008B6931" w:rsidRPr="001D12DA">
        <w:rPr>
          <w:rFonts w:eastAsia="Arial Black"/>
        </w:rPr>
        <w:t xml:space="preserve">ealth </w:t>
      </w:r>
      <w:r w:rsidR="004F4C8E">
        <w:rPr>
          <w:rFonts w:eastAsia="Arial Black"/>
        </w:rPr>
        <w:t>p</w:t>
      </w:r>
      <w:r w:rsidR="008B6931" w:rsidRPr="001D12DA">
        <w:rPr>
          <w:rFonts w:eastAsia="Arial Black"/>
        </w:rPr>
        <w:t>rogram</w:t>
      </w:r>
      <w:bookmarkEnd w:id="7"/>
      <w:bookmarkEnd w:id="8"/>
    </w:p>
    <w:p w14:paraId="281A2295" w14:textId="2C027F10" w:rsidR="001431BA" w:rsidRDefault="00134E8D" w:rsidP="003A5A5F">
      <w:pPr>
        <w:pStyle w:val="NormalSS"/>
        <w:rPr>
          <w:szCs w:val="24"/>
        </w:rPr>
      </w:pPr>
      <w:r w:rsidRPr="001431BA">
        <w:rPr>
          <w:szCs w:val="24"/>
        </w:rPr>
        <w:t xml:space="preserve">The Center for Medicaid &amp; CHIP Services (CMCS), a division of the Centers for Medicare </w:t>
      </w:r>
      <w:r w:rsidR="008C5368">
        <w:rPr>
          <w:szCs w:val="24"/>
        </w:rPr>
        <w:t>&amp;</w:t>
      </w:r>
      <w:r w:rsidRPr="001431BA">
        <w:rPr>
          <w:szCs w:val="24"/>
        </w:rPr>
        <w:t xml:space="preserve"> Medicaid Services (CMS), is supporting a pilot mobile health (</w:t>
      </w:r>
      <w:proofErr w:type="spellStart"/>
      <w:r w:rsidRPr="001431BA">
        <w:rPr>
          <w:szCs w:val="24"/>
        </w:rPr>
        <w:t>mHealth</w:t>
      </w:r>
      <w:proofErr w:type="spellEnd"/>
      <w:r w:rsidRPr="001431BA">
        <w:rPr>
          <w:szCs w:val="24"/>
        </w:rPr>
        <w:t xml:space="preserve">) program in California, Louisiana, Ohio, and Oklahoma. The three-year </w:t>
      </w:r>
      <w:proofErr w:type="spellStart"/>
      <w:r w:rsidRPr="001431BA">
        <w:rPr>
          <w:szCs w:val="24"/>
        </w:rPr>
        <w:t>mHealth</w:t>
      </w:r>
      <w:proofErr w:type="spellEnd"/>
      <w:r w:rsidRPr="001431BA">
        <w:rPr>
          <w:szCs w:val="24"/>
        </w:rPr>
        <w:t xml:space="preserve"> project is being conducted to complement existing CMCS measurement, data collection, and reporting activities to monitor, track, and assess state’s maternal and infant health efforts in Medicaid and CHIP populations. This project focuses on developing key measures of matern</w:t>
      </w:r>
      <w:r w:rsidR="00DC1E62">
        <w:rPr>
          <w:szCs w:val="24"/>
        </w:rPr>
        <w:t>al and infant child health</w:t>
      </w:r>
      <w:r w:rsidRPr="001431BA">
        <w:rPr>
          <w:szCs w:val="24"/>
        </w:rPr>
        <w:t xml:space="preserve"> in the Medicaid population.  This information will be used in monitoring performance of the participating states on the Maternity Core Set measures and in updating the Adult Core Set annually as required by Section 2701of the Patient Protection and Affordable Care</w:t>
      </w:r>
      <w:r w:rsidR="00837984">
        <w:rPr>
          <w:szCs w:val="24"/>
        </w:rPr>
        <w:t xml:space="preserve"> Act (ACA).</w:t>
      </w:r>
    </w:p>
    <w:p w14:paraId="5CD6E362" w14:textId="4DB1CAA8" w:rsidR="00134E8D" w:rsidRDefault="00134E8D" w:rsidP="003A5A5F">
      <w:pPr>
        <w:pStyle w:val="NormalSS"/>
      </w:pPr>
      <w:r w:rsidRPr="001431BA">
        <w:rPr>
          <w:szCs w:val="24"/>
        </w:rPr>
        <w:t xml:space="preserve">The project also involves the implementation of a customized version of Text4baby within the four states to assess the role of health education, knowledge, and behavior play in observed perinatal health outcomes. </w:t>
      </w:r>
      <w:r w:rsidR="001431BA" w:rsidRPr="005B0656">
        <w:t xml:space="preserve">Text4baby </w:t>
      </w:r>
      <w:r w:rsidR="001431BA">
        <w:t xml:space="preserve">is </w:t>
      </w:r>
      <w:r w:rsidR="001431BA" w:rsidRPr="005B0656">
        <w:t xml:space="preserve">provided free to </w:t>
      </w:r>
      <w:r w:rsidR="001431BA">
        <w:t>those</w:t>
      </w:r>
      <w:r w:rsidR="001431BA" w:rsidRPr="005B0656">
        <w:t xml:space="preserve"> who enroll </w:t>
      </w:r>
      <w:r w:rsidR="001431BA">
        <w:t>in the service via text message or through the Text4baby website</w:t>
      </w:r>
      <w:r w:rsidR="001431BA" w:rsidRPr="005B0656">
        <w:t xml:space="preserve">. The service is overseen by </w:t>
      </w:r>
      <w:proofErr w:type="spellStart"/>
      <w:r w:rsidR="001431BA" w:rsidRPr="005B0656">
        <w:t>Voxiva</w:t>
      </w:r>
      <w:proofErr w:type="spellEnd"/>
      <w:r w:rsidR="001431BA" w:rsidRPr="005B0656">
        <w:t xml:space="preserve">, </w:t>
      </w:r>
      <w:r w:rsidR="0048092D" w:rsidRPr="005B0656">
        <w:t>a</w:t>
      </w:r>
      <w:r w:rsidR="001431BA" w:rsidRPr="005B0656">
        <w:t xml:space="preserve"> </w:t>
      </w:r>
      <w:proofErr w:type="spellStart"/>
      <w:r w:rsidR="001431BA" w:rsidRPr="005B0656">
        <w:t>m</w:t>
      </w:r>
      <w:r w:rsidR="001431BA">
        <w:t>H</w:t>
      </w:r>
      <w:r w:rsidR="001431BA" w:rsidRPr="005B0656">
        <w:t>ealth</w:t>
      </w:r>
      <w:proofErr w:type="spellEnd"/>
      <w:r w:rsidR="001431BA" w:rsidRPr="005B0656">
        <w:t xml:space="preserve"> and wellness company</w:t>
      </w:r>
      <w:r w:rsidR="00050EC2">
        <w:t xml:space="preserve">. Zero to Three </w:t>
      </w:r>
      <w:r w:rsidR="001431BA">
        <w:t>developed more than 250 messages for the Text4baby service that contain critical information for pregnant women and new mothers with infants younger than one year. The m</w:t>
      </w:r>
      <w:r w:rsidR="001431BA" w:rsidRPr="00BF25E3">
        <w:t>essages contain brief, interactive</w:t>
      </w:r>
      <w:r w:rsidR="001431BA">
        <w:t xml:space="preserve"> </w:t>
      </w:r>
      <w:r w:rsidR="001431BA" w:rsidRPr="00BF25E3">
        <w:t>information encouraging healthy behaviors and share ways to improve maternal</w:t>
      </w:r>
      <w:r w:rsidR="001431BA">
        <w:t xml:space="preserve"> </w:t>
      </w:r>
      <w:r w:rsidR="00E444E2">
        <w:t>and child health.</w:t>
      </w:r>
    </w:p>
    <w:p w14:paraId="477E964B" w14:textId="6B9CF9EC" w:rsidR="002D2D1A" w:rsidRPr="001D12DA" w:rsidRDefault="00626FD7" w:rsidP="00CD2D40">
      <w:pPr>
        <w:pStyle w:val="H4Number"/>
      </w:pPr>
      <w:bookmarkStart w:id="9" w:name="_Toc409097427"/>
      <w:bookmarkStart w:id="10" w:name="_Toc426101429"/>
      <w:r>
        <w:t>2.</w:t>
      </w:r>
      <w:r>
        <w:tab/>
      </w:r>
      <w:r w:rsidR="008B6931" w:rsidRPr="001D12DA">
        <w:t xml:space="preserve">Need for </w:t>
      </w:r>
      <w:r w:rsidR="00DA7F83">
        <w:t>e</w:t>
      </w:r>
      <w:r w:rsidR="008B6931" w:rsidRPr="001D12DA">
        <w:t xml:space="preserve">valuation of a </w:t>
      </w:r>
      <w:r w:rsidR="00DA7F83">
        <w:t>p</w:t>
      </w:r>
      <w:r w:rsidR="008B6931" w:rsidRPr="001D12DA">
        <w:t xml:space="preserve">ilot </w:t>
      </w:r>
      <w:proofErr w:type="spellStart"/>
      <w:r w:rsidR="00DA7F83">
        <w:t>m</w:t>
      </w:r>
      <w:r w:rsidR="008B6931" w:rsidRPr="001D12DA">
        <w:t>Health</w:t>
      </w:r>
      <w:proofErr w:type="spellEnd"/>
      <w:r w:rsidR="008B6931" w:rsidRPr="001D12DA">
        <w:t xml:space="preserve"> </w:t>
      </w:r>
      <w:r w:rsidR="00DA7F83">
        <w:t>p</w:t>
      </w:r>
      <w:r w:rsidR="008B6931" w:rsidRPr="001D12DA">
        <w:t>rogram</w:t>
      </w:r>
      <w:bookmarkEnd w:id="9"/>
      <w:bookmarkEnd w:id="10"/>
    </w:p>
    <w:p w14:paraId="75CA567C" w14:textId="6F96F4D8" w:rsidR="00E06042" w:rsidRPr="006D6BA4" w:rsidRDefault="00050EC2" w:rsidP="00E06042">
      <w:pPr>
        <w:pStyle w:val="NormalSS"/>
      </w:pPr>
      <w:r>
        <w:t xml:space="preserve">The unique feature of the pilot </w:t>
      </w:r>
      <w:proofErr w:type="spellStart"/>
      <w:r>
        <w:t>mHealth</w:t>
      </w:r>
      <w:proofErr w:type="spellEnd"/>
      <w:r>
        <w:t xml:space="preserve"> program is its education component delivered through Text4baby. </w:t>
      </w:r>
      <w:r w:rsidR="00E06042" w:rsidRPr="006D6BA4">
        <w:t xml:space="preserve">Despite the interest in and potential benefits of </w:t>
      </w:r>
      <w:proofErr w:type="spellStart"/>
      <w:r w:rsidR="00E06042" w:rsidRPr="006D6BA4">
        <w:t>mHealth</w:t>
      </w:r>
      <w:proofErr w:type="spellEnd"/>
      <w:r w:rsidR="00E06042" w:rsidRPr="006D6BA4">
        <w:t xml:space="preserve"> programs, their effect on health knowledge, behavior, and outcomes has been inconclusive. Several studies have demonstrated </w:t>
      </w:r>
      <w:proofErr w:type="spellStart"/>
      <w:r w:rsidR="00E06042" w:rsidRPr="006D6BA4">
        <w:t>mHealth’s</w:t>
      </w:r>
      <w:proofErr w:type="spellEnd"/>
      <w:r w:rsidR="00E06042" w:rsidRPr="006D6BA4">
        <w:t xml:space="preserve"> potential to prompt behavior changes </w:t>
      </w:r>
      <w:r w:rsidR="00E06042">
        <w:t xml:space="preserve">related to use of </w:t>
      </w:r>
      <w:r w:rsidR="00E06042" w:rsidRPr="006D6BA4">
        <w:t>oral contraceptives, physical activity, and smoking cessation</w:t>
      </w:r>
      <w:r w:rsidR="00E06042">
        <w:t>, while</w:t>
      </w:r>
      <w:r w:rsidR="00E06042" w:rsidRPr="006D6BA4">
        <w:t xml:space="preserve"> others have shown no effect or inconc</w:t>
      </w:r>
      <w:r w:rsidR="00E06042">
        <w:t xml:space="preserve">lusive </w:t>
      </w:r>
      <w:proofErr w:type="gramStart"/>
      <w:r w:rsidR="00E06042">
        <w:t>results</w:t>
      </w:r>
      <w:r w:rsidR="005E614C">
        <w:t>.</w:t>
      </w:r>
      <w:r w:rsidR="00E06042">
        <w:rPr>
          <w:rStyle w:val="FootnoteReference"/>
          <w:szCs w:val="24"/>
        </w:rPr>
        <w:footnoteReference w:id="1"/>
      </w:r>
      <w:r w:rsidR="00E06042" w:rsidRPr="00F530E6">
        <w:rPr>
          <w:vertAlign w:val="superscript"/>
        </w:rPr>
        <w:t>,</w:t>
      </w:r>
      <w:r w:rsidR="00E06042">
        <w:rPr>
          <w:rStyle w:val="FootnoteReference"/>
          <w:szCs w:val="24"/>
        </w:rPr>
        <w:footnoteReference w:id="2"/>
      </w:r>
      <w:r w:rsidR="00E06042" w:rsidRPr="00F530E6">
        <w:rPr>
          <w:vertAlign w:val="superscript"/>
        </w:rPr>
        <w:t>,</w:t>
      </w:r>
      <w:proofErr w:type="gramEnd"/>
      <w:r w:rsidR="00E06042">
        <w:rPr>
          <w:rStyle w:val="FootnoteReference"/>
          <w:szCs w:val="24"/>
        </w:rPr>
        <w:footnoteReference w:id="3"/>
      </w:r>
      <w:r w:rsidR="005E614C">
        <w:t xml:space="preserve"> </w:t>
      </w:r>
      <w:r w:rsidR="00E06042" w:rsidRPr="006D6BA4">
        <w:t>Studies specific to Text4baby have also been limited</w:t>
      </w:r>
      <w:r w:rsidR="00E06042">
        <w:t xml:space="preserve">. One </w:t>
      </w:r>
      <w:r w:rsidR="00E06042" w:rsidRPr="006D6BA4">
        <w:t>study showed small effects on knowledge and beliefs related to preparedness for motherhood</w:t>
      </w:r>
      <w:r w:rsidR="00E06042">
        <w:t>, although the</w:t>
      </w:r>
      <w:r w:rsidR="00E06042" w:rsidRPr="006D6BA4">
        <w:t xml:space="preserve"> effects on behavior change were not conclusive.</w:t>
      </w:r>
      <w:r w:rsidR="00E06042">
        <w:rPr>
          <w:rStyle w:val="FootnoteReference"/>
          <w:szCs w:val="24"/>
        </w:rPr>
        <w:footnoteReference w:id="4"/>
      </w:r>
      <w:r w:rsidR="00E06042" w:rsidRPr="006D6BA4">
        <w:t xml:space="preserve"> </w:t>
      </w:r>
      <w:r w:rsidR="00E06042">
        <w:t>A</w:t>
      </w:r>
      <w:r w:rsidR="00E06042" w:rsidRPr="006D6BA4">
        <w:t>lthough several studies have focused on socioeconomically disadvantaged populations, none ha</w:t>
      </w:r>
      <w:r w:rsidR="00E06042">
        <w:t>ve</w:t>
      </w:r>
      <w:r w:rsidR="00E06042" w:rsidRPr="006D6BA4">
        <w:t xml:space="preserve"> concentrated specifically on the effect of Text4baby </w:t>
      </w:r>
      <w:r w:rsidR="00E06042">
        <w:t>i</w:t>
      </w:r>
      <w:r w:rsidR="00E06042" w:rsidRPr="006D6BA4">
        <w:t>n the Medicaid population.</w:t>
      </w:r>
      <w:r w:rsidR="00E06042">
        <w:rPr>
          <w:rStyle w:val="FootnoteReference"/>
          <w:szCs w:val="24"/>
        </w:rPr>
        <w:footnoteReference w:id="5"/>
      </w:r>
      <w:r w:rsidR="00E06042" w:rsidRPr="00DA7F83">
        <w:rPr>
          <w:vertAlign w:val="superscript"/>
        </w:rPr>
        <w:t>,</w:t>
      </w:r>
      <w:r w:rsidR="00E06042">
        <w:rPr>
          <w:rStyle w:val="FootnoteReference"/>
          <w:szCs w:val="24"/>
        </w:rPr>
        <w:footnoteReference w:id="6"/>
      </w:r>
      <w:r w:rsidR="00E06042" w:rsidRPr="006D6BA4">
        <w:t xml:space="preserve"> The limited evidence in these studies highlights the need to further assess key implementation factors related to outreach, participation, and engagement</w:t>
      </w:r>
      <w:r w:rsidR="00E06042">
        <w:t>, which</w:t>
      </w:r>
      <w:r w:rsidR="00E06042" w:rsidRPr="006D6BA4">
        <w:t xml:space="preserve"> might explain variation in outcomes, especially among disadvantaged populations that might benefit the most from </w:t>
      </w:r>
      <w:proofErr w:type="spellStart"/>
      <w:r w:rsidR="00E06042" w:rsidRPr="006D6BA4">
        <w:t>mHealth</w:t>
      </w:r>
      <w:proofErr w:type="spellEnd"/>
      <w:r w:rsidR="00E06042" w:rsidRPr="006D6BA4">
        <w:t xml:space="preserve"> interventions. Given the limited information available on the effect of Text4baby and the underlying factors that could drive these effects, especially in the Medicaid population, </w:t>
      </w:r>
      <w:r w:rsidR="00E06042">
        <w:t>CMCS</w:t>
      </w:r>
      <w:r w:rsidR="00E06042" w:rsidRPr="006D6BA4">
        <w:t xml:space="preserve"> </w:t>
      </w:r>
      <w:r w:rsidR="00E06042">
        <w:t>has funded</w:t>
      </w:r>
      <w:r w:rsidR="00E06042" w:rsidRPr="006D6BA4">
        <w:t xml:space="preserve"> an evaluation of the pilot </w:t>
      </w:r>
      <w:proofErr w:type="spellStart"/>
      <w:r w:rsidR="00E06042" w:rsidRPr="006D6BA4">
        <w:t>mHealth</w:t>
      </w:r>
      <w:proofErr w:type="spellEnd"/>
      <w:r w:rsidR="00E06042" w:rsidRPr="006D6BA4">
        <w:t xml:space="preserve"> program to further assess the potential of </w:t>
      </w:r>
      <w:proofErr w:type="spellStart"/>
      <w:r w:rsidR="00E06042" w:rsidRPr="006D6BA4">
        <w:t>mHealth</w:t>
      </w:r>
      <w:proofErr w:type="spellEnd"/>
      <w:r w:rsidR="00E06042" w:rsidRPr="006D6BA4">
        <w:t xml:space="preserve"> programs to improve maternal and infant health among Medicaid enrollees. </w:t>
      </w:r>
      <w:r>
        <w:t>Most importantly</w:t>
      </w:r>
      <w:r w:rsidR="00E06042" w:rsidRPr="006D6BA4">
        <w:t xml:space="preserve">, </w:t>
      </w:r>
      <w:r>
        <w:t>the data collection and analysis methods from this study will be used to track performance of participating states on key prioritized measures for CMCS’ initiatives related to maternal and infant health</w:t>
      </w:r>
      <w:r w:rsidR="00DC1E62">
        <w:t xml:space="preserve"> and the methods developed under the evaluation can be used by other states to conduct similar monitoring and evaluation.</w:t>
      </w:r>
      <w:r>
        <w:t xml:space="preserve"> </w:t>
      </w:r>
      <w:r w:rsidR="00563620">
        <w:t xml:space="preserve">A contractor will conduct the evaluation of a pilot </w:t>
      </w:r>
      <w:proofErr w:type="spellStart"/>
      <w:r w:rsidR="00563620">
        <w:t>mHealth</w:t>
      </w:r>
      <w:proofErr w:type="spellEnd"/>
      <w:r w:rsidR="00563620">
        <w:t xml:space="preserve"> program for </w:t>
      </w:r>
      <w:proofErr w:type="spellStart"/>
      <w:r w:rsidR="00563620">
        <w:t>CMCS</w:t>
      </w:r>
      <w:proofErr w:type="spellEnd"/>
      <w:r w:rsidR="00563620">
        <w:t>.</w:t>
      </w:r>
    </w:p>
    <w:p w14:paraId="094AA86C" w14:textId="6C92851D" w:rsidR="00D449E1" w:rsidRPr="001D12DA" w:rsidRDefault="00626FD7" w:rsidP="00CD2D40">
      <w:pPr>
        <w:pStyle w:val="H4Number"/>
      </w:pPr>
      <w:bookmarkStart w:id="11" w:name="_Toc409097428"/>
      <w:bookmarkStart w:id="12" w:name="_Toc426101430"/>
      <w:r>
        <w:t>3.</w:t>
      </w:r>
      <w:r>
        <w:tab/>
      </w:r>
      <w:r w:rsidR="0019564B" w:rsidRPr="001D12DA">
        <w:t xml:space="preserve">Data </w:t>
      </w:r>
      <w:r w:rsidR="00DA7F83">
        <w:t>c</w:t>
      </w:r>
      <w:r w:rsidR="0019564B" w:rsidRPr="001D12DA">
        <w:t xml:space="preserve">ollection </w:t>
      </w:r>
      <w:r w:rsidR="00DA7F83">
        <w:t>a</w:t>
      </w:r>
      <w:r w:rsidR="0019564B" w:rsidRPr="001D12DA">
        <w:t xml:space="preserve">ctivities under the </w:t>
      </w:r>
      <w:r w:rsidR="00DA7F83">
        <w:t>e</w:t>
      </w:r>
      <w:r w:rsidR="0019564B" w:rsidRPr="001D12DA">
        <w:t xml:space="preserve">valuation of </w:t>
      </w:r>
      <w:r w:rsidR="008B6931" w:rsidRPr="001D12DA">
        <w:t xml:space="preserve">a </w:t>
      </w:r>
      <w:r w:rsidR="00DA7F83">
        <w:t>p</w:t>
      </w:r>
      <w:r w:rsidR="008B6931" w:rsidRPr="001D12DA">
        <w:t xml:space="preserve">ilot </w:t>
      </w:r>
      <w:proofErr w:type="spellStart"/>
      <w:r w:rsidR="00DA7F83">
        <w:t>m</w:t>
      </w:r>
      <w:r w:rsidR="008B6931" w:rsidRPr="001D12DA">
        <w:t>Health</w:t>
      </w:r>
      <w:proofErr w:type="spellEnd"/>
      <w:r w:rsidR="008B6931" w:rsidRPr="001D12DA">
        <w:t xml:space="preserve"> </w:t>
      </w:r>
      <w:r w:rsidR="00DA7F83">
        <w:t>p</w:t>
      </w:r>
      <w:r w:rsidR="008B6931" w:rsidRPr="001D12DA">
        <w:t>rogram</w:t>
      </w:r>
      <w:bookmarkEnd w:id="11"/>
      <w:bookmarkEnd w:id="12"/>
    </w:p>
    <w:p w14:paraId="102BFE58" w14:textId="1424D6FF" w:rsidR="009161B4" w:rsidRDefault="009161B4" w:rsidP="00626FD7">
      <w:pPr>
        <w:pStyle w:val="NormalSS"/>
      </w:pPr>
      <w:r>
        <w:t xml:space="preserve">Data for the evaluation will come from </w:t>
      </w:r>
      <w:r w:rsidR="00797826">
        <w:t xml:space="preserve">several primary </w:t>
      </w:r>
      <w:r w:rsidR="00EF7CC2">
        <w:t xml:space="preserve">and secondary </w:t>
      </w:r>
      <w:r w:rsidR="00797826">
        <w:t>data sources.</w:t>
      </w:r>
      <w:r w:rsidR="00797826">
        <w:rPr>
          <w:rStyle w:val="FootnoteReference"/>
          <w:szCs w:val="24"/>
        </w:rPr>
        <w:footnoteReference w:id="7"/>
      </w:r>
      <w:r w:rsidR="00797826">
        <w:t xml:space="preserve"> </w:t>
      </w:r>
      <w:r w:rsidR="003F06DD">
        <w:t xml:space="preserve">All </w:t>
      </w:r>
      <w:r w:rsidR="00563620">
        <w:t xml:space="preserve">primary and secondary </w:t>
      </w:r>
      <w:r w:rsidR="003F06DD">
        <w:t xml:space="preserve">data for this evaluation will be collected and analyzed by </w:t>
      </w:r>
      <w:r w:rsidR="007D0388">
        <w:t>CMCS’s contractor</w:t>
      </w:r>
      <w:r w:rsidR="003F06DD">
        <w:t xml:space="preserve">. </w:t>
      </w:r>
      <w:r w:rsidR="00A82CBE">
        <w:t>Data will remain with the contractor until the end of the study, at which time the contractor will destroy data as specified in data use agreements and institutional review board clearances</w:t>
      </w:r>
      <w:r w:rsidR="003F06DD">
        <w:t>.</w:t>
      </w:r>
      <w:r w:rsidR="00563620">
        <w:t xml:space="preserve"> </w:t>
      </w:r>
      <w:r w:rsidR="00797826">
        <w:t xml:space="preserve">The </w:t>
      </w:r>
      <w:r w:rsidR="004F0EAC">
        <w:t>three</w:t>
      </w:r>
      <w:r>
        <w:t xml:space="preserve"> primary data sources</w:t>
      </w:r>
      <w:r w:rsidR="00797826">
        <w:t xml:space="preserve"> for which </w:t>
      </w:r>
      <w:r w:rsidR="007446B0">
        <w:t>CMCS</w:t>
      </w:r>
      <w:r w:rsidR="00797826">
        <w:t xml:space="preserve"> seek</w:t>
      </w:r>
      <w:r w:rsidR="00D51B24">
        <w:t>s</w:t>
      </w:r>
      <w:r w:rsidR="00797826">
        <w:t xml:space="preserve"> O</w:t>
      </w:r>
      <w:r w:rsidR="00D51B24">
        <w:t xml:space="preserve">ffice of Management and Budget </w:t>
      </w:r>
      <w:r w:rsidR="00797826">
        <w:t xml:space="preserve">(OMB) </w:t>
      </w:r>
      <w:r w:rsidR="00D51B24">
        <w:t xml:space="preserve">clearance </w:t>
      </w:r>
      <w:r w:rsidR="00797826">
        <w:t>include</w:t>
      </w:r>
      <w:r>
        <w:t xml:space="preserve">: a postpartum </w:t>
      </w:r>
      <w:r w:rsidRPr="000F02E0">
        <w:rPr>
          <w:b/>
        </w:rPr>
        <w:t>telephone survey</w:t>
      </w:r>
      <w:r>
        <w:t xml:space="preserve"> of </w:t>
      </w:r>
      <w:r w:rsidR="000650BF">
        <w:t xml:space="preserve">Medicaid-enrolled </w:t>
      </w:r>
      <w:r w:rsidR="005A6F25">
        <w:t>pilot program participants and nonparticipants</w:t>
      </w:r>
      <w:r w:rsidR="000650BF">
        <w:t xml:space="preserve"> </w:t>
      </w:r>
      <w:r>
        <w:t>in the four pilot states</w:t>
      </w:r>
      <w:r w:rsidR="00373E0E">
        <w:t xml:space="preserve"> (see Appendix A for all materials related to the telephone survey)</w:t>
      </w:r>
      <w:r w:rsidRPr="000F02E0">
        <w:t xml:space="preserve">; </w:t>
      </w:r>
      <w:r w:rsidRPr="000F02E0">
        <w:rPr>
          <w:b/>
        </w:rPr>
        <w:t>key</w:t>
      </w:r>
      <w:r w:rsidRPr="000F02E0">
        <w:t xml:space="preserve"> </w:t>
      </w:r>
      <w:r w:rsidRPr="000F02E0">
        <w:rPr>
          <w:b/>
        </w:rPr>
        <w:t>informant interviews</w:t>
      </w:r>
      <w:r w:rsidRPr="000F02E0">
        <w:t xml:space="preserve"> with </w:t>
      </w:r>
      <w:proofErr w:type="spellStart"/>
      <w:r w:rsidR="007446B0">
        <w:t>CMCS</w:t>
      </w:r>
      <w:proofErr w:type="spellEnd"/>
      <w:r w:rsidR="00970BEF">
        <w:t xml:space="preserve">, </w:t>
      </w:r>
      <w:proofErr w:type="spellStart"/>
      <w:r w:rsidR="00970BEF">
        <w:t>Voxiva</w:t>
      </w:r>
      <w:proofErr w:type="spellEnd"/>
      <w:r w:rsidR="00970BEF">
        <w:t xml:space="preserve">, </w:t>
      </w:r>
      <w:r w:rsidR="0048092D">
        <w:t>Zero to Three</w:t>
      </w:r>
      <w:r w:rsidR="00970BEF">
        <w:t xml:space="preserve">, </w:t>
      </w:r>
      <w:r>
        <w:t xml:space="preserve">state </w:t>
      </w:r>
      <w:r w:rsidRPr="000F02E0">
        <w:t>Medicaid</w:t>
      </w:r>
      <w:r>
        <w:t xml:space="preserve"> agencies</w:t>
      </w:r>
      <w:r w:rsidRPr="000F02E0">
        <w:t xml:space="preserve">, </w:t>
      </w:r>
      <w:r>
        <w:t xml:space="preserve">health care providers, </w:t>
      </w:r>
      <w:r w:rsidR="00970BEF">
        <w:t xml:space="preserve">and </w:t>
      </w:r>
      <w:r w:rsidRPr="000F02E0">
        <w:t>outreach</w:t>
      </w:r>
      <w:r>
        <w:t xml:space="preserve"> </w:t>
      </w:r>
      <w:r w:rsidRPr="000F02E0">
        <w:t>partners</w:t>
      </w:r>
      <w:r w:rsidR="00373E0E">
        <w:t xml:space="preserve"> (see Appendix B for all materials related to key informant interviews)</w:t>
      </w:r>
      <w:r>
        <w:t xml:space="preserve">; </w:t>
      </w:r>
      <w:r w:rsidR="004F0EAC">
        <w:t xml:space="preserve">and </w:t>
      </w:r>
      <w:r w:rsidRPr="000F02E0">
        <w:rPr>
          <w:b/>
        </w:rPr>
        <w:t>focus groups</w:t>
      </w:r>
      <w:r w:rsidRPr="000F02E0">
        <w:t xml:space="preserve"> with </w:t>
      </w:r>
      <w:r w:rsidR="000650BF">
        <w:t>Medicaid-enrolled pilot participants and nonparticipants</w:t>
      </w:r>
      <w:r w:rsidR="00373E0E">
        <w:t xml:space="preserve"> (see Appendix C for all materials related to focus groups)</w:t>
      </w:r>
      <w:r w:rsidR="004F0EAC">
        <w:t>.</w:t>
      </w:r>
    </w:p>
    <w:p w14:paraId="02C937E9" w14:textId="221F14BA" w:rsidR="00D449E1" w:rsidRPr="00487064" w:rsidRDefault="00BE58BB" w:rsidP="00626FD7">
      <w:pPr>
        <w:pStyle w:val="NormalSS"/>
      </w:pPr>
      <w:r>
        <w:t xml:space="preserve">The </w:t>
      </w:r>
      <w:r w:rsidR="004F0EAC">
        <w:t>three</w:t>
      </w:r>
      <w:r w:rsidR="00D449E1" w:rsidRPr="00487064">
        <w:t xml:space="preserve"> </w:t>
      </w:r>
      <w:r w:rsidR="009161B4">
        <w:t xml:space="preserve">primary </w:t>
      </w:r>
      <w:r w:rsidR="00D449E1" w:rsidRPr="00487064">
        <w:t>data collection</w:t>
      </w:r>
      <w:r w:rsidR="00487064" w:rsidRPr="00487064">
        <w:t xml:space="preserve"> </w:t>
      </w:r>
      <w:r w:rsidR="009161B4">
        <w:t>components</w:t>
      </w:r>
      <w:r w:rsidR="00487064" w:rsidRPr="00487064">
        <w:t xml:space="preserve"> are </w:t>
      </w:r>
      <w:r w:rsidR="00092CFE">
        <w:t>summarized</w:t>
      </w:r>
      <w:r w:rsidR="00487064" w:rsidRPr="00487064">
        <w:t xml:space="preserve"> </w:t>
      </w:r>
      <w:r w:rsidR="00213C54">
        <w:t>next</w:t>
      </w:r>
      <w:r w:rsidR="00487064" w:rsidRPr="00487064">
        <w:t>:</w:t>
      </w:r>
    </w:p>
    <w:p w14:paraId="7C72931F" w14:textId="35C50D50" w:rsidR="002B46F6" w:rsidRPr="002B46F6" w:rsidRDefault="00FE2101" w:rsidP="00626FD7">
      <w:pPr>
        <w:pStyle w:val="Bullet"/>
        <w:rPr>
          <w:rFonts w:eastAsiaTheme="minorEastAsia"/>
        </w:rPr>
      </w:pPr>
      <w:r>
        <w:rPr>
          <w:b/>
          <w:bCs/>
          <w:i/>
        </w:rPr>
        <w:t>Medicaid postpartum telephone s</w:t>
      </w:r>
      <w:r w:rsidRPr="005B124A">
        <w:rPr>
          <w:b/>
          <w:bCs/>
          <w:i/>
        </w:rPr>
        <w:t>urvey</w:t>
      </w:r>
      <w:r w:rsidR="002B46F6">
        <w:rPr>
          <w:b/>
          <w:bCs/>
          <w:i/>
        </w:rPr>
        <w:t xml:space="preserve">. </w:t>
      </w:r>
      <w:r w:rsidR="00213C54">
        <w:rPr>
          <w:rFonts w:eastAsiaTheme="minorEastAsia"/>
        </w:rPr>
        <w:t>A</w:t>
      </w:r>
      <w:r w:rsidR="002145A8" w:rsidRPr="002145A8">
        <w:rPr>
          <w:rFonts w:eastAsiaTheme="minorEastAsia"/>
        </w:rPr>
        <w:t>pproximately 2,400 postpartum Medicaid</w:t>
      </w:r>
      <w:r w:rsidR="000650BF">
        <w:rPr>
          <w:rFonts w:eastAsiaTheme="minorEastAsia"/>
        </w:rPr>
        <w:t xml:space="preserve">–enrolled </w:t>
      </w:r>
      <w:r w:rsidR="005A6F25">
        <w:rPr>
          <w:rFonts w:eastAsiaTheme="minorEastAsia"/>
        </w:rPr>
        <w:t>pilot program participants and nonparticipants</w:t>
      </w:r>
      <w:r w:rsidR="002145A8" w:rsidRPr="002145A8">
        <w:rPr>
          <w:rFonts w:eastAsiaTheme="minorEastAsia"/>
        </w:rPr>
        <w:t xml:space="preserve">, or about 600 women in each of the four states participating in the pilot, </w:t>
      </w:r>
      <w:r w:rsidR="00213C54">
        <w:rPr>
          <w:rFonts w:eastAsiaTheme="minorEastAsia"/>
        </w:rPr>
        <w:t xml:space="preserve">will be selected </w:t>
      </w:r>
      <w:r w:rsidR="002145A8" w:rsidRPr="002145A8">
        <w:rPr>
          <w:rFonts w:eastAsiaTheme="minorEastAsia"/>
        </w:rPr>
        <w:t xml:space="preserve">to participate in the </w:t>
      </w:r>
      <w:r w:rsidR="004B31FA">
        <w:rPr>
          <w:rFonts w:eastAsiaTheme="minorEastAsia"/>
        </w:rPr>
        <w:t>telephone</w:t>
      </w:r>
      <w:r w:rsidR="002145A8" w:rsidRPr="002145A8">
        <w:rPr>
          <w:rFonts w:eastAsiaTheme="minorEastAsia"/>
        </w:rPr>
        <w:t xml:space="preserve"> survey. To be eligible for the survey, women must have a delivery paid for by Medicaid</w:t>
      </w:r>
      <w:r w:rsidR="000E4769">
        <w:rPr>
          <w:rFonts w:eastAsiaTheme="minorEastAsia"/>
        </w:rPr>
        <w:t>/CHIP</w:t>
      </w:r>
      <w:r w:rsidR="002145A8" w:rsidRPr="002145A8">
        <w:rPr>
          <w:rFonts w:eastAsiaTheme="minorEastAsia"/>
        </w:rPr>
        <w:t xml:space="preserve"> or an infant with Medicaid coverage at birth. Ideally, women will be </w:t>
      </w:r>
      <w:r w:rsidR="00720F42">
        <w:rPr>
          <w:rFonts w:eastAsiaTheme="minorEastAsia"/>
        </w:rPr>
        <w:t>less than 12</w:t>
      </w:r>
      <w:r w:rsidR="00970BEF" w:rsidRPr="002145A8">
        <w:rPr>
          <w:rFonts w:eastAsiaTheme="minorEastAsia"/>
        </w:rPr>
        <w:t xml:space="preserve"> </w:t>
      </w:r>
      <w:r w:rsidR="002145A8" w:rsidRPr="002145A8">
        <w:rPr>
          <w:rFonts w:eastAsiaTheme="minorEastAsia"/>
        </w:rPr>
        <w:t>months postpartum during the survey field period.</w:t>
      </w:r>
      <w:r w:rsidR="004B31FA">
        <w:rPr>
          <w:rFonts w:eastAsiaTheme="minorEastAsia"/>
        </w:rPr>
        <w:t xml:space="preserve"> This will be a one-time data collection.</w:t>
      </w:r>
    </w:p>
    <w:p w14:paraId="71E2F1E0" w14:textId="0EBA3088" w:rsidR="00BD7F25" w:rsidRPr="00BD7F25" w:rsidRDefault="002B46F6" w:rsidP="00626FD7">
      <w:pPr>
        <w:pStyle w:val="Bullet"/>
      </w:pPr>
      <w:r w:rsidRPr="002B46F6">
        <w:rPr>
          <w:b/>
          <w:i/>
        </w:rPr>
        <w:t>Key informant interviews.</w:t>
      </w:r>
      <w:r w:rsidRPr="004B31FA">
        <w:rPr>
          <w:rFonts w:eastAsiaTheme="minorEastAsia"/>
        </w:rPr>
        <w:t xml:space="preserve"> </w:t>
      </w:r>
      <w:r w:rsidR="007D0388">
        <w:rPr>
          <w:rFonts w:eastAsiaTheme="minorEastAsia"/>
        </w:rPr>
        <w:t>CMCS’s contractor</w:t>
      </w:r>
      <w:r w:rsidR="004B31FA" w:rsidRPr="004B31FA">
        <w:rPr>
          <w:rFonts w:eastAsiaTheme="minorEastAsia"/>
        </w:rPr>
        <w:t xml:space="preserve"> will conduct up to 15 </w:t>
      </w:r>
      <w:r w:rsidR="00D6722B">
        <w:rPr>
          <w:rFonts w:eastAsiaTheme="minorEastAsia"/>
        </w:rPr>
        <w:t xml:space="preserve">telephone </w:t>
      </w:r>
      <w:r w:rsidR="004B31FA" w:rsidRPr="004B31FA">
        <w:rPr>
          <w:rFonts w:eastAsiaTheme="minorEastAsia"/>
        </w:rPr>
        <w:t xml:space="preserve">interviews with key informants from </w:t>
      </w:r>
      <w:proofErr w:type="spellStart"/>
      <w:r w:rsidR="004B31FA" w:rsidRPr="004B31FA">
        <w:rPr>
          <w:rFonts w:eastAsiaTheme="minorEastAsia"/>
        </w:rPr>
        <w:t>CMCS</w:t>
      </w:r>
      <w:proofErr w:type="spellEnd"/>
      <w:r w:rsidR="004B31FA" w:rsidRPr="004B31FA">
        <w:rPr>
          <w:rFonts w:eastAsiaTheme="minorEastAsia"/>
        </w:rPr>
        <w:t xml:space="preserve"> (one interview), </w:t>
      </w:r>
      <w:proofErr w:type="spellStart"/>
      <w:r w:rsidR="004B31FA" w:rsidRPr="004B31FA">
        <w:rPr>
          <w:rFonts w:eastAsiaTheme="minorEastAsia"/>
        </w:rPr>
        <w:t>Voxiva</w:t>
      </w:r>
      <w:proofErr w:type="spellEnd"/>
      <w:r w:rsidR="004B31FA" w:rsidRPr="004B31FA">
        <w:rPr>
          <w:rFonts w:eastAsiaTheme="minorEastAsia"/>
        </w:rPr>
        <w:t xml:space="preserve"> and </w:t>
      </w:r>
      <w:r w:rsidR="0048092D">
        <w:rPr>
          <w:rFonts w:eastAsiaTheme="minorEastAsia"/>
        </w:rPr>
        <w:t>Zero to Three</w:t>
      </w:r>
      <w:r w:rsidR="004B31FA" w:rsidRPr="004B31FA">
        <w:rPr>
          <w:rFonts w:eastAsiaTheme="minorEastAsia"/>
        </w:rPr>
        <w:t xml:space="preserve"> (one interview </w:t>
      </w:r>
      <w:r w:rsidR="00720F42">
        <w:rPr>
          <w:rFonts w:eastAsiaTheme="minorEastAsia"/>
        </w:rPr>
        <w:t>with</w:t>
      </w:r>
      <w:r w:rsidR="00720F42" w:rsidRPr="004B31FA">
        <w:rPr>
          <w:rFonts w:eastAsiaTheme="minorEastAsia"/>
        </w:rPr>
        <w:t xml:space="preserve"> </w:t>
      </w:r>
      <w:r w:rsidR="004B31FA" w:rsidRPr="004B31FA">
        <w:rPr>
          <w:rFonts w:eastAsiaTheme="minorEastAsia"/>
        </w:rPr>
        <w:t>each organization), state Medicaid agencies (one interview per state), and state and local outreach partner organizations (u</w:t>
      </w:r>
      <w:r w:rsidR="00F75A66">
        <w:rPr>
          <w:rFonts w:eastAsiaTheme="minorEastAsia"/>
        </w:rPr>
        <w:t>p to two interviews per state).</w:t>
      </w:r>
      <w:r w:rsidR="00A47DAB">
        <w:rPr>
          <w:rFonts w:eastAsiaTheme="minorEastAsia"/>
        </w:rPr>
        <w:t xml:space="preserve"> </w:t>
      </w:r>
    </w:p>
    <w:p w14:paraId="289EFD4F" w14:textId="63FC2FAC" w:rsidR="00BD7F25" w:rsidRDefault="00BD7F25" w:rsidP="00626FD7">
      <w:pPr>
        <w:pStyle w:val="Bullet"/>
      </w:pPr>
      <w:r w:rsidRPr="00BD7F25">
        <w:rPr>
          <w:b/>
          <w:i/>
        </w:rPr>
        <w:t>Site visits to each participating state.</w:t>
      </w:r>
      <w:r>
        <w:t xml:space="preserve"> </w:t>
      </w:r>
      <w:r w:rsidR="007D0388">
        <w:rPr>
          <w:rFonts w:eastAsiaTheme="minorEastAsia"/>
        </w:rPr>
        <w:t>CMCS’s contractor</w:t>
      </w:r>
      <w:r>
        <w:t xml:space="preserve"> will conduct </w:t>
      </w:r>
      <w:r w:rsidR="00A47DAB">
        <w:t xml:space="preserve">one </w:t>
      </w:r>
      <w:r>
        <w:t xml:space="preserve">round of 1.5-day site visits to each of the four states participating in the pilot. For each site visit, </w:t>
      </w:r>
      <w:r w:rsidR="005353C2">
        <w:t xml:space="preserve">the </w:t>
      </w:r>
      <w:r w:rsidR="007D0388">
        <w:t>contractor</w:t>
      </w:r>
      <w:r>
        <w:t xml:space="preserve"> will select a single geographic area in each state that has a high concentration of Medicaid providers. As part of each site visit, </w:t>
      </w:r>
      <w:r w:rsidR="005353C2">
        <w:t xml:space="preserve">the </w:t>
      </w:r>
      <w:r w:rsidR="007D0388">
        <w:t>contractor</w:t>
      </w:r>
      <w:r>
        <w:t xml:space="preserve"> will conduct two interviews with different providers </w:t>
      </w:r>
      <w:r w:rsidR="00213C54">
        <w:t>that</w:t>
      </w:r>
      <w:r>
        <w:t xml:space="preserve"> deliver care to pregnant and postpartum women enrolled in Medicaid and </w:t>
      </w:r>
      <w:r w:rsidR="00213C54">
        <w:t>that</w:t>
      </w:r>
      <w:r>
        <w:t xml:space="preserve"> have knowledge of </w:t>
      </w:r>
      <w:r w:rsidR="000650BF">
        <w:t>the pilot program</w:t>
      </w:r>
      <w:r>
        <w:t>, and two focus groups with postpartum Medicaid</w:t>
      </w:r>
      <w:r w:rsidR="005F4C10">
        <w:t xml:space="preserve"> pilot program participants</w:t>
      </w:r>
      <w:r>
        <w:t>.</w:t>
      </w:r>
    </w:p>
    <w:p w14:paraId="52831648" w14:textId="68619247" w:rsidR="002B46F6" w:rsidRPr="002B46F6" w:rsidRDefault="00BD7F25" w:rsidP="00626FD7">
      <w:pPr>
        <w:pStyle w:val="Dash"/>
      </w:pPr>
      <w:r w:rsidRPr="00BD7F25">
        <w:rPr>
          <w:rFonts w:eastAsiaTheme="minorEastAsia"/>
          <w:b/>
          <w:i/>
        </w:rPr>
        <w:t xml:space="preserve">Key </w:t>
      </w:r>
      <w:r>
        <w:rPr>
          <w:b/>
          <w:i/>
        </w:rPr>
        <w:t>informant interviews with health care providers.</w:t>
      </w:r>
      <w:r>
        <w:rPr>
          <w:rFonts w:eastAsiaTheme="minorEastAsia"/>
        </w:rPr>
        <w:t xml:space="preserve"> </w:t>
      </w:r>
      <w:r w:rsidR="00720F42">
        <w:rPr>
          <w:rFonts w:eastAsiaTheme="minorEastAsia"/>
        </w:rPr>
        <w:t xml:space="preserve">During </w:t>
      </w:r>
      <w:r>
        <w:rPr>
          <w:rFonts w:eastAsiaTheme="minorEastAsia"/>
        </w:rPr>
        <w:t>the site visits</w:t>
      </w:r>
      <w:r w:rsidR="00A47DAB">
        <w:rPr>
          <w:rFonts w:eastAsiaTheme="minorEastAsia"/>
        </w:rPr>
        <w:t xml:space="preserve"> to each state</w:t>
      </w:r>
      <w:r>
        <w:rPr>
          <w:rFonts w:eastAsiaTheme="minorEastAsia"/>
        </w:rPr>
        <w:t xml:space="preserve">, </w:t>
      </w:r>
      <w:r w:rsidR="007D0388">
        <w:rPr>
          <w:rFonts w:eastAsiaTheme="minorEastAsia"/>
        </w:rPr>
        <w:t>CMCS’s contractor</w:t>
      </w:r>
      <w:r>
        <w:rPr>
          <w:rFonts w:eastAsiaTheme="minorEastAsia"/>
        </w:rPr>
        <w:t xml:space="preserve"> will conduct up to </w:t>
      </w:r>
      <w:r w:rsidR="00A47DAB">
        <w:rPr>
          <w:rFonts w:eastAsiaTheme="minorEastAsia"/>
        </w:rPr>
        <w:t>8</w:t>
      </w:r>
      <w:r>
        <w:rPr>
          <w:rFonts w:eastAsiaTheme="minorEastAsia"/>
        </w:rPr>
        <w:t xml:space="preserve"> total in-person interviews </w:t>
      </w:r>
      <w:r w:rsidR="009D444F">
        <w:rPr>
          <w:rFonts w:eastAsiaTheme="minorEastAsia"/>
        </w:rPr>
        <w:t xml:space="preserve">(2 health care provider interviews * 4 states) </w:t>
      </w:r>
      <w:r>
        <w:rPr>
          <w:rFonts w:eastAsiaTheme="minorEastAsia"/>
        </w:rPr>
        <w:t xml:space="preserve">with different health care providers </w:t>
      </w:r>
      <w:r w:rsidR="00213C54">
        <w:rPr>
          <w:rFonts w:eastAsiaTheme="minorEastAsia"/>
        </w:rPr>
        <w:t>that</w:t>
      </w:r>
      <w:r w:rsidRPr="004B31FA">
        <w:rPr>
          <w:rFonts w:eastAsiaTheme="minorEastAsia"/>
        </w:rPr>
        <w:t xml:space="preserve"> deliver care to pregnant and postpartum women enrolled in Medicaid and </w:t>
      </w:r>
      <w:r w:rsidR="00213C54">
        <w:rPr>
          <w:rFonts w:eastAsiaTheme="minorEastAsia"/>
        </w:rPr>
        <w:t>that</w:t>
      </w:r>
      <w:r>
        <w:rPr>
          <w:rFonts w:eastAsiaTheme="minorEastAsia"/>
        </w:rPr>
        <w:t xml:space="preserve"> have knowledge of </w:t>
      </w:r>
      <w:r w:rsidR="000650BF">
        <w:rPr>
          <w:rFonts w:eastAsiaTheme="minorEastAsia"/>
        </w:rPr>
        <w:t>the pilot program</w:t>
      </w:r>
      <w:r w:rsidR="00F75A66">
        <w:rPr>
          <w:rFonts w:eastAsiaTheme="minorEastAsia"/>
        </w:rPr>
        <w:t>.</w:t>
      </w:r>
    </w:p>
    <w:p w14:paraId="09FAA90B" w14:textId="51721107" w:rsidR="000E0AEB" w:rsidRPr="00A46976" w:rsidRDefault="00487064" w:rsidP="00626FD7">
      <w:pPr>
        <w:pStyle w:val="DashLASTSS"/>
        <w:rPr>
          <w:rFonts w:eastAsia="Arial Black"/>
        </w:rPr>
      </w:pPr>
      <w:r w:rsidRPr="003659E6">
        <w:rPr>
          <w:b/>
          <w:bCs/>
          <w:i/>
        </w:rPr>
        <w:t xml:space="preserve">Focus </w:t>
      </w:r>
      <w:r w:rsidR="00977964">
        <w:rPr>
          <w:b/>
          <w:bCs/>
          <w:i/>
        </w:rPr>
        <w:t>g</w:t>
      </w:r>
      <w:r w:rsidRPr="003659E6">
        <w:rPr>
          <w:b/>
          <w:bCs/>
          <w:i/>
        </w:rPr>
        <w:t>roups</w:t>
      </w:r>
      <w:r>
        <w:rPr>
          <w:b/>
          <w:bCs/>
          <w:i/>
        </w:rPr>
        <w:t xml:space="preserve">. </w:t>
      </w:r>
      <w:r w:rsidR="007D0388">
        <w:rPr>
          <w:rFonts w:eastAsiaTheme="minorEastAsia"/>
        </w:rPr>
        <w:t>CMCS’s contractor</w:t>
      </w:r>
      <w:r w:rsidR="004B31FA" w:rsidRPr="004B31FA">
        <w:rPr>
          <w:rFonts w:eastAsiaTheme="minorEastAsia"/>
        </w:rPr>
        <w:t xml:space="preserve"> will work with outreach partners serving low-income pregnant women and new mothers to identify a subset of postpartum Medicaid </w:t>
      </w:r>
      <w:r w:rsidR="000650BF">
        <w:rPr>
          <w:rFonts w:eastAsiaTheme="minorEastAsia"/>
        </w:rPr>
        <w:t xml:space="preserve">pilot program participants </w:t>
      </w:r>
      <w:r w:rsidR="004B31FA">
        <w:rPr>
          <w:rFonts w:eastAsiaTheme="minorEastAsia"/>
        </w:rPr>
        <w:t xml:space="preserve">to participate in focus groups during </w:t>
      </w:r>
      <w:r w:rsidR="00502D98">
        <w:rPr>
          <w:rFonts w:eastAsiaTheme="minorEastAsia"/>
        </w:rPr>
        <w:t>the</w:t>
      </w:r>
      <w:r w:rsidR="004B31FA">
        <w:rPr>
          <w:rFonts w:eastAsiaTheme="minorEastAsia"/>
        </w:rPr>
        <w:t xml:space="preserve"> site visits to the four states participating in the pilot.</w:t>
      </w:r>
      <w:r w:rsidR="004B31FA" w:rsidRPr="004B31FA">
        <w:rPr>
          <w:rFonts w:eastAsiaTheme="minorEastAsia"/>
        </w:rPr>
        <w:t xml:space="preserve"> </w:t>
      </w:r>
      <w:r w:rsidR="005353C2">
        <w:rPr>
          <w:rFonts w:eastAsiaTheme="minorEastAsia"/>
        </w:rPr>
        <w:t xml:space="preserve">The </w:t>
      </w:r>
      <w:r w:rsidR="007D0388">
        <w:rPr>
          <w:rFonts w:eastAsiaTheme="minorEastAsia"/>
        </w:rPr>
        <w:t>contractor</w:t>
      </w:r>
      <w:r w:rsidR="004B31FA">
        <w:rPr>
          <w:rFonts w:eastAsiaTheme="minorEastAsia"/>
        </w:rPr>
        <w:t xml:space="preserve"> will conduct </w:t>
      </w:r>
      <w:r w:rsidR="00502D98">
        <w:rPr>
          <w:rFonts w:eastAsiaTheme="minorEastAsia"/>
        </w:rPr>
        <w:t>two</w:t>
      </w:r>
      <w:r w:rsidR="004B31FA">
        <w:rPr>
          <w:rFonts w:eastAsiaTheme="minorEastAsia"/>
        </w:rPr>
        <w:t xml:space="preserve"> focus group</w:t>
      </w:r>
      <w:r w:rsidR="00502D98">
        <w:rPr>
          <w:rFonts w:eastAsiaTheme="minorEastAsia"/>
        </w:rPr>
        <w:t>s</w:t>
      </w:r>
      <w:r w:rsidR="004B31FA">
        <w:rPr>
          <w:rFonts w:eastAsiaTheme="minorEastAsia"/>
        </w:rPr>
        <w:t xml:space="preserve"> with </w:t>
      </w:r>
      <w:r w:rsidR="000650BF">
        <w:rPr>
          <w:rFonts w:eastAsiaTheme="minorEastAsia"/>
        </w:rPr>
        <w:t>pilot program participants</w:t>
      </w:r>
      <w:r w:rsidR="004B31FA">
        <w:rPr>
          <w:rFonts w:eastAsiaTheme="minorEastAsia"/>
        </w:rPr>
        <w:t xml:space="preserve"> during each site visit</w:t>
      </w:r>
      <w:r w:rsidR="003E3E30">
        <w:rPr>
          <w:rFonts w:eastAsiaTheme="minorEastAsia"/>
        </w:rPr>
        <w:t xml:space="preserve"> for a total of </w:t>
      </w:r>
      <w:r w:rsidR="00502D98">
        <w:rPr>
          <w:rFonts w:eastAsiaTheme="minorEastAsia"/>
        </w:rPr>
        <w:t>8</w:t>
      </w:r>
      <w:r w:rsidR="003E3E30">
        <w:rPr>
          <w:rFonts w:eastAsiaTheme="minorEastAsia"/>
        </w:rPr>
        <w:t xml:space="preserve"> focus groups (2 focus groups * 4 </w:t>
      </w:r>
      <w:r w:rsidR="009D444F">
        <w:rPr>
          <w:rFonts w:eastAsiaTheme="minorEastAsia"/>
        </w:rPr>
        <w:t>states</w:t>
      </w:r>
      <w:r w:rsidR="003E3E30">
        <w:rPr>
          <w:rFonts w:eastAsiaTheme="minorEastAsia"/>
        </w:rPr>
        <w:t>)</w:t>
      </w:r>
      <w:r w:rsidR="004B31FA">
        <w:rPr>
          <w:rFonts w:eastAsiaTheme="minorEastAsia"/>
        </w:rPr>
        <w:t>. T</w:t>
      </w:r>
      <w:r w:rsidR="004B31FA" w:rsidRPr="004B31FA">
        <w:rPr>
          <w:rFonts w:eastAsiaTheme="minorEastAsia"/>
        </w:rPr>
        <w:t>o be eligible to participate in a focus group, women must have a delivery paid for by Medicaid</w:t>
      </w:r>
      <w:r w:rsidR="009D444F">
        <w:rPr>
          <w:rFonts w:eastAsiaTheme="minorEastAsia"/>
        </w:rPr>
        <w:t>/CHIP</w:t>
      </w:r>
      <w:r w:rsidR="004B31FA" w:rsidRPr="004B31FA">
        <w:rPr>
          <w:rFonts w:eastAsiaTheme="minorEastAsia"/>
        </w:rPr>
        <w:t xml:space="preserve"> or an infant with Medicaid coverage at birth, </w:t>
      </w:r>
      <w:r w:rsidR="00347371">
        <w:rPr>
          <w:rFonts w:eastAsiaTheme="minorEastAsia"/>
        </w:rPr>
        <w:t>less than 12</w:t>
      </w:r>
      <w:r w:rsidR="00BF6F2B">
        <w:rPr>
          <w:rFonts w:eastAsiaTheme="minorEastAsia"/>
        </w:rPr>
        <w:t xml:space="preserve"> months </w:t>
      </w:r>
      <w:r w:rsidR="004B31FA" w:rsidRPr="004B31FA">
        <w:rPr>
          <w:rFonts w:eastAsiaTheme="minorEastAsia"/>
        </w:rPr>
        <w:t xml:space="preserve">postpartum during the scheduled period for the site visit, and must not have participated in the </w:t>
      </w:r>
      <w:r w:rsidR="00206E02">
        <w:rPr>
          <w:rFonts w:eastAsiaTheme="minorEastAsia"/>
        </w:rPr>
        <w:t>telephone survey</w:t>
      </w:r>
      <w:r w:rsidR="004B31FA" w:rsidRPr="004B31FA">
        <w:rPr>
          <w:rFonts w:eastAsiaTheme="minorEastAsia"/>
        </w:rPr>
        <w:t>.</w:t>
      </w:r>
    </w:p>
    <w:p w14:paraId="5BF1D41F" w14:textId="25DA6772" w:rsidR="00DC1E62" w:rsidRPr="00DC1E62" w:rsidRDefault="00626FD7" w:rsidP="00CD2D40">
      <w:pPr>
        <w:pStyle w:val="H3Alpha"/>
        <w:rPr>
          <w:rFonts w:eastAsia="Arial Black" w:cs="Arial Black"/>
        </w:rPr>
      </w:pPr>
      <w:bookmarkStart w:id="13" w:name="_Toc409097429"/>
      <w:bookmarkStart w:id="14" w:name="_Toc426101431"/>
      <w:r>
        <w:t>B.</w:t>
      </w:r>
      <w:r>
        <w:tab/>
      </w:r>
      <w:r w:rsidR="007E246F">
        <w:t>Justification</w:t>
      </w:r>
      <w:bookmarkStart w:id="15" w:name="1._Circumstances_making_the_collection_o"/>
      <w:bookmarkStart w:id="16" w:name="_Toc409097430"/>
      <w:bookmarkEnd w:id="13"/>
      <w:bookmarkEnd w:id="14"/>
      <w:bookmarkEnd w:id="15"/>
    </w:p>
    <w:p w14:paraId="05D410B8" w14:textId="622B21D8" w:rsidR="003C30A0" w:rsidRPr="003C30A0" w:rsidRDefault="00626FD7" w:rsidP="00CD2D40">
      <w:pPr>
        <w:pStyle w:val="H4Number"/>
        <w:rPr>
          <w:szCs w:val="24"/>
        </w:rPr>
      </w:pPr>
      <w:bookmarkStart w:id="17" w:name="_Toc426101432"/>
      <w:r>
        <w:rPr>
          <w:u w:color="000000"/>
        </w:rPr>
        <w:t>1.</w:t>
      </w:r>
      <w:r>
        <w:rPr>
          <w:u w:color="000000"/>
        </w:rPr>
        <w:tab/>
      </w:r>
      <w:r w:rsidR="006805EE">
        <w:rPr>
          <w:u w:color="000000"/>
        </w:rPr>
        <w:t>Need and legal basis</w:t>
      </w:r>
      <w:bookmarkEnd w:id="16"/>
      <w:bookmarkEnd w:id="17"/>
    </w:p>
    <w:p w14:paraId="33921D70" w14:textId="148246CA" w:rsidR="003C30A0" w:rsidRDefault="003C30A0" w:rsidP="00CD2D40">
      <w:pPr>
        <w:pStyle w:val="NormalSS"/>
      </w:pPr>
      <w:r w:rsidRPr="003C30A0">
        <w:t>This statement requests</w:t>
      </w:r>
      <w:r w:rsidRPr="003C30A0">
        <w:rPr>
          <w:spacing w:val="2"/>
        </w:rPr>
        <w:t xml:space="preserve"> </w:t>
      </w:r>
      <w:r w:rsidRPr="003C30A0">
        <w:t>OMB</w:t>
      </w:r>
      <w:r w:rsidRPr="003C30A0">
        <w:rPr>
          <w:spacing w:val="1"/>
        </w:rPr>
        <w:t xml:space="preserve"> </w:t>
      </w:r>
      <w:r w:rsidRPr="003C30A0">
        <w:t>approval for data</w:t>
      </w:r>
      <w:r w:rsidRPr="003C30A0">
        <w:rPr>
          <w:spacing w:val="1"/>
        </w:rPr>
        <w:t xml:space="preserve"> </w:t>
      </w:r>
      <w:r w:rsidRPr="003C30A0">
        <w:t>collection</w:t>
      </w:r>
      <w:r w:rsidRPr="003C30A0">
        <w:rPr>
          <w:spacing w:val="99"/>
        </w:rPr>
        <w:t xml:space="preserve"> </w:t>
      </w:r>
      <w:r w:rsidRPr="003C30A0">
        <w:t xml:space="preserve">to support </w:t>
      </w:r>
      <w:r w:rsidR="00206BAE">
        <w:t xml:space="preserve">the </w:t>
      </w:r>
      <w:r w:rsidRPr="003C30A0">
        <w:t xml:space="preserve">evaluation of </w:t>
      </w:r>
      <w:r w:rsidR="00BF6F2B">
        <w:t>this</w:t>
      </w:r>
      <w:r w:rsidR="00BF6F2B" w:rsidRPr="003C30A0">
        <w:t xml:space="preserve"> </w:t>
      </w:r>
      <w:r w:rsidRPr="003C30A0">
        <w:t xml:space="preserve">pilot </w:t>
      </w:r>
      <w:proofErr w:type="spellStart"/>
      <w:r w:rsidR="00F34F90">
        <w:t>m</w:t>
      </w:r>
      <w:r w:rsidR="00213C54">
        <w:t>H</w:t>
      </w:r>
      <w:r w:rsidRPr="003C30A0">
        <w:t>ealth</w:t>
      </w:r>
      <w:proofErr w:type="spellEnd"/>
      <w:r w:rsidRPr="003C30A0">
        <w:t xml:space="preserve"> program. </w:t>
      </w:r>
      <w:r w:rsidR="003A69AA">
        <w:t xml:space="preserve">This data collection effort </w:t>
      </w:r>
      <w:r w:rsidR="00D21F2E">
        <w:t>will be use</w:t>
      </w:r>
      <w:r w:rsidR="00DC1E62">
        <w:t xml:space="preserve">d to assist CMS in tracking maternal and infant health </w:t>
      </w:r>
      <w:r w:rsidR="00D21F2E">
        <w:t>outcomes in the Medicaid population.</w:t>
      </w:r>
      <w:r w:rsidR="003F06DD">
        <w:rPr>
          <w:rStyle w:val="FootnoteReference"/>
        </w:rPr>
        <w:footnoteReference w:id="8"/>
      </w:r>
      <w:r w:rsidR="00D21F2E">
        <w:t xml:space="preserve"> In addition, the methods used for collection and analysis of the data may be useful to states and serve to increase reporting of perinatal core set measures and  monitoring and i</w:t>
      </w:r>
      <w:r w:rsidR="00DC1E62">
        <w:t>nterpretation of state-level maternal and infant health</w:t>
      </w:r>
      <w:r w:rsidR="00D21F2E">
        <w:t xml:space="preserve"> efforts.</w:t>
      </w:r>
      <w:r w:rsidR="003A69AA">
        <w:t xml:space="preserve"> Furthermore, results from the evaluation will help CMS understand the usefulness of mobile technology for conveying health information to pregnant women and new mothers enrolled in Medicaid/CHIP, as well as the influence this information has on health behaviors and outcomes.</w:t>
      </w:r>
    </w:p>
    <w:p w14:paraId="5B51E8DE" w14:textId="761AF7C3" w:rsidR="00831A88" w:rsidRDefault="00626FD7" w:rsidP="00CD2D40">
      <w:pPr>
        <w:pStyle w:val="H4Number"/>
        <w:rPr>
          <w:u w:color="000000"/>
        </w:rPr>
      </w:pPr>
      <w:bookmarkStart w:id="18" w:name="_Toc409097431"/>
      <w:bookmarkStart w:id="19" w:name="_Toc426101433"/>
      <w:r>
        <w:rPr>
          <w:u w:color="000000"/>
        </w:rPr>
        <w:t>2.</w:t>
      </w:r>
      <w:r>
        <w:rPr>
          <w:u w:color="000000"/>
        </w:rPr>
        <w:tab/>
      </w:r>
      <w:r w:rsidR="0019564B">
        <w:rPr>
          <w:u w:color="000000"/>
        </w:rPr>
        <w:t xml:space="preserve">Purpose of </w:t>
      </w:r>
      <w:r w:rsidR="00213C54">
        <w:rPr>
          <w:u w:color="000000"/>
        </w:rPr>
        <w:t>u</w:t>
      </w:r>
      <w:r w:rsidR="0019564B">
        <w:rPr>
          <w:u w:color="000000"/>
        </w:rPr>
        <w:t xml:space="preserve">se of </w:t>
      </w:r>
      <w:r w:rsidR="00213C54">
        <w:rPr>
          <w:u w:color="000000"/>
        </w:rPr>
        <w:t>i</w:t>
      </w:r>
      <w:r w:rsidR="0019564B">
        <w:rPr>
          <w:u w:color="000000"/>
        </w:rPr>
        <w:t xml:space="preserve">nformation </w:t>
      </w:r>
      <w:r w:rsidR="00213C54">
        <w:rPr>
          <w:u w:color="000000"/>
        </w:rPr>
        <w:t>c</w:t>
      </w:r>
      <w:r w:rsidR="0019564B">
        <w:rPr>
          <w:u w:color="000000"/>
        </w:rPr>
        <w:t>ollectio</w:t>
      </w:r>
      <w:r w:rsidR="002648EA">
        <w:rPr>
          <w:u w:color="000000"/>
        </w:rPr>
        <w:t>n</w:t>
      </w:r>
      <w:bookmarkEnd w:id="18"/>
      <w:bookmarkEnd w:id="19"/>
    </w:p>
    <w:p w14:paraId="0F98D688" w14:textId="70AA7C1D" w:rsidR="00837984" w:rsidRDefault="00837984" w:rsidP="00CD2D40">
      <w:pPr>
        <w:pStyle w:val="NormalSS"/>
      </w:pPr>
      <w:r>
        <w:t xml:space="preserve">Through its data collection and synthesis, this project focuses on developing key measures of </w:t>
      </w:r>
      <w:r w:rsidR="00DC1E62">
        <w:t>maternal and infant health</w:t>
      </w:r>
      <w:r>
        <w:t xml:space="preserve"> in the Medicaid population. In particular, it will assess and track the prevalence of </w:t>
      </w:r>
      <w:r w:rsidR="00DC1E62">
        <w:t>maternal and infant</w:t>
      </w:r>
      <w:r>
        <w:t xml:space="preserve"> outcomes and service utilization. Key project measures include (1) nine Adult and Child Medicaid and CHIP Quality Core Set Measures related to perinatal health, (2) additional indicators of </w:t>
      </w:r>
      <w:r w:rsidR="00DC1E62">
        <w:t>maternal and infant health</w:t>
      </w:r>
      <w:r>
        <w:t xml:space="preserve"> outcomes that research has shown to be essential to perinatal health (e.g., breastfeeding, family planning, and smoking during pregnancy), (3) Medicaid enrollment before, during, and after pregnancy to understand the role of insurance in outcomes, and (4) use of Text4baby to assess the association of health education with outcomes in the Medicaid population. Generating these measures will require the </w:t>
      </w:r>
      <w:r w:rsidR="007D0388">
        <w:t>contractor</w:t>
      </w:r>
      <w:r w:rsidR="005618C4">
        <w:t xml:space="preserve"> to collect</w:t>
      </w:r>
      <w:r>
        <w:t xml:space="preserve"> several types of primary and secondary data, including Medicaid, Vital Statistics, Survey, and Text4baby administrative data. Table 1 below shows the p</w:t>
      </w:r>
      <w:r w:rsidRPr="004E159A">
        <w:rPr>
          <w:rFonts w:eastAsia="Calibri"/>
        </w:rPr>
        <w:t>rioritized outcome measures</w:t>
      </w:r>
      <w:r>
        <w:rPr>
          <w:rFonts w:eastAsia="Calibri"/>
        </w:rPr>
        <w:t xml:space="preserve"> by study data sources.</w:t>
      </w:r>
    </w:p>
    <w:p w14:paraId="7EB26CDE" w14:textId="7A93D152" w:rsidR="005B0C58" w:rsidRPr="00A94C6B" w:rsidRDefault="005B0C58" w:rsidP="00A94C6B">
      <w:pPr>
        <w:pStyle w:val="MarkforTableTitle"/>
      </w:pPr>
      <w:r w:rsidRPr="00A94C6B">
        <w:t xml:space="preserve">Table </w:t>
      </w:r>
      <w:r w:rsidR="00373E0E" w:rsidRPr="00A94C6B">
        <w:t>1</w:t>
      </w:r>
      <w:r w:rsidRPr="00A94C6B">
        <w:t xml:space="preserve">. </w:t>
      </w:r>
      <w:bookmarkStart w:id="20" w:name="_Toc385496783"/>
      <w:bookmarkStart w:id="21" w:name="_Toc385506892"/>
      <w:r w:rsidR="00837984">
        <w:rPr>
          <w:rFonts w:eastAsia="Calibri"/>
        </w:rPr>
        <w:t>P</w:t>
      </w:r>
      <w:r w:rsidR="00837984" w:rsidRPr="004E159A">
        <w:rPr>
          <w:rFonts w:eastAsia="Calibri"/>
        </w:rPr>
        <w:t>rioritized outcome measures</w:t>
      </w:r>
      <w:bookmarkEnd w:id="20"/>
      <w:bookmarkEnd w:id="21"/>
      <w:r w:rsidR="00837984">
        <w:rPr>
          <w:rFonts w:eastAsia="Calibri"/>
        </w:rPr>
        <w:t xml:space="preserve"> by study data sources</w:t>
      </w:r>
    </w:p>
    <w:tbl>
      <w:tblPr>
        <w:tblStyle w:val="Table"/>
        <w:tblW w:w="0" w:type="auto"/>
        <w:tblInd w:w="0" w:type="dxa"/>
        <w:tblLook w:val="04A0" w:firstRow="1" w:lastRow="0" w:firstColumn="1" w:lastColumn="0" w:noHBand="0" w:noVBand="1"/>
        <w:tblCaption w:val="Prioritized outcome measures by study data sources"/>
      </w:tblPr>
      <w:tblGrid>
        <w:gridCol w:w="3240"/>
        <w:gridCol w:w="1489"/>
        <w:gridCol w:w="987"/>
        <w:gridCol w:w="1367"/>
        <w:gridCol w:w="817"/>
        <w:gridCol w:w="1107"/>
      </w:tblGrid>
      <w:tr w:rsidR="00062262" w14:paraId="1E64C386" w14:textId="77777777" w:rsidTr="00062262">
        <w:trPr>
          <w:cnfStyle w:val="100000000000" w:firstRow="1" w:lastRow="0" w:firstColumn="0" w:lastColumn="0" w:oddVBand="0" w:evenVBand="0" w:oddHBand="0" w:evenHBand="0" w:firstRowFirstColumn="0" w:firstRowLastColumn="0" w:lastRowFirstColumn="0" w:lastRowLastColumn="0"/>
        </w:trPr>
        <w:tc>
          <w:tcPr>
            <w:tcW w:w="3240" w:type="dxa"/>
            <w:tcBorders>
              <w:bottom w:val="nil"/>
            </w:tcBorders>
            <w:shd w:val="clear" w:color="auto" w:fill="6C6F70"/>
          </w:tcPr>
          <w:p w14:paraId="1A77DDCA" w14:textId="11A10A35" w:rsidR="00062262" w:rsidRPr="008C7D81" w:rsidRDefault="00062262" w:rsidP="00FE57E6">
            <w:pPr>
              <w:pStyle w:val="TableHeaderLeft"/>
            </w:pPr>
            <w:r w:rsidRPr="008C7D81">
              <w:t xml:space="preserve"> </w:t>
            </w:r>
          </w:p>
        </w:tc>
        <w:tc>
          <w:tcPr>
            <w:tcW w:w="1489" w:type="dxa"/>
            <w:tcBorders>
              <w:bottom w:val="nil"/>
            </w:tcBorders>
            <w:shd w:val="clear" w:color="auto" w:fill="6C6F70"/>
          </w:tcPr>
          <w:p w14:paraId="03844C34" w14:textId="0AD8F694" w:rsidR="00062262" w:rsidRPr="008C7D81" w:rsidRDefault="00062262" w:rsidP="00FE57E6">
            <w:pPr>
              <w:pStyle w:val="TableHeaderCenter"/>
            </w:pPr>
            <w:r>
              <w:t xml:space="preserve"> </w:t>
            </w:r>
          </w:p>
        </w:tc>
        <w:tc>
          <w:tcPr>
            <w:tcW w:w="0" w:type="auto"/>
            <w:gridSpan w:val="4"/>
            <w:tcBorders>
              <w:bottom w:val="single" w:sz="4" w:space="0" w:color="FFFFFF" w:themeColor="background1"/>
            </w:tcBorders>
            <w:shd w:val="clear" w:color="auto" w:fill="6C6F70"/>
          </w:tcPr>
          <w:p w14:paraId="056C14C0" w14:textId="77777777" w:rsidR="00062262" w:rsidRPr="008C7D81" w:rsidRDefault="00062262" w:rsidP="00FE57E6">
            <w:pPr>
              <w:pStyle w:val="TableHeaderCenter"/>
            </w:pPr>
            <w:r w:rsidRPr="008C7D81">
              <w:t>Proposed data source(s)</w:t>
            </w:r>
            <w:r w:rsidRPr="008C7D81">
              <w:rPr>
                <w:vertAlign w:val="superscript"/>
              </w:rPr>
              <w:t>a</w:t>
            </w:r>
          </w:p>
        </w:tc>
      </w:tr>
      <w:tr w:rsidR="00062262" w:rsidRPr="00E929CA" w14:paraId="76BD56B4" w14:textId="77777777" w:rsidTr="00062262">
        <w:trPr>
          <w:trHeight w:val="413"/>
        </w:trPr>
        <w:tc>
          <w:tcPr>
            <w:tcW w:w="3240" w:type="dxa"/>
            <w:tcBorders>
              <w:top w:val="nil"/>
              <w:bottom w:val="single" w:sz="4" w:space="0" w:color="auto"/>
            </w:tcBorders>
            <w:shd w:val="clear" w:color="auto" w:fill="6C6F70"/>
          </w:tcPr>
          <w:p w14:paraId="1AADA0E2" w14:textId="77777777" w:rsidR="00062262" w:rsidRPr="008C7D81" w:rsidRDefault="00062262" w:rsidP="00FE57E6">
            <w:pPr>
              <w:pStyle w:val="TableHeaderLeft"/>
            </w:pPr>
            <w:r w:rsidRPr="008C7D81">
              <w:t>Outcome</w:t>
            </w:r>
          </w:p>
        </w:tc>
        <w:tc>
          <w:tcPr>
            <w:tcW w:w="1489" w:type="dxa"/>
            <w:tcBorders>
              <w:top w:val="nil"/>
              <w:bottom w:val="single" w:sz="4" w:space="0" w:color="auto"/>
            </w:tcBorders>
            <w:shd w:val="clear" w:color="auto" w:fill="6C6F70"/>
          </w:tcPr>
          <w:p w14:paraId="1201B03B" w14:textId="31BB7D5E" w:rsidR="00062262" w:rsidRPr="008C7D81" w:rsidRDefault="00062262" w:rsidP="00FE57E6">
            <w:pPr>
              <w:pStyle w:val="TableHeaderCenter"/>
            </w:pPr>
            <w:r w:rsidRPr="00062262">
              <w:t>Core Set Measure</w:t>
            </w:r>
          </w:p>
        </w:tc>
        <w:tc>
          <w:tcPr>
            <w:tcW w:w="0" w:type="auto"/>
            <w:tcBorders>
              <w:top w:val="single" w:sz="4" w:space="0" w:color="FFFFFF" w:themeColor="background1"/>
              <w:bottom w:val="single" w:sz="4" w:space="0" w:color="auto"/>
            </w:tcBorders>
            <w:shd w:val="clear" w:color="auto" w:fill="6C6F70"/>
          </w:tcPr>
          <w:p w14:paraId="65D28EC3" w14:textId="77777777" w:rsidR="00062262" w:rsidRPr="008C7D81" w:rsidRDefault="00062262" w:rsidP="00FE57E6">
            <w:pPr>
              <w:pStyle w:val="TableHeaderCenter"/>
            </w:pPr>
            <w:r w:rsidRPr="008C7D81">
              <w:t>Medicaid</w:t>
            </w:r>
          </w:p>
        </w:tc>
        <w:tc>
          <w:tcPr>
            <w:tcW w:w="0" w:type="auto"/>
            <w:tcBorders>
              <w:top w:val="single" w:sz="4" w:space="0" w:color="FFFFFF" w:themeColor="background1"/>
              <w:bottom w:val="single" w:sz="4" w:space="0" w:color="auto"/>
            </w:tcBorders>
            <w:shd w:val="clear" w:color="auto" w:fill="6C6F70"/>
          </w:tcPr>
          <w:p w14:paraId="59BBCC0B" w14:textId="77777777" w:rsidR="00062262" w:rsidRPr="008C7D81" w:rsidRDefault="00062262" w:rsidP="00FE57E6">
            <w:pPr>
              <w:pStyle w:val="TableHeaderCenter"/>
            </w:pPr>
            <w:r w:rsidRPr="008C7D81">
              <w:t>Vital Records</w:t>
            </w:r>
          </w:p>
        </w:tc>
        <w:tc>
          <w:tcPr>
            <w:tcW w:w="0" w:type="auto"/>
            <w:tcBorders>
              <w:top w:val="single" w:sz="4" w:space="0" w:color="FFFFFF" w:themeColor="background1"/>
              <w:bottom w:val="single" w:sz="4" w:space="0" w:color="auto"/>
            </w:tcBorders>
            <w:shd w:val="clear" w:color="auto" w:fill="6C6F70"/>
          </w:tcPr>
          <w:p w14:paraId="148FAFD8" w14:textId="77777777" w:rsidR="00062262" w:rsidRPr="008C7D81" w:rsidRDefault="00062262" w:rsidP="00FE57E6">
            <w:pPr>
              <w:pStyle w:val="TableHeaderCenter"/>
            </w:pPr>
            <w:r w:rsidRPr="008C7D81">
              <w:t>Survey</w:t>
            </w:r>
          </w:p>
        </w:tc>
        <w:tc>
          <w:tcPr>
            <w:tcW w:w="0" w:type="auto"/>
            <w:tcBorders>
              <w:top w:val="single" w:sz="4" w:space="0" w:color="FFFFFF" w:themeColor="background1"/>
              <w:bottom w:val="single" w:sz="4" w:space="0" w:color="auto"/>
            </w:tcBorders>
            <w:shd w:val="clear" w:color="auto" w:fill="6C6F70"/>
          </w:tcPr>
          <w:p w14:paraId="6759AFE2" w14:textId="77777777" w:rsidR="00062262" w:rsidRPr="008C7D81" w:rsidRDefault="00062262" w:rsidP="00FE57E6">
            <w:pPr>
              <w:pStyle w:val="TableHeaderCenter"/>
            </w:pPr>
            <w:r w:rsidRPr="008C7D81">
              <w:t>Text4baby</w:t>
            </w:r>
          </w:p>
        </w:tc>
      </w:tr>
      <w:tr w:rsidR="00837984" w:rsidRPr="00B93777" w14:paraId="641B0202" w14:textId="77777777" w:rsidTr="00EC2090">
        <w:tc>
          <w:tcPr>
            <w:tcW w:w="3240" w:type="dxa"/>
            <w:tcBorders>
              <w:top w:val="single" w:sz="2" w:space="0" w:color="auto"/>
              <w:bottom w:val="single" w:sz="2" w:space="0" w:color="auto"/>
            </w:tcBorders>
            <w:vAlign w:val="top"/>
          </w:tcPr>
          <w:p w14:paraId="58B41CEB" w14:textId="71614CD4" w:rsidR="00837984" w:rsidRPr="00B93777" w:rsidRDefault="00837984" w:rsidP="00FE57E6">
            <w:pPr>
              <w:pStyle w:val="TableText"/>
              <w:spacing w:before="60" w:after="60"/>
            </w:pPr>
            <w:r w:rsidRPr="00B93777">
              <w:t>Be</w:t>
            </w:r>
            <w:r w:rsidR="00F75A66">
              <w:t>havioral health risk assessment</w:t>
            </w:r>
          </w:p>
        </w:tc>
        <w:tc>
          <w:tcPr>
            <w:tcW w:w="1489" w:type="dxa"/>
            <w:tcBorders>
              <w:top w:val="single" w:sz="2" w:space="0" w:color="auto"/>
              <w:bottom w:val="single" w:sz="2" w:space="0" w:color="auto"/>
            </w:tcBorders>
          </w:tcPr>
          <w:p w14:paraId="10C64202" w14:textId="3F2BC945" w:rsidR="00837984" w:rsidRPr="00B93777" w:rsidRDefault="00455499"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0DF0A04" w14:textId="3CCD542E"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278FF347" w14:textId="2C234998"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874AAA1" w14:textId="574C011A"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0EC2D967" w14:textId="60CB20BC" w:rsidR="00837984" w:rsidRPr="00B93777" w:rsidRDefault="00F75A66" w:rsidP="00FE57E6">
            <w:pPr>
              <w:pStyle w:val="TableText"/>
              <w:spacing w:before="60" w:after="60"/>
              <w:jc w:val="center"/>
            </w:pPr>
            <w:r>
              <w:t xml:space="preserve"> </w:t>
            </w:r>
          </w:p>
        </w:tc>
      </w:tr>
      <w:tr w:rsidR="00837984" w:rsidRPr="00B93777" w14:paraId="1AB6AF04" w14:textId="77777777" w:rsidTr="00EC2090">
        <w:tc>
          <w:tcPr>
            <w:tcW w:w="3240" w:type="dxa"/>
            <w:tcBorders>
              <w:top w:val="single" w:sz="2" w:space="0" w:color="auto"/>
              <w:bottom w:val="single" w:sz="2" w:space="0" w:color="auto"/>
            </w:tcBorders>
            <w:vAlign w:val="top"/>
          </w:tcPr>
          <w:p w14:paraId="7B28EC67" w14:textId="77777777" w:rsidR="00837984" w:rsidRPr="00B93777" w:rsidRDefault="00837984" w:rsidP="00FE57E6">
            <w:pPr>
              <w:pStyle w:val="TableText"/>
              <w:spacing w:before="60" w:after="60"/>
            </w:pPr>
            <w:r>
              <w:t xml:space="preserve">Prenatal care: </w:t>
            </w:r>
            <w:r w:rsidRPr="00B93777">
              <w:t>frequency</w:t>
            </w:r>
          </w:p>
        </w:tc>
        <w:tc>
          <w:tcPr>
            <w:tcW w:w="1489" w:type="dxa"/>
            <w:tcBorders>
              <w:top w:val="single" w:sz="2" w:space="0" w:color="auto"/>
              <w:bottom w:val="single" w:sz="2" w:space="0" w:color="auto"/>
            </w:tcBorders>
          </w:tcPr>
          <w:p w14:paraId="6C0217E9" w14:textId="5CADDD38" w:rsidR="00837984" w:rsidRPr="00B93777"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275C4673" w14:textId="44D7885C"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1A07668C" w14:textId="1C396F67"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8F5C840" w14:textId="1555FF44"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78100C59" w14:textId="6BB3C84D" w:rsidR="00837984" w:rsidRPr="00B93777" w:rsidRDefault="00F75A66" w:rsidP="00FE57E6">
            <w:pPr>
              <w:pStyle w:val="TableText"/>
              <w:spacing w:before="60" w:after="60"/>
              <w:jc w:val="center"/>
            </w:pPr>
            <w:r>
              <w:t xml:space="preserve"> </w:t>
            </w:r>
          </w:p>
        </w:tc>
      </w:tr>
      <w:tr w:rsidR="00837984" w:rsidRPr="00B93777" w14:paraId="66E608FF" w14:textId="77777777" w:rsidTr="00EC2090">
        <w:tc>
          <w:tcPr>
            <w:tcW w:w="3240" w:type="dxa"/>
            <w:tcBorders>
              <w:top w:val="single" w:sz="2" w:space="0" w:color="auto"/>
              <w:bottom w:val="single" w:sz="2" w:space="0" w:color="auto"/>
            </w:tcBorders>
            <w:vAlign w:val="top"/>
          </w:tcPr>
          <w:p w14:paraId="6D64E984" w14:textId="77777777" w:rsidR="00837984" w:rsidRPr="00B93777" w:rsidRDefault="00837984" w:rsidP="00FE57E6">
            <w:pPr>
              <w:pStyle w:val="TableText"/>
              <w:spacing w:before="60" w:after="60"/>
            </w:pPr>
            <w:r>
              <w:t>Prenatal care: timeliness</w:t>
            </w:r>
          </w:p>
        </w:tc>
        <w:tc>
          <w:tcPr>
            <w:tcW w:w="1489" w:type="dxa"/>
            <w:tcBorders>
              <w:top w:val="single" w:sz="2" w:space="0" w:color="auto"/>
              <w:bottom w:val="single" w:sz="2" w:space="0" w:color="auto"/>
            </w:tcBorders>
          </w:tcPr>
          <w:p w14:paraId="535F6E94" w14:textId="284D4B58" w:rsidR="00837984"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0F2206E6" w14:textId="3A7EAF0A"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276F64F2" w14:textId="1EC65A30"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77806503" w14:textId="3D486E90"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13B020C6" w14:textId="6B182369" w:rsidR="00837984" w:rsidRPr="00B93777" w:rsidRDefault="00F75A66" w:rsidP="00FE57E6">
            <w:pPr>
              <w:pStyle w:val="TableText"/>
              <w:spacing w:before="60" w:after="60"/>
              <w:jc w:val="center"/>
            </w:pPr>
            <w:r>
              <w:t xml:space="preserve"> </w:t>
            </w:r>
          </w:p>
        </w:tc>
      </w:tr>
      <w:tr w:rsidR="00837984" w:rsidRPr="00B93777" w14:paraId="2875AF19" w14:textId="77777777" w:rsidTr="00EC2090">
        <w:tc>
          <w:tcPr>
            <w:tcW w:w="3240" w:type="dxa"/>
            <w:tcBorders>
              <w:top w:val="single" w:sz="2" w:space="0" w:color="auto"/>
              <w:bottom w:val="single" w:sz="2" w:space="0" w:color="auto"/>
            </w:tcBorders>
            <w:vAlign w:val="top"/>
          </w:tcPr>
          <w:p w14:paraId="21F3F9E7" w14:textId="79B9D3B1" w:rsidR="00837984" w:rsidRPr="00B93777" w:rsidRDefault="00F75A66" w:rsidP="00FE57E6">
            <w:pPr>
              <w:pStyle w:val="TableText"/>
              <w:spacing w:before="60" w:after="60"/>
            </w:pPr>
            <w:r>
              <w:t>Antenatal steroids (e.g., 17P)</w:t>
            </w:r>
          </w:p>
        </w:tc>
        <w:tc>
          <w:tcPr>
            <w:tcW w:w="1489" w:type="dxa"/>
            <w:tcBorders>
              <w:top w:val="single" w:sz="2" w:space="0" w:color="auto"/>
              <w:bottom w:val="single" w:sz="2" w:space="0" w:color="auto"/>
            </w:tcBorders>
          </w:tcPr>
          <w:p w14:paraId="27C6CF89" w14:textId="44C251A6" w:rsidR="00837984" w:rsidRPr="00B93777"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11149297" w14:textId="290DF70A"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D4859D6" w14:textId="4FEB0C84"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3BAB3C50" w14:textId="68316265"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33358D2C" w14:textId="181373A6" w:rsidR="00837984" w:rsidRPr="00B93777" w:rsidRDefault="00F75A66" w:rsidP="00FE57E6">
            <w:pPr>
              <w:pStyle w:val="TableText"/>
              <w:spacing w:before="60" w:after="60"/>
              <w:jc w:val="center"/>
            </w:pPr>
            <w:r>
              <w:t xml:space="preserve"> </w:t>
            </w:r>
          </w:p>
        </w:tc>
      </w:tr>
      <w:tr w:rsidR="00837984" w:rsidRPr="00B93777" w14:paraId="664BCE54" w14:textId="77777777" w:rsidTr="00EC2090">
        <w:tc>
          <w:tcPr>
            <w:tcW w:w="3240" w:type="dxa"/>
            <w:tcBorders>
              <w:top w:val="single" w:sz="2" w:space="0" w:color="auto"/>
              <w:bottom w:val="single" w:sz="2" w:space="0" w:color="auto"/>
            </w:tcBorders>
            <w:vAlign w:val="top"/>
          </w:tcPr>
          <w:p w14:paraId="45CB0AF4" w14:textId="028F2361" w:rsidR="00837984" w:rsidRPr="00B93777" w:rsidRDefault="00F75A66" w:rsidP="00FE57E6">
            <w:pPr>
              <w:pStyle w:val="TableText"/>
              <w:spacing w:before="60" w:after="60"/>
            </w:pPr>
            <w:r>
              <w:t>Early elective delivery</w:t>
            </w:r>
          </w:p>
        </w:tc>
        <w:tc>
          <w:tcPr>
            <w:tcW w:w="1489" w:type="dxa"/>
            <w:tcBorders>
              <w:top w:val="single" w:sz="2" w:space="0" w:color="auto"/>
              <w:bottom w:val="single" w:sz="2" w:space="0" w:color="auto"/>
            </w:tcBorders>
          </w:tcPr>
          <w:p w14:paraId="19700750" w14:textId="37D74D80" w:rsidR="00837984" w:rsidRPr="00B93777"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79D54547" w14:textId="17CAFD66"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05CF9DFF" w14:textId="19F0B3A1"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08ECF404" w14:textId="090DAB84"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0559EFA9" w14:textId="6C7996D4" w:rsidR="00837984" w:rsidRPr="00B93777" w:rsidRDefault="00F75A66" w:rsidP="00FE57E6">
            <w:pPr>
              <w:pStyle w:val="TableText"/>
              <w:spacing w:before="60" w:after="60"/>
              <w:jc w:val="center"/>
            </w:pPr>
            <w:r>
              <w:t xml:space="preserve"> </w:t>
            </w:r>
          </w:p>
        </w:tc>
      </w:tr>
      <w:tr w:rsidR="00837984" w:rsidRPr="00B93777" w14:paraId="2576D79E" w14:textId="77777777" w:rsidTr="00EC2090">
        <w:tc>
          <w:tcPr>
            <w:tcW w:w="3240" w:type="dxa"/>
            <w:tcBorders>
              <w:top w:val="single" w:sz="2" w:space="0" w:color="auto"/>
              <w:bottom w:val="single" w:sz="2" w:space="0" w:color="auto"/>
            </w:tcBorders>
            <w:vAlign w:val="top"/>
          </w:tcPr>
          <w:p w14:paraId="0537659B" w14:textId="5E0A08B1" w:rsidR="00837984" w:rsidRPr="00B93777" w:rsidRDefault="00837984" w:rsidP="00FE57E6">
            <w:pPr>
              <w:pStyle w:val="TableText"/>
              <w:spacing w:before="60" w:after="60"/>
            </w:pPr>
            <w:r w:rsidRPr="00B93777">
              <w:t>Cesarean rate f</w:t>
            </w:r>
            <w:r w:rsidR="00F75A66">
              <w:t>or nulliparous singleton vertex</w:t>
            </w:r>
          </w:p>
        </w:tc>
        <w:tc>
          <w:tcPr>
            <w:tcW w:w="1489" w:type="dxa"/>
            <w:tcBorders>
              <w:top w:val="single" w:sz="2" w:space="0" w:color="auto"/>
              <w:bottom w:val="single" w:sz="2" w:space="0" w:color="auto"/>
            </w:tcBorders>
          </w:tcPr>
          <w:p w14:paraId="39418CCD" w14:textId="7CCD7AF1" w:rsidR="00837984" w:rsidRPr="00B93777"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22C375BB" w14:textId="6167DF76"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3F8857EE" w14:textId="6AFF34EA"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6CA22CDC" w14:textId="68F48E8D"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249FE73D" w14:textId="0F9C45D8" w:rsidR="00837984" w:rsidRPr="00B93777" w:rsidRDefault="00F75A66" w:rsidP="00FE57E6">
            <w:pPr>
              <w:pStyle w:val="TableText"/>
              <w:spacing w:before="60" w:after="60"/>
              <w:jc w:val="center"/>
            </w:pPr>
            <w:r>
              <w:t xml:space="preserve"> </w:t>
            </w:r>
          </w:p>
        </w:tc>
      </w:tr>
      <w:tr w:rsidR="00837984" w:rsidRPr="00B93777" w14:paraId="18639440" w14:textId="77777777" w:rsidTr="00EC2090">
        <w:tc>
          <w:tcPr>
            <w:tcW w:w="3240" w:type="dxa"/>
            <w:tcBorders>
              <w:top w:val="single" w:sz="2" w:space="0" w:color="auto"/>
              <w:bottom w:val="single" w:sz="2" w:space="0" w:color="auto"/>
            </w:tcBorders>
            <w:vAlign w:val="top"/>
          </w:tcPr>
          <w:p w14:paraId="5B3A94AD" w14:textId="77777777" w:rsidR="00837984" w:rsidRPr="00B93777" w:rsidRDefault="00837984" w:rsidP="00FE57E6">
            <w:pPr>
              <w:pStyle w:val="TableText"/>
              <w:spacing w:before="60" w:after="60"/>
            </w:pPr>
            <w:r w:rsidRPr="00B93777">
              <w:t>Live births weighing less than 2,500 grams</w:t>
            </w:r>
          </w:p>
        </w:tc>
        <w:tc>
          <w:tcPr>
            <w:tcW w:w="1489" w:type="dxa"/>
            <w:tcBorders>
              <w:top w:val="single" w:sz="2" w:space="0" w:color="auto"/>
              <w:bottom w:val="single" w:sz="2" w:space="0" w:color="auto"/>
            </w:tcBorders>
          </w:tcPr>
          <w:p w14:paraId="7166873D" w14:textId="67626868" w:rsidR="00837984" w:rsidRPr="00B93777" w:rsidRDefault="00455499" w:rsidP="00FE57E6">
            <w:pPr>
              <w:pStyle w:val="TableText"/>
              <w:spacing w:before="60" w:after="60"/>
              <w:jc w:val="center"/>
            </w:pPr>
            <w:r w:rsidRPr="00455499">
              <w:t>X</w:t>
            </w:r>
          </w:p>
        </w:tc>
        <w:tc>
          <w:tcPr>
            <w:tcW w:w="0" w:type="auto"/>
            <w:tcBorders>
              <w:top w:val="single" w:sz="2" w:space="0" w:color="auto"/>
              <w:bottom w:val="single" w:sz="2" w:space="0" w:color="auto"/>
            </w:tcBorders>
            <w:vAlign w:val="center"/>
          </w:tcPr>
          <w:p w14:paraId="055F1990" w14:textId="6BF8F7C4"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2C645A18" w14:textId="73523FE8"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0E107B6" w14:textId="4793E5C2"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73F1A569" w14:textId="793028A3" w:rsidR="00837984" w:rsidRPr="00B93777" w:rsidRDefault="00F75A66" w:rsidP="00FE57E6">
            <w:pPr>
              <w:pStyle w:val="TableText"/>
              <w:spacing w:before="60" w:after="60"/>
              <w:jc w:val="center"/>
            </w:pPr>
            <w:r>
              <w:t xml:space="preserve"> </w:t>
            </w:r>
          </w:p>
        </w:tc>
      </w:tr>
      <w:tr w:rsidR="00837984" w:rsidRPr="00B93777" w14:paraId="50989377" w14:textId="77777777" w:rsidTr="00EC2090">
        <w:tc>
          <w:tcPr>
            <w:tcW w:w="3240" w:type="dxa"/>
            <w:tcBorders>
              <w:top w:val="single" w:sz="2" w:space="0" w:color="auto"/>
              <w:bottom w:val="single" w:sz="2" w:space="0" w:color="auto"/>
            </w:tcBorders>
            <w:vAlign w:val="top"/>
          </w:tcPr>
          <w:p w14:paraId="3F3B0C54" w14:textId="02266F61" w:rsidR="00837984" w:rsidRPr="00B93777" w:rsidRDefault="00F75A66" w:rsidP="00FE57E6">
            <w:pPr>
              <w:pStyle w:val="TableText"/>
              <w:spacing w:before="60" w:after="60"/>
            </w:pPr>
            <w:r>
              <w:t>Postpartum care</w:t>
            </w:r>
          </w:p>
        </w:tc>
        <w:tc>
          <w:tcPr>
            <w:tcW w:w="1489" w:type="dxa"/>
            <w:tcBorders>
              <w:top w:val="single" w:sz="2" w:space="0" w:color="auto"/>
              <w:bottom w:val="single" w:sz="2" w:space="0" w:color="auto"/>
            </w:tcBorders>
          </w:tcPr>
          <w:p w14:paraId="5754CB61" w14:textId="6BB9374D" w:rsidR="00837984" w:rsidRPr="00B93777" w:rsidRDefault="00455499"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6B0B3269" w14:textId="62B8861D"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799CEBF" w14:textId="2865FF1E"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29D3EBE" w14:textId="0FE216BA"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757CD231" w14:textId="6F8E897A" w:rsidR="00837984" w:rsidRPr="00B93777" w:rsidRDefault="00F75A66" w:rsidP="00FE57E6">
            <w:pPr>
              <w:pStyle w:val="TableText"/>
              <w:spacing w:before="60" w:after="60"/>
              <w:jc w:val="center"/>
            </w:pPr>
            <w:r>
              <w:t xml:space="preserve"> </w:t>
            </w:r>
          </w:p>
        </w:tc>
      </w:tr>
      <w:tr w:rsidR="00837984" w:rsidRPr="00B93777" w14:paraId="53277B8F" w14:textId="77777777" w:rsidTr="00EC2090">
        <w:tc>
          <w:tcPr>
            <w:tcW w:w="3240" w:type="dxa"/>
            <w:tcBorders>
              <w:top w:val="single" w:sz="2" w:space="0" w:color="auto"/>
              <w:bottom w:val="single" w:sz="2" w:space="0" w:color="auto"/>
            </w:tcBorders>
            <w:vAlign w:val="top"/>
          </w:tcPr>
          <w:p w14:paraId="085E2B34" w14:textId="459E9591" w:rsidR="00837984" w:rsidRPr="00B93777" w:rsidRDefault="00F75A66" w:rsidP="00FE57E6">
            <w:pPr>
              <w:pStyle w:val="TableText"/>
              <w:spacing w:before="60" w:after="60"/>
            </w:pPr>
            <w:r>
              <w:t>Well-child visits</w:t>
            </w:r>
          </w:p>
        </w:tc>
        <w:tc>
          <w:tcPr>
            <w:tcW w:w="1489" w:type="dxa"/>
            <w:tcBorders>
              <w:top w:val="single" w:sz="2" w:space="0" w:color="auto"/>
              <w:bottom w:val="single" w:sz="2" w:space="0" w:color="auto"/>
            </w:tcBorders>
          </w:tcPr>
          <w:p w14:paraId="1FAC1DBE" w14:textId="61F94A2F" w:rsidR="00837984" w:rsidRPr="00B93777" w:rsidRDefault="00455499"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8FDD02D" w14:textId="12E5ED39"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top"/>
          </w:tcPr>
          <w:p w14:paraId="2C281322" w14:textId="17E4B63C" w:rsidR="00837984" w:rsidRPr="00B93777" w:rsidRDefault="00455499" w:rsidP="00455499">
            <w:pPr>
              <w:pStyle w:val="TableText"/>
              <w:spacing w:before="60" w:after="60"/>
              <w:jc w:val="center"/>
            </w:pPr>
            <w:r>
              <w:t xml:space="preserve"> </w:t>
            </w:r>
          </w:p>
        </w:tc>
        <w:tc>
          <w:tcPr>
            <w:tcW w:w="0" w:type="auto"/>
            <w:tcBorders>
              <w:top w:val="single" w:sz="2" w:space="0" w:color="auto"/>
              <w:bottom w:val="single" w:sz="2" w:space="0" w:color="auto"/>
            </w:tcBorders>
            <w:vAlign w:val="top"/>
          </w:tcPr>
          <w:p w14:paraId="1872CF74" w14:textId="2FF4F65E" w:rsidR="00837984" w:rsidRPr="00B93777" w:rsidRDefault="00455499" w:rsidP="00455499">
            <w:pPr>
              <w:pStyle w:val="TableText"/>
              <w:spacing w:before="60" w:after="60"/>
              <w:jc w:val="center"/>
            </w:pPr>
            <w:r>
              <w:t xml:space="preserve"> </w:t>
            </w:r>
          </w:p>
        </w:tc>
        <w:tc>
          <w:tcPr>
            <w:tcW w:w="0" w:type="auto"/>
            <w:tcBorders>
              <w:top w:val="single" w:sz="2" w:space="0" w:color="auto"/>
              <w:bottom w:val="single" w:sz="2" w:space="0" w:color="auto"/>
            </w:tcBorders>
            <w:vAlign w:val="top"/>
          </w:tcPr>
          <w:p w14:paraId="078D4F4A" w14:textId="1C0D9256" w:rsidR="00837984" w:rsidRPr="00B93777" w:rsidRDefault="00455499" w:rsidP="00455499">
            <w:pPr>
              <w:pStyle w:val="TableText"/>
              <w:spacing w:before="60" w:after="60"/>
              <w:jc w:val="center"/>
            </w:pPr>
            <w:r>
              <w:t xml:space="preserve"> </w:t>
            </w:r>
          </w:p>
        </w:tc>
      </w:tr>
      <w:tr w:rsidR="00837984" w:rsidRPr="00B93777" w14:paraId="3C64A3CC" w14:textId="77777777" w:rsidTr="00EC2090">
        <w:tc>
          <w:tcPr>
            <w:tcW w:w="3240" w:type="dxa"/>
            <w:tcBorders>
              <w:top w:val="single" w:sz="2" w:space="0" w:color="auto"/>
              <w:bottom w:val="single" w:sz="2" w:space="0" w:color="auto"/>
            </w:tcBorders>
            <w:vAlign w:val="top"/>
          </w:tcPr>
          <w:p w14:paraId="2CBC0733" w14:textId="77777777" w:rsidR="00837984" w:rsidRPr="00B93777" w:rsidRDefault="00837984" w:rsidP="00FE57E6">
            <w:pPr>
              <w:pStyle w:val="TableText"/>
              <w:spacing w:before="60" w:after="60"/>
            </w:pPr>
            <w:r w:rsidRPr="00B93777">
              <w:t>Breastfeeding (initiation; duration; support)</w:t>
            </w:r>
          </w:p>
        </w:tc>
        <w:tc>
          <w:tcPr>
            <w:tcW w:w="1489" w:type="dxa"/>
            <w:tcBorders>
              <w:top w:val="single" w:sz="2" w:space="0" w:color="auto"/>
              <w:bottom w:val="single" w:sz="2" w:space="0" w:color="auto"/>
            </w:tcBorders>
          </w:tcPr>
          <w:p w14:paraId="446CF8BB" w14:textId="4945FA30"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238F0988" w14:textId="1C9BD124"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416D79F4" w14:textId="2FFEEAFA"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1FEC4D6D" w14:textId="3FA34212"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47630286" w14:textId="20B3136B" w:rsidR="00837984" w:rsidRPr="00B93777" w:rsidRDefault="00F75A66" w:rsidP="00FE57E6">
            <w:pPr>
              <w:pStyle w:val="TableText"/>
              <w:spacing w:before="60" w:after="60"/>
              <w:jc w:val="center"/>
            </w:pPr>
            <w:r>
              <w:t xml:space="preserve"> </w:t>
            </w:r>
          </w:p>
        </w:tc>
      </w:tr>
      <w:tr w:rsidR="00837984" w:rsidRPr="00B93777" w14:paraId="5EA5FFAE" w14:textId="77777777" w:rsidTr="00EC2090">
        <w:tc>
          <w:tcPr>
            <w:tcW w:w="3240" w:type="dxa"/>
            <w:tcBorders>
              <w:top w:val="single" w:sz="2" w:space="0" w:color="auto"/>
              <w:bottom w:val="single" w:sz="2" w:space="0" w:color="auto"/>
            </w:tcBorders>
            <w:vAlign w:val="top"/>
          </w:tcPr>
          <w:p w14:paraId="7BECB022" w14:textId="77777777" w:rsidR="00837984" w:rsidRPr="00B93777" w:rsidRDefault="00837984" w:rsidP="00FE57E6">
            <w:pPr>
              <w:pStyle w:val="TableText"/>
              <w:spacing w:before="60" w:after="60"/>
            </w:pPr>
            <w:r w:rsidRPr="00B93777">
              <w:t>Family planning (birth spacing; contraception)</w:t>
            </w:r>
          </w:p>
        </w:tc>
        <w:tc>
          <w:tcPr>
            <w:tcW w:w="1489" w:type="dxa"/>
            <w:tcBorders>
              <w:top w:val="single" w:sz="2" w:space="0" w:color="auto"/>
              <w:bottom w:val="single" w:sz="2" w:space="0" w:color="auto"/>
            </w:tcBorders>
          </w:tcPr>
          <w:p w14:paraId="422DFF30" w14:textId="0AAD4AB4"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79A3B192" w14:textId="4E96CFC3"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17E025C7" w14:textId="7D90F281"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0D1600F6" w14:textId="6A504AA9"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202FA3A7" w14:textId="10FCB256" w:rsidR="00837984" w:rsidRPr="00B93777" w:rsidRDefault="00F75A66" w:rsidP="00FE57E6">
            <w:pPr>
              <w:pStyle w:val="TableText"/>
              <w:spacing w:before="60" w:after="60"/>
              <w:jc w:val="center"/>
            </w:pPr>
            <w:r>
              <w:t xml:space="preserve"> </w:t>
            </w:r>
          </w:p>
        </w:tc>
      </w:tr>
      <w:tr w:rsidR="00837984" w:rsidRPr="00B93777" w14:paraId="34586B86" w14:textId="77777777" w:rsidTr="00EC2090">
        <w:tc>
          <w:tcPr>
            <w:tcW w:w="3240" w:type="dxa"/>
            <w:tcBorders>
              <w:top w:val="single" w:sz="2" w:space="0" w:color="auto"/>
              <w:bottom w:val="single" w:sz="2" w:space="0" w:color="auto"/>
            </w:tcBorders>
            <w:vAlign w:val="top"/>
          </w:tcPr>
          <w:p w14:paraId="214E9107" w14:textId="1D97016F" w:rsidR="00837984" w:rsidRPr="00B93777" w:rsidRDefault="00837984" w:rsidP="00FE57E6">
            <w:pPr>
              <w:pStyle w:val="TableText"/>
              <w:spacing w:before="60" w:after="60"/>
            </w:pPr>
            <w:r>
              <w:t>S</w:t>
            </w:r>
            <w:r w:rsidR="00F75A66">
              <w:t>moking during pregnancy</w:t>
            </w:r>
          </w:p>
        </w:tc>
        <w:tc>
          <w:tcPr>
            <w:tcW w:w="1489" w:type="dxa"/>
            <w:tcBorders>
              <w:top w:val="single" w:sz="2" w:space="0" w:color="auto"/>
              <w:bottom w:val="single" w:sz="2" w:space="0" w:color="auto"/>
            </w:tcBorders>
          </w:tcPr>
          <w:p w14:paraId="5E1E72B6" w14:textId="35178D38"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123A0A9" w14:textId="63916F2A"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ED7467D" w14:textId="59C44F59"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03B8141D" w14:textId="5F0CB0F2"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47E842D3" w14:textId="49524523" w:rsidR="00837984" w:rsidRPr="00B93777" w:rsidRDefault="00F75A66" w:rsidP="00FE57E6">
            <w:pPr>
              <w:pStyle w:val="TableText"/>
              <w:spacing w:before="60" w:after="60"/>
              <w:jc w:val="center"/>
            </w:pPr>
            <w:r>
              <w:t xml:space="preserve"> </w:t>
            </w:r>
          </w:p>
        </w:tc>
      </w:tr>
      <w:tr w:rsidR="00837984" w:rsidRPr="00B93777" w14:paraId="18D4A1E5" w14:textId="77777777" w:rsidTr="00EC2090">
        <w:tc>
          <w:tcPr>
            <w:tcW w:w="3240" w:type="dxa"/>
            <w:tcBorders>
              <w:top w:val="single" w:sz="2" w:space="0" w:color="auto"/>
              <w:bottom w:val="single" w:sz="2" w:space="0" w:color="auto"/>
            </w:tcBorders>
            <w:vAlign w:val="top"/>
          </w:tcPr>
          <w:p w14:paraId="3F21C979" w14:textId="77777777" w:rsidR="00837984" w:rsidRPr="00B93777" w:rsidRDefault="00837984" w:rsidP="00FE57E6">
            <w:pPr>
              <w:pStyle w:val="TableText"/>
              <w:spacing w:before="60" w:after="60"/>
            </w:pPr>
            <w:r w:rsidRPr="00B93777">
              <w:t>Enrollment in Medicaid</w:t>
            </w:r>
          </w:p>
        </w:tc>
        <w:tc>
          <w:tcPr>
            <w:tcW w:w="1489" w:type="dxa"/>
            <w:tcBorders>
              <w:top w:val="single" w:sz="2" w:space="0" w:color="auto"/>
              <w:bottom w:val="single" w:sz="2" w:space="0" w:color="auto"/>
            </w:tcBorders>
          </w:tcPr>
          <w:p w14:paraId="0E3AFFFA" w14:textId="5D628595"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087AC535" w14:textId="360481C7" w:rsidR="00837984" w:rsidRPr="00B93777" w:rsidRDefault="002E1FBB" w:rsidP="00FE57E6">
            <w:pPr>
              <w:pStyle w:val="TableText"/>
              <w:spacing w:before="60" w:after="60"/>
              <w:jc w:val="center"/>
            </w:pPr>
            <w:r>
              <w:t>X</w:t>
            </w:r>
          </w:p>
        </w:tc>
        <w:tc>
          <w:tcPr>
            <w:tcW w:w="0" w:type="auto"/>
            <w:tcBorders>
              <w:top w:val="single" w:sz="2" w:space="0" w:color="auto"/>
              <w:bottom w:val="single" w:sz="2" w:space="0" w:color="auto"/>
            </w:tcBorders>
            <w:vAlign w:val="center"/>
          </w:tcPr>
          <w:p w14:paraId="68EC3C3F" w14:textId="4196BB28"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49D02D5B" w14:textId="6CB39CE4"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268C82F" w14:textId="74333CE2" w:rsidR="00837984" w:rsidRPr="00B93777" w:rsidRDefault="00F75A66" w:rsidP="00FE57E6">
            <w:pPr>
              <w:pStyle w:val="TableText"/>
              <w:spacing w:before="60" w:after="60"/>
              <w:jc w:val="center"/>
            </w:pPr>
            <w:r>
              <w:t xml:space="preserve"> </w:t>
            </w:r>
          </w:p>
        </w:tc>
      </w:tr>
      <w:tr w:rsidR="00837984" w:rsidRPr="00B93777" w14:paraId="03011513" w14:textId="77777777" w:rsidTr="00EC2090">
        <w:tc>
          <w:tcPr>
            <w:tcW w:w="3240" w:type="dxa"/>
            <w:tcBorders>
              <w:top w:val="single" w:sz="2" w:space="0" w:color="auto"/>
              <w:bottom w:val="single" w:sz="2" w:space="0" w:color="auto"/>
            </w:tcBorders>
            <w:vAlign w:val="top"/>
          </w:tcPr>
          <w:p w14:paraId="30539A78" w14:textId="77777777" w:rsidR="00837984" w:rsidRPr="00B93777" w:rsidRDefault="00837984" w:rsidP="00FE57E6">
            <w:pPr>
              <w:pStyle w:val="TableText"/>
              <w:spacing w:before="60" w:after="60"/>
            </w:pPr>
            <w:r w:rsidRPr="00B93777">
              <w:t>Text4baby enrollment</w:t>
            </w:r>
          </w:p>
        </w:tc>
        <w:tc>
          <w:tcPr>
            <w:tcW w:w="1489" w:type="dxa"/>
            <w:tcBorders>
              <w:top w:val="single" w:sz="2" w:space="0" w:color="auto"/>
              <w:bottom w:val="single" w:sz="2" w:space="0" w:color="auto"/>
            </w:tcBorders>
          </w:tcPr>
          <w:p w14:paraId="1259C3FD" w14:textId="27AB917A"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18C084F3" w14:textId="0CC1D888" w:rsidR="00837984" w:rsidRPr="00F75A66" w:rsidRDefault="00F75A66" w:rsidP="00FE57E6">
            <w:pPr>
              <w:pStyle w:val="TableText"/>
              <w:spacing w:before="60" w:after="60"/>
              <w:jc w:val="center"/>
            </w:pPr>
            <w:r w:rsidRPr="00F75A66">
              <w:t xml:space="preserve"> </w:t>
            </w:r>
          </w:p>
        </w:tc>
        <w:tc>
          <w:tcPr>
            <w:tcW w:w="0" w:type="auto"/>
            <w:tcBorders>
              <w:top w:val="single" w:sz="2" w:space="0" w:color="auto"/>
              <w:bottom w:val="single" w:sz="2" w:space="0" w:color="auto"/>
            </w:tcBorders>
            <w:vAlign w:val="center"/>
          </w:tcPr>
          <w:p w14:paraId="2CB90F0F" w14:textId="039C8B50" w:rsidR="00837984" w:rsidRPr="00F75A66" w:rsidRDefault="00F75A66" w:rsidP="00FE57E6">
            <w:pPr>
              <w:pStyle w:val="TableText"/>
              <w:spacing w:before="60" w:after="60"/>
              <w:jc w:val="center"/>
            </w:pPr>
            <w:r w:rsidRPr="00F75A66">
              <w:t xml:space="preserve"> </w:t>
            </w:r>
          </w:p>
        </w:tc>
        <w:tc>
          <w:tcPr>
            <w:tcW w:w="0" w:type="auto"/>
            <w:tcBorders>
              <w:top w:val="single" w:sz="2" w:space="0" w:color="auto"/>
              <w:bottom w:val="single" w:sz="2" w:space="0" w:color="auto"/>
            </w:tcBorders>
            <w:vAlign w:val="center"/>
          </w:tcPr>
          <w:p w14:paraId="52836F71" w14:textId="3A99549E" w:rsidR="00837984" w:rsidRPr="00F75A66" w:rsidRDefault="00F75A66" w:rsidP="00FE57E6">
            <w:pPr>
              <w:pStyle w:val="TableText"/>
              <w:spacing w:before="60" w:after="60"/>
              <w:jc w:val="center"/>
            </w:pPr>
            <w:r w:rsidRPr="00F75A66">
              <w:t xml:space="preserve"> </w:t>
            </w:r>
          </w:p>
        </w:tc>
        <w:tc>
          <w:tcPr>
            <w:tcW w:w="0" w:type="auto"/>
            <w:tcBorders>
              <w:top w:val="single" w:sz="2" w:space="0" w:color="auto"/>
              <w:bottom w:val="single" w:sz="2" w:space="0" w:color="auto"/>
            </w:tcBorders>
            <w:vAlign w:val="center"/>
          </w:tcPr>
          <w:p w14:paraId="17571659" w14:textId="08CCD281" w:rsidR="00837984" w:rsidRPr="00B93777" w:rsidRDefault="002E1FBB" w:rsidP="00FE57E6">
            <w:pPr>
              <w:pStyle w:val="TableText"/>
              <w:spacing w:before="60" w:after="60"/>
              <w:jc w:val="center"/>
              <w:rPr>
                <w:highlight w:val="yellow"/>
              </w:rPr>
            </w:pPr>
            <w:r>
              <w:t>X</w:t>
            </w:r>
          </w:p>
        </w:tc>
      </w:tr>
      <w:tr w:rsidR="00837984" w:rsidRPr="00B93777" w14:paraId="51A7880E" w14:textId="77777777" w:rsidTr="00EC2090">
        <w:tc>
          <w:tcPr>
            <w:tcW w:w="3240" w:type="dxa"/>
            <w:tcBorders>
              <w:top w:val="single" w:sz="2" w:space="0" w:color="auto"/>
              <w:bottom w:val="single" w:sz="2" w:space="0" w:color="auto"/>
            </w:tcBorders>
            <w:vAlign w:val="top"/>
          </w:tcPr>
          <w:p w14:paraId="5B922AFB" w14:textId="77777777" w:rsidR="00837984" w:rsidRPr="00B93777" w:rsidRDefault="00837984" w:rsidP="00FE57E6">
            <w:pPr>
              <w:pStyle w:val="TableText"/>
              <w:spacing w:before="60" w:after="60"/>
            </w:pPr>
            <w:r w:rsidRPr="00B93777">
              <w:t>Use of Text4baby text messages</w:t>
            </w:r>
          </w:p>
        </w:tc>
        <w:tc>
          <w:tcPr>
            <w:tcW w:w="1489" w:type="dxa"/>
            <w:tcBorders>
              <w:top w:val="single" w:sz="2" w:space="0" w:color="auto"/>
              <w:bottom w:val="single" w:sz="2" w:space="0" w:color="auto"/>
            </w:tcBorders>
          </w:tcPr>
          <w:p w14:paraId="1187B80E" w14:textId="7BF8C1D2"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1EACA58A" w14:textId="11308097"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6057584D" w14:textId="27992E7E"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11E37285" w14:textId="274FF7C2" w:rsidR="00837984" w:rsidRPr="00B93777" w:rsidRDefault="00F75A66" w:rsidP="00FE57E6">
            <w:pPr>
              <w:pStyle w:val="TableText"/>
              <w:spacing w:before="60" w:after="60"/>
              <w:jc w:val="center"/>
            </w:pPr>
            <w:r>
              <w:t xml:space="preserve"> </w:t>
            </w:r>
          </w:p>
        </w:tc>
        <w:tc>
          <w:tcPr>
            <w:tcW w:w="0" w:type="auto"/>
            <w:tcBorders>
              <w:top w:val="single" w:sz="2" w:space="0" w:color="auto"/>
              <w:bottom w:val="single" w:sz="2" w:space="0" w:color="auto"/>
            </w:tcBorders>
            <w:vAlign w:val="center"/>
          </w:tcPr>
          <w:p w14:paraId="5DAD050C" w14:textId="04F2C357" w:rsidR="00837984" w:rsidRPr="00B93777" w:rsidRDefault="002E1FBB" w:rsidP="00FE57E6">
            <w:pPr>
              <w:pStyle w:val="TableText"/>
              <w:spacing w:before="60" w:after="60"/>
              <w:jc w:val="center"/>
            </w:pPr>
            <w:r>
              <w:t>X</w:t>
            </w:r>
          </w:p>
        </w:tc>
      </w:tr>
    </w:tbl>
    <w:p w14:paraId="231B741A" w14:textId="77777777" w:rsidR="00837984" w:rsidRDefault="00837984" w:rsidP="00837984">
      <w:pPr>
        <w:pStyle w:val="TableFootnoteCaption"/>
        <w:rPr>
          <w:rFonts w:cs="Arial"/>
        </w:rPr>
      </w:pPr>
      <w:proofErr w:type="spellStart"/>
      <w:r>
        <w:rPr>
          <w:rFonts w:cs="Arial"/>
          <w:vertAlign w:val="superscript"/>
        </w:rPr>
        <w:t>a</w:t>
      </w:r>
      <w:proofErr w:type="spellEnd"/>
      <w:r>
        <w:rPr>
          <w:rFonts w:cs="Arial"/>
          <w:vertAlign w:val="superscript"/>
        </w:rPr>
        <w:t xml:space="preserve"> </w:t>
      </w:r>
      <w:r w:rsidRPr="008B26A8">
        <w:rPr>
          <w:rFonts w:cs="Arial"/>
        </w:rPr>
        <w:t>W</w:t>
      </w:r>
      <w:r>
        <w:rPr>
          <w:rFonts w:cs="Arial"/>
        </w:rPr>
        <w:t xml:space="preserve">hen practical, we will use Vital Records and </w:t>
      </w:r>
      <w:proofErr w:type="spellStart"/>
      <w:r>
        <w:rPr>
          <w:rFonts w:cs="Arial"/>
        </w:rPr>
        <w:t>Voxiva</w:t>
      </w:r>
      <w:proofErr w:type="spellEnd"/>
      <w:r>
        <w:rPr>
          <w:rFonts w:cs="Arial"/>
        </w:rPr>
        <w:t xml:space="preserve"> data linked to Medicaid </w:t>
      </w:r>
      <w:r w:rsidRPr="008B26A8">
        <w:rPr>
          <w:rFonts w:cs="Arial"/>
        </w:rPr>
        <w:t xml:space="preserve">data </w:t>
      </w:r>
      <w:r>
        <w:rPr>
          <w:rFonts w:cs="Arial"/>
        </w:rPr>
        <w:t xml:space="preserve">in order to </w:t>
      </w:r>
      <w:r w:rsidRPr="008B26A8">
        <w:rPr>
          <w:rFonts w:cs="Arial"/>
        </w:rPr>
        <w:t>correctly identify births paid by Medicaid</w:t>
      </w:r>
      <w:r>
        <w:rPr>
          <w:rFonts w:cs="Arial"/>
        </w:rPr>
        <w:t xml:space="preserve"> and for other purposes.</w:t>
      </w:r>
    </w:p>
    <w:p w14:paraId="6F41DC50" w14:textId="77777777" w:rsidR="00837984" w:rsidRPr="005D3755" w:rsidRDefault="00837984" w:rsidP="00837984">
      <w:pPr>
        <w:pStyle w:val="TableFootnoteCaption"/>
        <w:rPr>
          <w:rFonts w:cs="Arial"/>
        </w:rPr>
      </w:pPr>
      <w:proofErr w:type="gramStart"/>
      <w:r>
        <w:rPr>
          <w:rFonts w:cs="Arial"/>
          <w:vertAlign w:val="superscript"/>
        </w:rPr>
        <w:t>b</w:t>
      </w:r>
      <w:proofErr w:type="gramEnd"/>
      <w:r>
        <w:rPr>
          <w:rFonts w:cs="Arial"/>
        </w:rPr>
        <w:t xml:space="preserve"> Adult and child core set specifications indicate that electronic health records (EHRs) are needed to calculate these measures. Because states often have barriers to collect EHRs, we will develop proxy measures using other sources.</w:t>
      </w:r>
    </w:p>
    <w:p w14:paraId="595E2839" w14:textId="77777777" w:rsidR="00831A88" w:rsidRDefault="00831A88" w:rsidP="003453AE">
      <w:pPr>
        <w:tabs>
          <w:tab w:val="left" w:pos="568"/>
        </w:tabs>
        <w:spacing w:before="116"/>
        <w:ind w:left="136"/>
        <w:jc w:val="both"/>
        <w:rPr>
          <w:szCs w:val="24"/>
        </w:rPr>
      </w:pPr>
    </w:p>
    <w:p w14:paraId="0C3A086C" w14:textId="4F12DD95" w:rsidR="00206E02" w:rsidRPr="00206E02" w:rsidRDefault="00FE2101" w:rsidP="00A94C6B">
      <w:pPr>
        <w:pStyle w:val="Bullet"/>
      </w:pPr>
      <w:r>
        <w:rPr>
          <w:b/>
          <w:bCs/>
          <w:i/>
        </w:rPr>
        <w:t>Medicaid postpartum telephone s</w:t>
      </w:r>
      <w:r w:rsidRPr="005B124A">
        <w:rPr>
          <w:b/>
          <w:bCs/>
          <w:i/>
        </w:rPr>
        <w:t>urvey</w:t>
      </w:r>
      <w:r w:rsidR="006466DA" w:rsidRPr="00206E02">
        <w:rPr>
          <w:b/>
          <w:bCs/>
          <w:i/>
        </w:rPr>
        <w:t xml:space="preserve">. </w:t>
      </w:r>
      <w:r w:rsidR="002145A8" w:rsidRPr="00206E02">
        <w:rPr>
          <w:rFonts w:eastAsiaTheme="minorEastAsia"/>
        </w:rPr>
        <w:t xml:space="preserve">The Medicaid postpartum survey </w:t>
      </w:r>
      <w:r w:rsidR="0093278F">
        <w:rPr>
          <w:rFonts w:eastAsiaTheme="minorEastAsia"/>
        </w:rPr>
        <w:t>aims</w:t>
      </w:r>
      <w:r w:rsidR="002145A8" w:rsidRPr="00206E02">
        <w:rPr>
          <w:rFonts w:eastAsiaTheme="minorEastAsia"/>
        </w:rPr>
        <w:t xml:space="preserve"> to capture information about </w:t>
      </w:r>
      <w:r w:rsidR="00521CF3">
        <w:rPr>
          <w:rFonts w:eastAsiaTheme="minorEastAsia"/>
        </w:rPr>
        <w:t>pilot program participants and nonparticipants</w:t>
      </w:r>
      <w:r w:rsidR="002145A8" w:rsidRPr="00206E02">
        <w:rPr>
          <w:rFonts w:eastAsiaTheme="minorEastAsia"/>
        </w:rPr>
        <w:t xml:space="preserve"> that is not available in administrative data sources</w:t>
      </w:r>
      <w:r w:rsidR="0093278F">
        <w:rPr>
          <w:rFonts w:eastAsiaTheme="minorEastAsia"/>
        </w:rPr>
        <w:t>,</w:t>
      </w:r>
      <w:r w:rsidR="00EC4EDC">
        <w:rPr>
          <w:rFonts w:eastAsiaTheme="minorEastAsia"/>
        </w:rPr>
        <w:t xml:space="preserve"> including information about their awareness of </w:t>
      </w:r>
      <w:r w:rsidR="00521CF3">
        <w:rPr>
          <w:rFonts w:eastAsiaTheme="minorEastAsia"/>
        </w:rPr>
        <w:t>the pilot program</w:t>
      </w:r>
      <w:r w:rsidR="00EC4EDC">
        <w:rPr>
          <w:rFonts w:eastAsiaTheme="minorEastAsia"/>
        </w:rPr>
        <w:t>, motivation for signing up, satisfaction</w:t>
      </w:r>
      <w:r w:rsidR="00DC25C0">
        <w:rPr>
          <w:rFonts w:eastAsiaTheme="minorEastAsia"/>
        </w:rPr>
        <w:t xml:space="preserve"> with the service</w:t>
      </w:r>
      <w:r w:rsidR="00EC4EDC">
        <w:rPr>
          <w:rFonts w:eastAsiaTheme="minorEastAsia"/>
        </w:rPr>
        <w:t>, pregnancy experiences and perspectives, and health behaviors</w:t>
      </w:r>
      <w:r w:rsidR="002145A8" w:rsidRPr="00206E02">
        <w:rPr>
          <w:rFonts w:eastAsiaTheme="minorEastAsia"/>
        </w:rPr>
        <w:t xml:space="preserve">. </w:t>
      </w:r>
      <w:r w:rsidR="00EC4EDC">
        <w:rPr>
          <w:rFonts w:eastAsiaTheme="minorEastAsia"/>
        </w:rPr>
        <w:t>The survey has nine sections:</w:t>
      </w:r>
      <w:r w:rsidR="0093278F">
        <w:rPr>
          <w:rFonts w:eastAsiaTheme="minorEastAsia"/>
        </w:rPr>
        <w:t xml:space="preserve"> </w:t>
      </w:r>
      <w:r w:rsidR="00EC4EDC">
        <w:rPr>
          <w:rFonts w:eastAsiaTheme="minorEastAsia"/>
        </w:rPr>
        <w:t>(A)</w:t>
      </w:r>
      <w:r w:rsidR="002145A8" w:rsidRPr="00206E02">
        <w:rPr>
          <w:rFonts w:eastAsiaTheme="minorEastAsia"/>
        </w:rPr>
        <w:t xml:space="preserve"> Text4baby enrollment and use of services</w:t>
      </w:r>
      <w:r w:rsidR="00DC25C0">
        <w:rPr>
          <w:rFonts w:eastAsiaTheme="minorEastAsia"/>
        </w:rPr>
        <w:t xml:space="preserve"> (</w:t>
      </w:r>
      <w:r w:rsidR="00521CF3">
        <w:rPr>
          <w:rFonts w:eastAsiaTheme="minorEastAsia"/>
        </w:rPr>
        <w:t xml:space="preserve">participants </w:t>
      </w:r>
      <w:r w:rsidR="00DC25C0">
        <w:rPr>
          <w:rFonts w:eastAsiaTheme="minorEastAsia"/>
        </w:rPr>
        <w:t>only)</w:t>
      </w:r>
      <w:r w:rsidR="002145A8" w:rsidRPr="00206E02">
        <w:rPr>
          <w:rFonts w:eastAsiaTheme="minorEastAsia"/>
        </w:rPr>
        <w:t xml:space="preserve">, </w:t>
      </w:r>
      <w:r w:rsidR="00EC4EDC">
        <w:rPr>
          <w:rFonts w:eastAsiaTheme="minorEastAsia"/>
        </w:rPr>
        <w:t xml:space="preserve">(B) </w:t>
      </w:r>
      <w:r w:rsidR="002145A8" w:rsidRPr="00206E02">
        <w:rPr>
          <w:rFonts w:eastAsiaTheme="minorEastAsia"/>
        </w:rPr>
        <w:t>Disenrollment</w:t>
      </w:r>
      <w:r w:rsidR="00DC25C0">
        <w:rPr>
          <w:rFonts w:eastAsiaTheme="minorEastAsia"/>
        </w:rPr>
        <w:t xml:space="preserve"> (</w:t>
      </w:r>
      <w:r w:rsidR="00521CF3">
        <w:rPr>
          <w:rFonts w:eastAsiaTheme="minorEastAsia"/>
        </w:rPr>
        <w:t>participants</w:t>
      </w:r>
      <w:r w:rsidR="00DC25C0">
        <w:rPr>
          <w:rFonts w:eastAsiaTheme="minorEastAsia"/>
        </w:rPr>
        <w:t xml:space="preserve"> only)</w:t>
      </w:r>
      <w:r w:rsidR="002145A8" w:rsidRPr="00206E02">
        <w:rPr>
          <w:rFonts w:eastAsiaTheme="minorEastAsia"/>
        </w:rPr>
        <w:t xml:space="preserve">, </w:t>
      </w:r>
      <w:r w:rsidR="00EC4EDC">
        <w:rPr>
          <w:rFonts w:eastAsiaTheme="minorEastAsia"/>
        </w:rPr>
        <w:t xml:space="preserve">(C) </w:t>
      </w:r>
      <w:r w:rsidR="002145A8" w:rsidRPr="00206E02">
        <w:rPr>
          <w:rFonts w:eastAsiaTheme="minorEastAsia"/>
        </w:rPr>
        <w:t>Satisfaction with Text4baby</w:t>
      </w:r>
      <w:r w:rsidR="00DC25C0">
        <w:rPr>
          <w:rFonts w:eastAsiaTheme="minorEastAsia"/>
        </w:rPr>
        <w:t xml:space="preserve"> (</w:t>
      </w:r>
      <w:r w:rsidR="00521CF3">
        <w:rPr>
          <w:rFonts w:eastAsiaTheme="minorEastAsia"/>
        </w:rPr>
        <w:t>participants</w:t>
      </w:r>
      <w:r w:rsidR="00DC25C0">
        <w:rPr>
          <w:rFonts w:eastAsiaTheme="minorEastAsia"/>
        </w:rPr>
        <w:t xml:space="preserve"> only)</w:t>
      </w:r>
      <w:r w:rsidR="002145A8" w:rsidRPr="00206E02">
        <w:rPr>
          <w:rFonts w:eastAsiaTheme="minorEastAsia"/>
        </w:rPr>
        <w:t xml:space="preserve">, </w:t>
      </w:r>
      <w:r w:rsidR="00EC4EDC">
        <w:rPr>
          <w:rFonts w:eastAsiaTheme="minorEastAsia"/>
        </w:rPr>
        <w:t xml:space="preserve">(D) </w:t>
      </w:r>
      <w:r w:rsidR="002145A8" w:rsidRPr="00206E02">
        <w:rPr>
          <w:rFonts w:eastAsiaTheme="minorEastAsia"/>
        </w:rPr>
        <w:t xml:space="preserve">Pregnancy History, </w:t>
      </w:r>
      <w:r w:rsidR="00EC4EDC">
        <w:rPr>
          <w:rFonts w:eastAsiaTheme="minorEastAsia"/>
        </w:rPr>
        <w:t xml:space="preserve">(E) </w:t>
      </w:r>
      <w:r w:rsidR="002145A8" w:rsidRPr="00206E02">
        <w:rPr>
          <w:rFonts w:eastAsiaTheme="minorEastAsia"/>
        </w:rPr>
        <w:t xml:space="preserve">Most Recent Pregnancy, </w:t>
      </w:r>
      <w:r w:rsidR="00EC4EDC">
        <w:rPr>
          <w:rFonts w:eastAsiaTheme="minorEastAsia"/>
        </w:rPr>
        <w:t xml:space="preserve">(F) </w:t>
      </w:r>
      <w:r w:rsidR="002145A8" w:rsidRPr="00206E02">
        <w:rPr>
          <w:rFonts w:eastAsiaTheme="minorEastAsia"/>
        </w:rPr>
        <w:t xml:space="preserve">Health Care Access and Utilization, </w:t>
      </w:r>
      <w:r w:rsidR="00EC4EDC">
        <w:rPr>
          <w:rFonts w:eastAsiaTheme="minorEastAsia"/>
        </w:rPr>
        <w:t xml:space="preserve">(G) </w:t>
      </w:r>
      <w:r w:rsidR="002145A8" w:rsidRPr="00206E02">
        <w:rPr>
          <w:rFonts w:eastAsiaTheme="minorEastAsia"/>
        </w:rPr>
        <w:t xml:space="preserve">Pregnancy and Postpartum Behaviors, </w:t>
      </w:r>
      <w:r w:rsidR="00EC4EDC">
        <w:rPr>
          <w:rFonts w:eastAsiaTheme="minorEastAsia"/>
        </w:rPr>
        <w:t xml:space="preserve">(H) </w:t>
      </w:r>
      <w:r w:rsidR="002145A8" w:rsidRPr="00206E02">
        <w:rPr>
          <w:rFonts w:eastAsiaTheme="minorEastAsia"/>
        </w:rPr>
        <w:t xml:space="preserve">Health Knowledge, and </w:t>
      </w:r>
      <w:r w:rsidR="00EC4EDC">
        <w:rPr>
          <w:rFonts w:eastAsiaTheme="minorEastAsia"/>
        </w:rPr>
        <w:t xml:space="preserve">(I) </w:t>
      </w:r>
      <w:r w:rsidR="002145A8" w:rsidRPr="00206E02">
        <w:rPr>
          <w:rFonts w:eastAsiaTheme="minorEastAsia"/>
        </w:rPr>
        <w:t>Participant Characteristics</w:t>
      </w:r>
      <w:r>
        <w:rPr>
          <w:rFonts w:eastAsiaTheme="minorEastAsia"/>
        </w:rPr>
        <w:t xml:space="preserve"> (see </w:t>
      </w:r>
      <w:r w:rsidRPr="00373E0E">
        <w:rPr>
          <w:rFonts w:eastAsiaTheme="minorEastAsia"/>
        </w:rPr>
        <w:t xml:space="preserve">Appendix </w:t>
      </w:r>
      <w:r w:rsidR="00373E0E">
        <w:rPr>
          <w:rFonts w:eastAsiaTheme="minorEastAsia"/>
        </w:rPr>
        <w:t>A</w:t>
      </w:r>
      <w:r w:rsidRPr="00373E0E">
        <w:rPr>
          <w:rFonts w:eastAsiaTheme="minorEastAsia"/>
        </w:rPr>
        <w:t xml:space="preserve"> for</w:t>
      </w:r>
      <w:r>
        <w:rPr>
          <w:rFonts w:eastAsiaTheme="minorEastAsia"/>
        </w:rPr>
        <w:t xml:space="preserve"> the telephone survey instrument)</w:t>
      </w:r>
      <w:r w:rsidR="002145A8" w:rsidRPr="00206E02">
        <w:rPr>
          <w:rFonts w:eastAsiaTheme="minorEastAsia"/>
        </w:rPr>
        <w:t xml:space="preserve">. </w:t>
      </w:r>
    </w:p>
    <w:p w14:paraId="2961D86C" w14:textId="6E86BBC5" w:rsidR="00206E02" w:rsidRPr="00AA4D73" w:rsidRDefault="002145A8" w:rsidP="00A94C6B">
      <w:pPr>
        <w:pStyle w:val="Bullet"/>
      </w:pPr>
      <w:r w:rsidRPr="00206E02">
        <w:rPr>
          <w:b/>
          <w:i/>
        </w:rPr>
        <w:t>Key informant interviews.</w:t>
      </w:r>
      <w:r w:rsidRPr="00206E02">
        <w:t xml:space="preserve"> </w:t>
      </w:r>
      <w:r w:rsidRPr="00206E02">
        <w:rPr>
          <w:rFonts w:eastAsiaTheme="minorEastAsia"/>
        </w:rPr>
        <w:t>The national and state-level stakeholder interviews (</w:t>
      </w:r>
      <w:proofErr w:type="spellStart"/>
      <w:r w:rsidR="007446B0">
        <w:rPr>
          <w:rFonts w:eastAsiaTheme="minorEastAsia"/>
        </w:rPr>
        <w:t>CMCS</w:t>
      </w:r>
      <w:proofErr w:type="spellEnd"/>
      <w:r w:rsidR="00DC25C0">
        <w:rPr>
          <w:rFonts w:eastAsiaTheme="minorEastAsia"/>
        </w:rPr>
        <w:t xml:space="preserve">, </w:t>
      </w:r>
      <w:proofErr w:type="spellStart"/>
      <w:r w:rsidR="00DC25C0">
        <w:rPr>
          <w:rFonts w:eastAsiaTheme="minorEastAsia"/>
        </w:rPr>
        <w:t>Voxiva</w:t>
      </w:r>
      <w:proofErr w:type="spellEnd"/>
      <w:r w:rsidR="00DC25C0">
        <w:rPr>
          <w:rFonts w:eastAsiaTheme="minorEastAsia"/>
        </w:rPr>
        <w:t xml:space="preserve">, </w:t>
      </w:r>
      <w:r w:rsidR="003C0B05">
        <w:rPr>
          <w:rFonts w:eastAsiaTheme="minorEastAsia"/>
        </w:rPr>
        <w:t>Zero to Three</w:t>
      </w:r>
      <w:r w:rsidR="00DC25C0">
        <w:rPr>
          <w:rFonts w:eastAsiaTheme="minorEastAsia"/>
        </w:rPr>
        <w:t xml:space="preserve">, </w:t>
      </w:r>
      <w:r w:rsidRPr="00206E02">
        <w:t xml:space="preserve">state Medicaid agencies, </w:t>
      </w:r>
      <w:r w:rsidRPr="00206E02">
        <w:rPr>
          <w:rFonts w:eastAsiaTheme="minorEastAsia"/>
        </w:rPr>
        <w:t xml:space="preserve">outreach partners, </w:t>
      </w:r>
      <w:r w:rsidR="00DC25C0">
        <w:rPr>
          <w:rFonts w:eastAsiaTheme="minorEastAsia"/>
        </w:rPr>
        <w:t>and health care providers</w:t>
      </w:r>
      <w:r w:rsidRPr="00206E02">
        <w:rPr>
          <w:rFonts w:eastAsiaTheme="minorEastAsia"/>
        </w:rPr>
        <w:t xml:space="preserve">) are designed to collect qualitative information on the successes and challenges </w:t>
      </w:r>
      <w:r w:rsidR="0093278F">
        <w:rPr>
          <w:rFonts w:eastAsiaTheme="minorEastAsia"/>
        </w:rPr>
        <w:t>of</w:t>
      </w:r>
      <w:r w:rsidRPr="00206E02">
        <w:rPr>
          <w:rFonts w:eastAsiaTheme="minorEastAsia"/>
        </w:rPr>
        <w:t xml:space="preserve"> </w:t>
      </w:r>
      <w:r w:rsidR="0093278F">
        <w:rPr>
          <w:rFonts w:eastAsiaTheme="minorEastAsia"/>
        </w:rPr>
        <w:t>implementing the</w:t>
      </w:r>
      <w:r w:rsidRPr="00206E02">
        <w:rPr>
          <w:rFonts w:eastAsiaTheme="minorEastAsia"/>
        </w:rPr>
        <w:t xml:space="preserve"> pilot </w:t>
      </w:r>
      <w:proofErr w:type="spellStart"/>
      <w:r w:rsidRPr="00206E02">
        <w:rPr>
          <w:rFonts w:eastAsiaTheme="minorEastAsia"/>
        </w:rPr>
        <w:t>mHealth</w:t>
      </w:r>
      <w:proofErr w:type="spellEnd"/>
      <w:r w:rsidRPr="00206E02">
        <w:rPr>
          <w:rFonts w:eastAsiaTheme="minorEastAsia"/>
        </w:rPr>
        <w:t xml:space="preserve"> program, and to capture partners’ views on the lessons learned from the pilot. In addition,</w:t>
      </w:r>
      <w:r w:rsidR="00EC4EDC">
        <w:rPr>
          <w:rFonts w:eastAsiaTheme="minorEastAsia"/>
        </w:rPr>
        <w:t xml:space="preserve"> to understand </w:t>
      </w:r>
      <w:r w:rsidR="00521CF3">
        <w:rPr>
          <w:rFonts w:eastAsiaTheme="minorEastAsia"/>
        </w:rPr>
        <w:t>the role of providers in promoting health education tools as well as providers’ insights into how tools, such as Text4baby,  h</w:t>
      </w:r>
      <w:r w:rsidR="00175618">
        <w:rPr>
          <w:rFonts w:eastAsiaTheme="minorEastAsia"/>
        </w:rPr>
        <w:t>a</w:t>
      </w:r>
      <w:r w:rsidR="00521CF3">
        <w:rPr>
          <w:rFonts w:eastAsiaTheme="minorEastAsia"/>
        </w:rPr>
        <w:t>s affected patient knowledge and behaviors</w:t>
      </w:r>
      <w:r w:rsidR="00EC4EDC">
        <w:rPr>
          <w:rFonts w:eastAsiaTheme="minorEastAsia"/>
        </w:rPr>
        <w:t>,</w:t>
      </w:r>
      <w:r w:rsidRPr="00206E02">
        <w:rPr>
          <w:rFonts w:eastAsiaTheme="minorEastAsia"/>
        </w:rPr>
        <w:t xml:space="preserve"> </w:t>
      </w:r>
      <w:r w:rsidR="007D0388">
        <w:rPr>
          <w:rFonts w:eastAsiaTheme="minorEastAsia"/>
        </w:rPr>
        <w:t>CMCS’s contractor</w:t>
      </w:r>
      <w:r w:rsidRPr="00206E02">
        <w:rPr>
          <w:rFonts w:eastAsiaTheme="minorEastAsia"/>
        </w:rPr>
        <w:t xml:space="preserve"> will also interview providers </w:t>
      </w:r>
      <w:r w:rsidR="0093278F">
        <w:rPr>
          <w:rFonts w:eastAsiaTheme="minorEastAsia"/>
        </w:rPr>
        <w:t>that</w:t>
      </w:r>
      <w:r w:rsidRPr="00206E02">
        <w:rPr>
          <w:rFonts w:eastAsiaTheme="minorEastAsia"/>
        </w:rPr>
        <w:t xml:space="preserve"> are most knowledgeable and active in </w:t>
      </w:r>
      <w:r w:rsidR="00DC25C0">
        <w:rPr>
          <w:rFonts w:eastAsiaTheme="minorEastAsia"/>
        </w:rPr>
        <w:t>promoting</w:t>
      </w:r>
      <w:r w:rsidRPr="00206E02">
        <w:rPr>
          <w:rFonts w:eastAsiaTheme="minorEastAsia"/>
        </w:rPr>
        <w:t xml:space="preserve"> the pilot </w:t>
      </w:r>
      <w:proofErr w:type="spellStart"/>
      <w:r w:rsidRPr="00206E02">
        <w:rPr>
          <w:rFonts w:eastAsiaTheme="minorEastAsia"/>
        </w:rPr>
        <w:t>mHealth</w:t>
      </w:r>
      <w:proofErr w:type="spellEnd"/>
      <w:r w:rsidRPr="00206E02">
        <w:rPr>
          <w:rFonts w:eastAsiaTheme="minorEastAsia"/>
        </w:rPr>
        <w:t xml:space="preserve"> program in their state</w:t>
      </w:r>
      <w:r w:rsidR="0093278F">
        <w:rPr>
          <w:rFonts w:eastAsiaTheme="minorEastAsia"/>
        </w:rPr>
        <w:t>s</w:t>
      </w:r>
      <w:r w:rsidRPr="00206E02">
        <w:rPr>
          <w:rFonts w:eastAsiaTheme="minorEastAsia"/>
        </w:rPr>
        <w:t xml:space="preserve"> within a selected geographic area. </w:t>
      </w:r>
      <w:r w:rsidR="00206E02" w:rsidRPr="00206E02">
        <w:rPr>
          <w:rFonts w:eastAsiaTheme="minorEastAsia"/>
        </w:rPr>
        <w:t xml:space="preserve">For each of the </w:t>
      </w:r>
      <w:r w:rsidR="00DC25C0">
        <w:rPr>
          <w:rFonts w:eastAsiaTheme="minorEastAsia"/>
        </w:rPr>
        <w:t>different</w:t>
      </w:r>
      <w:r w:rsidR="00DC25C0" w:rsidRPr="00206E02">
        <w:rPr>
          <w:rFonts w:eastAsiaTheme="minorEastAsia"/>
        </w:rPr>
        <w:t xml:space="preserve"> </w:t>
      </w:r>
      <w:r w:rsidR="00206E02" w:rsidRPr="00206E02">
        <w:rPr>
          <w:rFonts w:eastAsiaTheme="minorEastAsia"/>
        </w:rPr>
        <w:t xml:space="preserve">stakeholder types, </w:t>
      </w:r>
      <w:r w:rsidR="005353C2">
        <w:rPr>
          <w:rFonts w:eastAsiaTheme="minorEastAsia"/>
        </w:rPr>
        <w:t xml:space="preserve">the </w:t>
      </w:r>
      <w:r w:rsidR="007D0388">
        <w:rPr>
          <w:rFonts w:eastAsiaTheme="minorEastAsia"/>
        </w:rPr>
        <w:t>contractor</w:t>
      </w:r>
      <w:r w:rsidR="00206E02" w:rsidRPr="00206E02">
        <w:rPr>
          <w:rFonts w:eastAsiaTheme="minorEastAsia"/>
        </w:rPr>
        <w:t xml:space="preserve"> </w:t>
      </w:r>
      <w:r w:rsidR="007D0388" w:rsidRPr="00206E02">
        <w:rPr>
          <w:rFonts w:eastAsiaTheme="minorEastAsia"/>
        </w:rPr>
        <w:t>ha</w:t>
      </w:r>
      <w:r w:rsidR="007D0388">
        <w:rPr>
          <w:rFonts w:eastAsiaTheme="minorEastAsia"/>
        </w:rPr>
        <w:t>s</w:t>
      </w:r>
      <w:r w:rsidR="007D0388" w:rsidRPr="00206E02">
        <w:rPr>
          <w:rFonts w:eastAsiaTheme="minorEastAsia"/>
        </w:rPr>
        <w:t xml:space="preserve"> </w:t>
      </w:r>
      <w:r w:rsidR="00206E02" w:rsidRPr="00206E02">
        <w:rPr>
          <w:rFonts w:eastAsiaTheme="minorEastAsia"/>
        </w:rPr>
        <w:t xml:space="preserve">developed </w:t>
      </w:r>
      <w:r w:rsidR="00206E02" w:rsidRPr="00373E0E">
        <w:rPr>
          <w:rFonts w:eastAsiaTheme="minorEastAsia"/>
        </w:rPr>
        <w:t>a semi</w:t>
      </w:r>
      <w:r w:rsidR="007446B0">
        <w:rPr>
          <w:rFonts w:eastAsiaTheme="minorEastAsia"/>
        </w:rPr>
        <w:t>-</w:t>
      </w:r>
      <w:r w:rsidR="00206E02" w:rsidRPr="00373E0E">
        <w:rPr>
          <w:rFonts w:eastAsiaTheme="minorEastAsia"/>
        </w:rPr>
        <w:t>structured discussion guide with questions addressing a range of topics relevant to each stakeholder</w:t>
      </w:r>
      <w:r w:rsidR="000B5205" w:rsidRPr="00373E0E">
        <w:rPr>
          <w:rFonts w:eastAsiaTheme="minorEastAsia"/>
        </w:rPr>
        <w:t xml:space="preserve"> (see Appendix </w:t>
      </w:r>
      <w:r w:rsidR="00373E0E">
        <w:rPr>
          <w:rFonts w:eastAsiaTheme="minorEastAsia"/>
        </w:rPr>
        <w:t>B</w:t>
      </w:r>
      <w:r w:rsidR="000B5205" w:rsidRPr="00206E02">
        <w:rPr>
          <w:rFonts w:eastAsiaTheme="minorEastAsia"/>
        </w:rPr>
        <w:t xml:space="preserve"> for the complete stakeholder interview discussion guides)</w:t>
      </w:r>
      <w:r w:rsidR="00206E02" w:rsidRPr="00206E02">
        <w:rPr>
          <w:rFonts w:eastAsiaTheme="minorEastAsia"/>
        </w:rPr>
        <w:t xml:space="preserve">. </w:t>
      </w:r>
    </w:p>
    <w:p w14:paraId="3C901B61" w14:textId="3C7EF260" w:rsidR="00BC5E42" w:rsidRDefault="00BC5E42" w:rsidP="00A94C6B">
      <w:pPr>
        <w:pStyle w:val="BulletLastSS"/>
      </w:pPr>
      <w:r w:rsidRPr="00206E02">
        <w:rPr>
          <w:b/>
          <w:bCs/>
          <w:i/>
        </w:rPr>
        <w:t xml:space="preserve">Focus groups. </w:t>
      </w:r>
      <w:r w:rsidRPr="00206E02">
        <w:t xml:space="preserve">The purpose of the focus groups is to collect qualitative information on the implementation and effectiveness of the </w:t>
      </w:r>
      <w:proofErr w:type="spellStart"/>
      <w:r w:rsidRPr="00206E02">
        <w:t>mHealth</w:t>
      </w:r>
      <w:proofErr w:type="spellEnd"/>
      <w:r w:rsidRPr="00206E02">
        <w:t xml:space="preserve"> pilot from the consumers’ perspective. </w:t>
      </w:r>
      <w:r w:rsidR="007D0388">
        <w:rPr>
          <w:rFonts w:eastAsiaTheme="minorEastAsia"/>
        </w:rPr>
        <w:t>CMCS’s contractor has</w:t>
      </w:r>
      <w:r w:rsidRPr="00206E02">
        <w:t xml:space="preserve"> developed a discussion guide </w:t>
      </w:r>
      <w:r w:rsidRPr="00373E0E">
        <w:t xml:space="preserve">to guide the focus group sessions (see Appendix </w:t>
      </w:r>
      <w:r w:rsidR="00373E0E" w:rsidRPr="00373E0E">
        <w:t>C</w:t>
      </w:r>
      <w:r w:rsidRPr="00373E0E">
        <w:t xml:space="preserve"> for focus group discussion guide). </w:t>
      </w:r>
    </w:p>
    <w:p w14:paraId="192B0D90" w14:textId="04DABB81" w:rsidR="005B124A" w:rsidRDefault="00D10F02" w:rsidP="008C7D81">
      <w:pPr>
        <w:pStyle w:val="H4Number"/>
        <w:rPr>
          <w:szCs w:val="24"/>
        </w:rPr>
      </w:pPr>
      <w:bookmarkStart w:id="22" w:name="_Toc409097432"/>
      <w:bookmarkStart w:id="23" w:name="_Toc426101434"/>
      <w:r>
        <w:rPr>
          <w:u w:color="000000"/>
        </w:rPr>
        <w:t>3.</w:t>
      </w:r>
      <w:r>
        <w:rPr>
          <w:u w:color="000000"/>
        </w:rPr>
        <w:tab/>
      </w:r>
      <w:r w:rsidR="0019564B">
        <w:rPr>
          <w:u w:color="000000"/>
        </w:rPr>
        <w:t xml:space="preserve">Use of </w:t>
      </w:r>
      <w:r w:rsidR="008E45C9">
        <w:rPr>
          <w:u w:color="000000"/>
        </w:rPr>
        <w:t>i</w:t>
      </w:r>
      <w:r w:rsidR="0019564B">
        <w:rPr>
          <w:u w:color="000000"/>
        </w:rPr>
        <w:t xml:space="preserve">mproved </w:t>
      </w:r>
      <w:r w:rsidR="008E45C9">
        <w:rPr>
          <w:u w:color="000000"/>
        </w:rPr>
        <w:t>i</w:t>
      </w:r>
      <w:r w:rsidR="0019564B">
        <w:rPr>
          <w:u w:color="000000"/>
        </w:rPr>
        <w:t xml:space="preserve">nformation </w:t>
      </w:r>
      <w:r w:rsidR="008E45C9">
        <w:rPr>
          <w:u w:color="000000"/>
        </w:rPr>
        <w:t>t</w:t>
      </w:r>
      <w:r w:rsidR="0019564B">
        <w:rPr>
          <w:u w:color="000000"/>
        </w:rPr>
        <w:t xml:space="preserve">echnology and </w:t>
      </w:r>
      <w:r w:rsidR="008E45C9">
        <w:rPr>
          <w:u w:color="000000"/>
        </w:rPr>
        <w:t>b</w:t>
      </w:r>
      <w:r w:rsidR="0019564B">
        <w:rPr>
          <w:u w:color="000000"/>
        </w:rPr>
        <w:t xml:space="preserve">urden </w:t>
      </w:r>
      <w:r w:rsidR="008E45C9">
        <w:rPr>
          <w:u w:color="000000"/>
        </w:rPr>
        <w:t>r</w:t>
      </w:r>
      <w:r w:rsidR="0019564B">
        <w:rPr>
          <w:u w:color="000000"/>
        </w:rPr>
        <w:t>eduction</w:t>
      </w:r>
      <w:bookmarkEnd w:id="22"/>
      <w:bookmarkEnd w:id="23"/>
    </w:p>
    <w:p w14:paraId="23B41279" w14:textId="60091F69" w:rsidR="005B124A" w:rsidRDefault="00FE2101" w:rsidP="00D10F02">
      <w:pPr>
        <w:pStyle w:val="NormalSS"/>
      </w:pPr>
      <w:r>
        <w:rPr>
          <w:b/>
          <w:bCs/>
          <w:i/>
        </w:rPr>
        <w:t>Medicaid postpartum telephone s</w:t>
      </w:r>
      <w:r w:rsidR="005B124A" w:rsidRPr="005B124A">
        <w:rPr>
          <w:b/>
          <w:bCs/>
          <w:i/>
        </w:rPr>
        <w:t>urvey.</w:t>
      </w:r>
      <w:r w:rsidR="005B124A" w:rsidRPr="005B124A">
        <w:rPr>
          <w:b/>
          <w:bCs/>
        </w:rPr>
        <w:t xml:space="preserve"> </w:t>
      </w:r>
      <w:r w:rsidR="005B124A" w:rsidRPr="005B124A">
        <w:t>The survey will comply fully with the Government Paperwork</w:t>
      </w:r>
      <w:r w:rsidR="005B124A">
        <w:t xml:space="preserve"> </w:t>
      </w:r>
      <w:r w:rsidR="005B124A" w:rsidRPr="005B124A">
        <w:t xml:space="preserve">Elimination Act (GPEA), Public Law 105-277, </w:t>
      </w:r>
      <w:proofErr w:type="gramStart"/>
      <w:r w:rsidR="005B124A" w:rsidRPr="005B124A">
        <w:t>Title</w:t>
      </w:r>
      <w:proofErr w:type="gramEnd"/>
      <w:r w:rsidR="005B124A" w:rsidRPr="005B124A">
        <w:t xml:space="preserve"> XVII by employing technology efficiently in an</w:t>
      </w:r>
      <w:r w:rsidR="005B124A">
        <w:t xml:space="preserve"> </w:t>
      </w:r>
      <w:r w:rsidR="005B124A" w:rsidRPr="005B124A">
        <w:t xml:space="preserve">effort to reduce burden on respondents. </w:t>
      </w:r>
      <w:r w:rsidR="007D0388">
        <w:rPr>
          <w:rFonts w:eastAsiaTheme="minorEastAsia"/>
        </w:rPr>
        <w:t>CMCS’s contractor</w:t>
      </w:r>
      <w:r w:rsidR="007D0388" w:rsidRPr="004B31FA">
        <w:rPr>
          <w:rFonts w:eastAsiaTheme="minorEastAsia"/>
        </w:rPr>
        <w:t xml:space="preserve"> </w:t>
      </w:r>
      <w:r w:rsidR="007D0388">
        <w:rPr>
          <w:rFonts w:eastAsiaTheme="minorEastAsia"/>
        </w:rPr>
        <w:t xml:space="preserve">will use </w:t>
      </w:r>
      <w:r w:rsidR="007D0388">
        <w:t>c</w:t>
      </w:r>
      <w:r w:rsidR="005B124A" w:rsidRPr="005B124A">
        <w:t>omputer</w:t>
      </w:r>
      <w:r w:rsidR="008E45C9">
        <w:t xml:space="preserve"> a</w:t>
      </w:r>
      <w:r w:rsidR="005B124A" w:rsidRPr="005B124A">
        <w:t xml:space="preserve">ssisted </w:t>
      </w:r>
      <w:r w:rsidR="008E45C9">
        <w:t>t</w:t>
      </w:r>
      <w:r w:rsidR="005B124A" w:rsidRPr="005B124A">
        <w:t xml:space="preserve">elephone </w:t>
      </w:r>
      <w:r w:rsidR="008E45C9">
        <w:t>i</w:t>
      </w:r>
      <w:r w:rsidR="005B124A" w:rsidRPr="005B124A">
        <w:t>nterview</w:t>
      </w:r>
      <w:r w:rsidR="001D00EF">
        <w:t>ing</w:t>
      </w:r>
      <w:r w:rsidR="005B124A">
        <w:t xml:space="preserve"> </w:t>
      </w:r>
      <w:r w:rsidR="005B124A" w:rsidRPr="005B124A">
        <w:t xml:space="preserve">(CATI) </w:t>
      </w:r>
      <w:r w:rsidR="001D00EF">
        <w:t xml:space="preserve">technology </w:t>
      </w:r>
      <w:r>
        <w:t xml:space="preserve">to administer the </w:t>
      </w:r>
      <w:r w:rsidR="002122D9">
        <w:t xml:space="preserve">survey </w:t>
      </w:r>
      <w:r w:rsidR="00802E5C">
        <w:t xml:space="preserve">to </w:t>
      </w:r>
      <w:r w:rsidR="002122D9">
        <w:t xml:space="preserve">all respondents. </w:t>
      </w:r>
      <w:r w:rsidR="005353C2">
        <w:t xml:space="preserve">The </w:t>
      </w:r>
      <w:r w:rsidR="007D0388">
        <w:t>contractor</w:t>
      </w:r>
      <w:r w:rsidR="004E7588">
        <w:t xml:space="preserve"> expect</w:t>
      </w:r>
      <w:r w:rsidR="005353C2">
        <w:t>s</w:t>
      </w:r>
      <w:r w:rsidR="004E7588">
        <w:t xml:space="preserve"> to complete 780 interviews with Medicaid </w:t>
      </w:r>
      <w:r w:rsidR="00F852DD">
        <w:t xml:space="preserve">pilot </w:t>
      </w:r>
      <w:proofErr w:type="spellStart"/>
      <w:r w:rsidR="00F852DD">
        <w:t>mHealth</w:t>
      </w:r>
      <w:proofErr w:type="spellEnd"/>
      <w:r w:rsidR="00F852DD">
        <w:t xml:space="preserve"> program participants</w:t>
      </w:r>
      <w:r w:rsidR="004E7588">
        <w:t xml:space="preserve"> and 780 interviews with Medicaid enrollees who did not </w:t>
      </w:r>
      <w:r w:rsidR="00F852DD">
        <w:t xml:space="preserve">participate in the pilot </w:t>
      </w:r>
      <w:proofErr w:type="spellStart"/>
      <w:r w:rsidR="00F852DD">
        <w:t>mHealth</w:t>
      </w:r>
      <w:proofErr w:type="spellEnd"/>
      <w:r w:rsidR="00F852DD">
        <w:t xml:space="preserve"> program</w:t>
      </w:r>
      <w:r w:rsidR="004E7588">
        <w:t xml:space="preserve">. </w:t>
      </w:r>
      <w:r w:rsidR="005B124A" w:rsidRPr="005B124A">
        <w:t>CATI surveys optimize resources and guarantee high quality data because the technology</w:t>
      </w:r>
      <w:r w:rsidR="005B124A">
        <w:t xml:space="preserve"> </w:t>
      </w:r>
      <w:r w:rsidR="005B124A" w:rsidRPr="005B124A">
        <w:t xml:space="preserve">incorporates automated range checks and </w:t>
      </w:r>
      <w:r>
        <w:t>skip patterns</w:t>
      </w:r>
      <w:r w:rsidR="005B124A" w:rsidRPr="005B124A">
        <w:t xml:space="preserve"> and enforces consistency among critical</w:t>
      </w:r>
      <w:r w:rsidR="005B124A">
        <w:t xml:space="preserve"> </w:t>
      </w:r>
      <w:r w:rsidR="005B124A" w:rsidRPr="005B124A">
        <w:t xml:space="preserve">questions. CATI programming will </w:t>
      </w:r>
      <w:r w:rsidR="00802E5C">
        <w:t>enable</w:t>
      </w:r>
      <w:r w:rsidR="005B124A" w:rsidRPr="005B124A">
        <w:t xml:space="preserve"> interviewers to collect </w:t>
      </w:r>
      <w:r w:rsidR="00802E5C">
        <w:t xml:space="preserve">only </w:t>
      </w:r>
      <w:r w:rsidR="005B124A" w:rsidRPr="005B124A">
        <w:t xml:space="preserve">information that </w:t>
      </w:r>
      <w:r w:rsidR="001D00EF">
        <w:t>specifically applies</w:t>
      </w:r>
      <w:r w:rsidR="005B124A" w:rsidRPr="005B124A">
        <w:t xml:space="preserve"> to each</w:t>
      </w:r>
      <w:r w:rsidR="005B124A">
        <w:t xml:space="preserve"> </w:t>
      </w:r>
      <w:r w:rsidR="005B124A" w:rsidRPr="005B124A">
        <w:t xml:space="preserve">respondent, thereby eliminating undue time burden on respondents. </w:t>
      </w:r>
      <w:r w:rsidR="005B124A" w:rsidRPr="00FE2101">
        <w:t xml:space="preserve">The </w:t>
      </w:r>
      <w:r>
        <w:t>interview</w:t>
      </w:r>
      <w:r w:rsidR="005B124A" w:rsidRPr="00FE2101">
        <w:t xml:space="preserve"> </w:t>
      </w:r>
      <w:r>
        <w:t>solicits</w:t>
      </w:r>
      <w:r w:rsidR="005B124A" w:rsidRPr="00FE2101">
        <w:t xml:space="preserve"> </w:t>
      </w:r>
      <w:r w:rsidR="00802E5C">
        <w:t xml:space="preserve">only </w:t>
      </w:r>
      <w:r w:rsidR="005B124A" w:rsidRPr="00FE2101">
        <w:t xml:space="preserve">information </w:t>
      </w:r>
      <w:r>
        <w:t xml:space="preserve">from respondents </w:t>
      </w:r>
      <w:r w:rsidR="005B124A" w:rsidRPr="00FE2101">
        <w:t>that corresponds to t</w:t>
      </w:r>
      <w:r>
        <w:t>he specific topic areas</w:t>
      </w:r>
      <w:r w:rsidR="005B124A" w:rsidRPr="00FE2101">
        <w:t xml:space="preserve"> discussed in question </w:t>
      </w:r>
      <w:r w:rsidRPr="00FE2101">
        <w:t>B</w:t>
      </w:r>
      <w:r w:rsidR="005B124A" w:rsidRPr="00FE2101">
        <w:t>2</w:t>
      </w:r>
      <w:r w:rsidR="005B124A" w:rsidRPr="005B124A">
        <w:t>. No</w:t>
      </w:r>
      <w:r w:rsidR="005B124A">
        <w:t xml:space="preserve"> </w:t>
      </w:r>
      <w:r w:rsidR="005B124A" w:rsidRPr="005B124A">
        <w:t xml:space="preserve">superfluous or unnecessary </w:t>
      </w:r>
      <w:r w:rsidR="005B124A" w:rsidRPr="004E7588">
        <w:t xml:space="preserve">information is being requested. In addition, by abstracting information </w:t>
      </w:r>
      <w:r w:rsidR="004E7588" w:rsidRPr="004E7588">
        <w:t xml:space="preserve">from </w:t>
      </w:r>
      <w:proofErr w:type="spellStart"/>
      <w:r w:rsidR="004E7588" w:rsidRPr="004E7588">
        <w:t>Voxiva</w:t>
      </w:r>
      <w:proofErr w:type="spellEnd"/>
      <w:r w:rsidR="004E7588" w:rsidRPr="004E7588">
        <w:t xml:space="preserve"> </w:t>
      </w:r>
      <w:proofErr w:type="spellStart"/>
      <w:r w:rsidR="004E7588" w:rsidRPr="004E7588">
        <w:t>Text4baby</w:t>
      </w:r>
      <w:proofErr w:type="spellEnd"/>
      <w:r w:rsidR="004E7588" w:rsidRPr="004E7588">
        <w:t xml:space="preserve"> administrative data</w:t>
      </w:r>
      <w:r w:rsidR="006F5FFA">
        <w:rPr>
          <w:rStyle w:val="FootnoteReference"/>
          <w:szCs w:val="24"/>
        </w:rPr>
        <w:footnoteReference w:id="9"/>
      </w:r>
      <w:r w:rsidR="004E7588">
        <w:t>,</w:t>
      </w:r>
      <w:r w:rsidR="004E7588" w:rsidRPr="004E7588">
        <w:t xml:space="preserve"> state Medicaid administrative data</w:t>
      </w:r>
      <w:r w:rsidR="00802E5C">
        <w:t>,</w:t>
      </w:r>
      <w:r w:rsidR="006F5FFA">
        <w:rPr>
          <w:rStyle w:val="FootnoteReference"/>
          <w:szCs w:val="24"/>
        </w:rPr>
        <w:footnoteReference w:id="10"/>
      </w:r>
      <w:r w:rsidR="00802E5C">
        <w:t xml:space="preserve"> </w:t>
      </w:r>
      <w:r w:rsidR="004E7588" w:rsidRPr="004E7588">
        <w:t xml:space="preserve">state </w:t>
      </w:r>
      <w:r w:rsidR="004E7588">
        <w:t>v</w:t>
      </w:r>
      <w:r w:rsidR="004E7588" w:rsidRPr="004E7588">
        <w:t xml:space="preserve">ital </w:t>
      </w:r>
      <w:r w:rsidR="004E7588">
        <w:t>r</w:t>
      </w:r>
      <w:r w:rsidR="004E7588" w:rsidRPr="004E7588">
        <w:t>ecords data</w:t>
      </w:r>
      <w:r w:rsidR="00802E5C">
        <w:t>,</w:t>
      </w:r>
      <w:r w:rsidR="006F5FFA">
        <w:rPr>
          <w:rStyle w:val="FootnoteReference"/>
          <w:szCs w:val="24"/>
        </w:rPr>
        <w:footnoteReference w:id="11"/>
      </w:r>
      <w:r w:rsidR="00802E5C">
        <w:t xml:space="preserve"> </w:t>
      </w:r>
      <w:r w:rsidR="004E7588" w:rsidRPr="004E7588">
        <w:t>and state</w:t>
      </w:r>
      <w:r w:rsidR="00802E5C">
        <w:t>-</w:t>
      </w:r>
      <w:r w:rsidR="004E7588" w:rsidRPr="004E7588">
        <w:t xml:space="preserve">reported maternity Core Set measures (from CHIP Annual Report Template System </w:t>
      </w:r>
      <w:r w:rsidR="00802E5C">
        <w:t>[</w:t>
      </w:r>
      <w:r w:rsidR="004E7588" w:rsidRPr="004E7588">
        <w:t>CARTS</w:t>
      </w:r>
      <w:r w:rsidR="00802E5C">
        <w:t>],</w:t>
      </w:r>
      <w:r w:rsidR="006F5FFA">
        <w:rPr>
          <w:rStyle w:val="FootnoteReference"/>
          <w:szCs w:val="24"/>
        </w:rPr>
        <w:footnoteReference w:id="12"/>
      </w:r>
      <w:r w:rsidR="00802E5C">
        <w:t xml:space="preserve"> </w:t>
      </w:r>
      <w:r w:rsidR="005B124A" w:rsidRPr="004E7588">
        <w:t>the burden on individual respondents will be further reduced by relying on existing secondary data</w:t>
      </w:r>
      <w:r w:rsidR="004E7588" w:rsidRPr="004E7588">
        <w:t xml:space="preserve"> </w:t>
      </w:r>
      <w:r w:rsidR="004E7588">
        <w:t xml:space="preserve">sources </w:t>
      </w:r>
      <w:r w:rsidR="001D00EF">
        <w:t xml:space="preserve">for certain pieces of information </w:t>
      </w:r>
      <w:r w:rsidR="004E7588" w:rsidRPr="004E7588">
        <w:t>rather than adding additional questions to the survey</w:t>
      </w:r>
      <w:r w:rsidR="005B124A" w:rsidRPr="004E7588">
        <w:t>.</w:t>
      </w:r>
      <w:r w:rsidR="005B124A">
        <w:t xml:space="preserve"> </w:t>
      </w:r>
      <w:r w:rsidR="004E7588" w:rsidRPr="004E7588">
        <w:t xml:space="preserve">Finally, </w:t>
      </w:r>
      <w:r w:rsidR="004E7588">
        <w:t>in order to minimize respondent</w:t>
      </w:r>
      <w:r w:rsidR="00802E5C">
        <w:t>s’</w:t>
      </w:r>
      <w:r w:rsidR="004E7588">
        <w:t xml:space="preserve"> language burden, </w:t>
      </w:r>
      <w:r w:rsidR="004E7588" w:rsidRPr="004E7588">
        <w:t>interviewers can toggle between English and Spanish versions of the instrument.</w:t>
      </w:r>
    </w:p>
    <w:p w14:paraId="4E357889" w14:textId="18C04A96" w:rsidR="005B124A" w:rsidRDefault="005B124A" w:rsidP="00D10F02">
      <w:pPr>
        <w:pStyle w:val="NormalSS"/>
      </w:pPr>
      <w:r w:rsidRPr="00A37E53">
        <w:rPr>
          <w:b/>
          <w:bCs/>
          <w:i/>
        </w:rPr>
        <w:t xml:space="preserve">Focus </w:t>
      </w:r>
      <w:r w:rsidR="004E7588">
        <w:rPr>
          <w:b/>
          <w:bCs/>
          <w:i/>
        </w:rPr>
        <w:t>groups and key informant interviews</w:t>
      </w:r>
      <w:r w:rsidRPr="00A37E53">
        <w:rPr>
          <w:b/>
          <w:bCs/>
          <w:i/>
        </w:rPr>
        <w:t>.</w:t>
      </w:r>
      <w:r w:rsidRPr="00A37E53">
        <w:rPr>
          <w:b/>
          <w:bCs/>
        </w:rPr>
        <w:t xml:space="preserve"> </w:t>
      </w:r>
      <w:r w:rsidR="004E7588">
        <w:t>I</w:t>
      </w:r>
      <w:r w:rsidRPr="00A37E53">
        <w:t xml:space="preserve">nformation technology </w:t>
      </w:r>
      <w:r w:rsidR="004E7588">
        <w:t xml:space="preserve">will not be used </w:t>
      </w:r>
      <w:r w:rsidRPr="00A37E53">
        <w:t xml:space="preserve">to collect information </w:t>
      </w:r>
      <w:r w:rsidR="00624ED1">
        <w:t>during</w:t>
      </w:r>
      <w:r w:rsidR="00624ED1" w:rsidRPr="00A37E53">
        <w:t xml:space="preserve"> </w:t>
      </w:r>
      <w:r w:rsidRPr="00A37E53">
        <w:t xml:space="preserve">the </w:t>
      </w:r>
      <w:r w:rsidR="00A37E53" w:rsidRPr="00A37E53">
        <w:t>15</w:t>
      </w:r>
      <w:r w:rsidRPr="00A37E53">
        <w:t xml:space="preserve"> </w:t>
      </w:r>
      <w:r w:rsidR="00A37E53" w:rsidRPr="00A37E53">
        <w:t>key informant</w:t>
      </w:r>
      <w:r w:rsidR="00624ED1">
        <w:t xml:space="preserve"> interviews</w:t>
      </w:r>
      <w:r w:rsidR="00A37E53" w:rsidRPr="00A37E53">
        <w:t>,</w:t>
      </w:r>
      <w:r w:rsidRPr="00A37E53">
        <w:t xml:space="preserve"> </w:t>
      </w:r>
      <w:r w:rsidR="00802E5C">
        <w:t>eight</w:t>
      </w:r>
      <w:r w:rsidRPr="00A37E53">
        <w:t xml:space="preserve"> consumer focus groups</w:t>
      </w:r>
      <w:r w:rsidR="00624ED1">
        <w:t xml:space="preserve"> with 80</w:t>
      </w:r>
      <w:r w:rsidR="00347371">
        <w:t>-9</w:t>
      </w:r>
      <w:r w:rsidR="00BC094C">
        <w:t>6</w:t>
      </w:r>
      <w:r w:rsidR="00802E5C">
        <w:t xml:space="preserve"> </w:t>
      </w:r>
      <w:r w:rsidRPr="00A37E53">
        <w:t>pa</w:t>
      </w:r>
      <w:r w:rsidR="00A37E53" w:rsidRPr="00A37E53">
        <w:t xml:space="preserve">rticipants, and </w:t>
      </w:r>
      <w:r w:rsidR="00802E5C">
        <w:t>eight</w:t>
      </w:r>
      <w:r w:rsidR="00A37E53" w:rsidRPr="00A37E53">
        <w:t xml:space="preserve"> provider</w:t>
      </w:r>
      <w:r w:rsidR="00624ED1">
        <w:t xml:space="preserve"> interview</w:t>
      </w:r>
      <w:r w:rsidR="00A37E53" w:rsidRPr="00A37E53">
        <w:t>s</w:t>
      </w:r>
      <w:r w:rsidRPr="00A37E53">
        <w:t>. These</w:t>
      </w:r>
      <w:r w:rsidR="002122D9" w:rsidRPr="00A37E53">
        <w:t xml:space="preserve"> </w:t>
      </w:r>
      <w:r w:rsidRPr="00A37E53">
        <w:t xml:space="preserve">collections are qualitative in nature and so few in number </w:t>
      </w:r>
      <w:r w:rsidR="004E7588">
        <w:t xml:space="preserve">that </w:t>
      </w:r>
      <w:r w:rsidRPr="00A37E53">
        <w:t>it is neither practical nor affordable to</w:t>
      </w:r>
      <w:r w:rsidR="002122D9" w:rsidRPr="00A37E53">
        <w:t xml:space="preserve"> </w:t>
      </w:r>
      <w:r w:rsidRPr="00A37E53">
        <w:t xml:space="preserve">build separate electronic instruments to collect the information. </w:t>
      </w:r>
      <w:r w:rsidR="007D0388">
        <w:rPr>
          <w:rFonts w:eastAsiaTheme="minorEastAsia"/>
        </w:rPr>
        <w:t>CMCS’s contractor</w:t>
      </w:r>
      <w:r w:rsidR="00802E5C">
        <w:t xml:space="preserve"> will collect i</w:t>
      </w:r>
      <w:r w:rsidRPr="00A37E53">
        <w:t>nformation using paper instruments</w:t>
      </w:r>
      <w:r w:rsidR="000252D7">
        <w:t>. All focus groups and key informant interviews will also be audio recorded and transcribed</w:t>
      </w:r>
      <w:r w:rsidR="00655EBD">
        <w:t xml:space="preserve"> to facilitate analysis</w:t>
      </w:r>
      <w:r w:rsidR="000252D7">
        <w:t xml:space="preserve">. </w:t>
      </w:r>
      <w:r w:rsidRPr="00A37E53">
        <w:t xml:space="preserve"> Focus group transcripts and key</w:t>
      </w:r>
      <w:r w:rsidR="002122D9" w:rsidRPr="00A37E53">
        <w:t xml:space="preserve"> </w:t>
      </w:r>
      <w:r w:rsidRPr="00A37E53">
        <w:t xml:space="preserve">informant interview notes will be analyzed using </w:t>
      </w:r>
      <w:proofErr w:type="spellStart"/>
      <w:r w:rsidRPr="00A37E53">
        <w:t>Atlas.ti</w:t>
      </w:r>
      <w:proofErr w:type="spellEnd"/>
      <w:r w:rsidRPr="00A37E53">
        <w:t>, a software system used for the qualitative</w:t>
      </w:r>
      <w:r w:rsidR="002122D9" w:rsidRPr="00A37E53">
        <w:t xml:space="preserve"> </w:t>
      </w:r>
      <w:r w:rsidRPr="00A37E53">
        <w:t>analysis of large bodies of textual data.</w:t>
      </w:r>
    </w:p>
    <w:p w14:paraId="5226FF66" w14:textId="5657E73A" w:rsidR="00152CBB" w:rsidRPr="00650F17" w:rsidRDefault="00D10F02" w:rsidP="008C7D81">
      <w:pPr>
        <w:pStyle w:val="H4Number"/>
      </w:pPr>
      <w:bookmarkStart w:id="24" w:name="_Toc409097433"/>
      <w:bookmarkStart w:id="25" w:name="_Toc426101435"/>
      <w:r>
        <w:t>4.</w:t>
      </w:r>
      <w:r>
        <w:tab/>
      </w:r>
      <w:r w:rsidR="005B124A">
        <w:t xml:space="preserve">Efforts to </w:t>
      </w:r>
      <w:r w:rsidR="00802E5C">
        <w:t>i</w:t>
      </w:r>
      <w:r w:rsidR="005B124A">
        <w:t xml:space="preserve">dentify </w:t>
      </w:r>
      <w:r w:rsidR="00802E5C">
        <w:t>d</w:t>
      </w:r>
      <w:r w:rsidR="005B124A">
        <w:t xml:space="preserve">uplication and </w:t>
      </w:r>
      <w:r w:rsidR="00802E5C">
        <w:t>u</w:t>
      </w:r>
      <w:r w:rsidR="005B124A">
        <w:t xml:space="preserve">se of </w:t>
      </w:r>
      <w:r w:rsidR="00802E5C">
        <w:t>s</w:t>
      </w:r>
      <w:r w:rsidR="005B124A">
        <w:t xml:space="preserve">imilar </w:t>
      </w:r>
      <w:r w:rsidR="00802E5C">
        <w:t>i</w:t>
      </w:r>
      <w:r w:rsidR="005B124A">
        <w:t>nformation</w:t>
      </w:r>
      <w:bookmarkEnd w:id="24"/>
      <w:bookmarkEnd w:id="25"/>
    </w:p>
    <w:p w14:paraId="3D20C4B2" w14:textId="4A7D4734" w:rsidR="005F164C" w:rsidRDefault="008932CC" w:rsidP="00D10F02">
      <w:pPr>
        <w:pStyle w:val="NormalSS"/>
      </w:pPr>
      <w:r w:rsidRPr="00DB5A6E">
        <w:rPr>
          <w:b/>
        </w:rPr>
        <w:t>Medicaid postpartum telephone survey.</w:t>
      </w:r>
      <w:r w:rsidRPr="00DB5A6E">
        <w:t xml:space="preserve"> </w:t>
      </w:r>
      <w:r w:rsidR="007D0388">
        <w:rPr>
          <w:rFonts w:eastAsiaTheme="minorEastAsia"/>
        </w:rPr>
        <w:t>CMCS’s contractor</w:t>
      </w:r>
      <w:r w:rsidR="002C0A8D" w:rsidRPr="001260EE">
        <w:t xml:space="preserve"> </w:t>
      </w:r>
      <w:r w:rsidR="005F164C" w:rsidRPr="001260EE">
        <w:t xml:space="preserve">sought to avoid duplication of effort in </w:t>
      </w:r>
      <w:r w:rsidR="00D6722B">
        <w:t xml:space="preserve">the </w:t>
      </w:r>
      <w:r w:rsidR="000A08DD">
        <w:t>development of</w:t>
      </w:r>
      <w:r w:rsidR="005F164C" w:rsidRPr="001260EE">
        <w:t xml:space="preserve"> the</w:t>
      </w:r>
      <w:r w:rsidR="005F164C" w:rsidRPr="00DB5A6E">
        <w:t xml:space="preserve"> </w:t>
      </w:r>
      <w:r w:rsidR="005F164C" w:rsidRPr="001260EE">
        <w:t xml:space="preserve">survey by identifying existing instruments with relevant questions. </w:t>
      </w:r>
      <w:r w:rsidR="001260EE" w:rsidRPr="001260EE">
        <w:t xml:space="preserve">Survey questions were heavily drawn from the survey of Text4baby subscribers and nonsubscribers used in </w:t>
      </w:r>
      <w:r w:rsidR="00F852DD">
        <w:t>a</w:t>
      </w:r>
      <w:r w:rsidR="00F852DD" w:rsidRPr="001260EE">
        <w:t xml:space="preserve"> </w:t>
      </w:r>
      <w:r w:rsidR="001260EE" w:rsidRPr="001260EE">
        <w:t xml:space="preserve">previous evaluation by </w:t>
      </w:r>
      <w:r w:rsidR="00802E5C">
        <w:t>the Health Resources &amp; Services Administration (</w:t>
      </w:r>
      <w:r w:rsidR="001260EE" w:rsidRPr="001260EE">
        <w:t>HRSA</w:t>
      </w:r>
      <w:r w:rsidR="00802E5C">
        <w:t>)</w:t>
      </w:r>
      <w:r w:rsidR="001260EE" w:rsidRPr="001260EE">
        <w:t xml:space="preserve">, as many of the questions are relevant, the pathways and skip patterns have been developed and tested, and the survey received OMB </w:t>
      </w:r>
      <w:r w:rsidR="00DB5A6E">
        <w:t>clearance (</w:t>
      </w:r>
      <w:r w:rsidR="00DB5A6E" w:rsidRPr="00DB5A6E">
        <w:t>OMB Control No: 0915-0347, Expiration Date: 02/28/2015</w:t>
      </w:r>
      <w:r w:rsidR="00DB5A6E">
        <w:t>)</w:t>
      </w:r>
      <w:r w:rsidR="001260EE" w:rsidRPr="001260EE">
        <w:t xml:space="preserve"> and IRB clearance. </w:t>
      </w:r>
      <w:r w:rsidR="00481B24">
        <w:t xml:space="preserve">Many of the questions </w:t>
      </w:r>
      <w:r w:rsidR="00DB5A6E">
        <w:t xml:space="preserve">in this survey </w:t>
      </w:r>
      <w:r w:rsidR="00481B24">
        <w:t xml:space="preserve">were drawn from existing validated surveys including </w:t>
      </w:r>
      <w:r w:rsidR="008D6C93">
        <w:t xml:space="preserve">the </w:t>
      </w:r>
      <w:r w:rsidR="00481B24" w:rsidRPr="00481B24">
        <w:t>1989 National</w:t>
      </w:r>
      <w:r w:rsidR="00481B24">
        <w:t xml:space="preserve"> </w:t>
      </w:r>
      <w:r w:rsidR="00481B24" w:rsidRPr="00481B24">
        <w:t xml:space="preserve">Maternal and Infant Health Survey, the Pregnancy Risk Assessment Monitoring System, the Early Childhood Longitudinal Survey 9-month </w:t>
      </w:r>
      <w:r w:rsidR="00481B24" w:rsidRPr="00A73701">
        <w:t xml:space="preserve">parent interview, and the National Survey of Children’s Health. </w:t>
      </w:r>
      <w:r w:rsidR="000C2161" w:rsidRPr="00A73701">
        <w:t xml:space="preserve">Furthermore, as described in Section </w:t>
      </w:r>
      <w:r w:rsidR="000A08DD" w:rsidRPr="00A73701">
        <w:t>A3</w:t>
      </w:r>
      <w:r w:rsidR="000C2161" w:rsidRPr="00A73701">
        <w:t xml:space="preserve">, </w:t>
      </w:r>
      <w:r w:rsidR="007D0388">
        <w:rPr>
          <w:rFonts w:eastAsiaTheme="minorEastAsia"/>
        </w:rPr>
        <w:t>CMCS’s contractor</w:t>
      </w:r>
      <w:r w:rsidR="002C0A8D" w:rsidRPr="00A73701">
        <w:t xml:space="preserve"> </w:t>
      </w:r>
      <w:r w:rsidR="000C2161" w:rsidRPr="00A73701">
        <w:t>sought to reduce respondent burden and avoid duplication by relying on existing secondary data sources for information</w:t>
      </w:r>
      <w:r w:rsidR="000C2161">
        <w:t xml:space="preserve"> </w:t>
      </w:r>
      <w:r w:rsidR="000C2161" w:rsidRPr="004E7588">
        <w:t>rather than adding additional questions to the survey.</w:t>
      </w:r>
    </w:p>
    <w:p w14:paraId="2D26B5EF" w14:textId="2E45182B" w:rsidR="008932CC" w:rsidRPr="008932CC" w:rsidRDefault="00D60780" w:rsidP="00D10F02">
      <w:pPr>
        <w:pStyle w:val="NormalSS"/>
      </w:pPr>
      <w:r>
        <w:t>A</w:t>
      </w:r>
      <w:r w:rsidR="000C2161">
        <w:t xml:space="preserve">s described </w:t>
      </w:r>
      <w:r w:rsidR="000A08DD">
        <w:t>previously</w:t>
      </w:r>
      <w:r w:rsidR="000C2161">
        <w:t>, no other studies have focused s</w:t>
      </w:r>
      <w:r w:rsidR="000C2161" w:rsidRPr="006D6BA4">
        <w:t xml:space="preserve">pecifically on the effect of </w:t>
      </w:r>
      <w:r w:rsidR="00F852DD">
        <w:t xml:space="preserve">a </w:t>
      </w:r>
      <w:proofErr w:type="spellStart"/>
      <w:r w:rsidR="00F852DD">
        <w:t>mHealth</w:t>
      </w:r>
      <w:proofErr w:type="spellEnd"/>
      <w:r w:rsidR="00F852DD" w:rsidRPr="006D6BA4">
        <w:t xml:space="preserve"> </w:t>
      </w:r>
      <w:r w:rsidR="00F852DD">
        <w:t xml:space="preserve">program </w:t>
      </w:r>
      <w:r w:rsidR="00DB5A6E">
        <w:t>i</w:t>
      </w:r>
      <w:r w:rsidR="00DB5A6E" w:rsidRPr="006D6BA4">
        <w:t xml:space="preserve">n </w:t>
      </w:r>
      <w:r w:rsidR="000C2161" w:rsidRPr="006D6BA4">
        <w:t>the Medicaid population</w:t>
      </w:r>
      <w:r w:rsidR="000C2161">
        <w:t>. Thus, t</w:t>
      </w:r>
      <w:r w:rsidR="008932CC" w:rsidRPr="008932CC">
        <w:t>his information collection does not duplicate any other effort and the information cannot be obtained from any other source</w:t>
      </w:r>
      <w:r w:rsidR="008932CC">
        <w:t>.</w:t>
      </w:r>
    </w:p>
    <w:p w14:paraId="4565FDD4" w14:textId="74C54ABB" w:rsidR="008932CC" w:rsidRDefault="008932CC" w:rsidP="00D10F02">
      <w:pPr>
        <w:pStyle w:val="NormalSS"/>
      </w:pPr>
      <w:r w:rsidRPr="00A37E53">
        <w:rPr>
          <w:b/>
          <w:bCs/>
          <w:i/>
        </w:rPr>
        <w:t xml:space="preserve">Focus </w:t>
      </w:r>
      <w:r>
        <w:rPr>
          <w:b/>
          <w:bCs/>
          <w:i/>
        </w:rPr>
        <w:t>groups and key informant interviews</w:t>
      </w:r>
      <w:r w:rsidRPr="00A37E53">
        <w:rPr>
          <w:b/>
          <w:bCs/>
          <w:i/>
        </w:rPr>
        <w:t>.</w:t>
      </w:r>
      <w:r>
        <w:rPr>
          <w:b/>
          <w:bCs/>
          <w:i/>
        </w:rPr>
        <w:t xml:space="preserve"> </w:t>
      </w:r>
      <w:r w:rsidR="007D0388">
        <w:rPr>
          <w:rFonts w:eastAsiaTheme="minorEastAsia"/>
        </w:rPr>
        <w:t>CMCS’s contractor</w:t>
      </w:r>
      <w:r w:rsidR="002C0A8D" w:rsidRPr="001260EE">
        <w:t xml:space="preserve"> </w:t>
      </w:r>
      <w:r w:rsidR="000C2161" w:rsidRPr="001260EE">
        <w:t>sought to avoid duplication of effort in the design of the</w:t>
      </w:r>
      <w:r w:rsidR="000C2161" w:rsidRPr="001260EE">
        <w:rPr>
          <w:b/>
        </w:rPr>
        <w:t xml:space="preserve"> </w:t>
      </w:r>
      <w:r w:rsidR="000C2161">
        <w:t>focus group and key informant interview protocols</w:t>
      </w:r>
      <w:r w:rsidR="000C2161" w:rsidRPr="001260EE">
        <w:t xml:space="preserve"> by identifying existing instruments with relevant questions. </w:t>
      </w:r>
      <w:r w:rsidR="000C2161">
        <w:t>Questions for these protocols</w:t>
      </w:r>
      <w:r w:rsidR="000C2161" w:rsidRPr="001260EE">
        <w:t xml:space="preserve"> were drawn from the </w:t>
      </w:r>
      <w:r w:rsidR="000C2161">
        <w:t xml:space="preserve">protocols </w:t>
      </w:r>
      <w:r w:rsidR="000C2161" w:rsidRPr="001260EE">
        <w:t xml:space="preserve">used in </w:t>
      </w:r>
      <w:r w:rsidR="00D15D99">
        <w:t>a</w:t>
      </w:r>
      <w:r w:rsidR="00D15D99" w:rsidRPr="001260EE">
        <w:t xml:space="preserve"> </w:t>
      </w:r>
      <w:r w:rsidR="000C2161" w:rsidRPr="001260EE">
        <w:t>previous evaluation by HRSA</w:t>
      </w:r>
      <w:r w:rsidR="00481B24">
        <w:t xml:space="preserve"> </w:t>
      </w:r>
      <w:r w:rsidR="00BA7C5F">
        <w:t>(</w:t>
      </w:r>
      <w:r w:rsidR="00DB5A6E" w:rsidRPr="00DB5A6E">
        <w:t>OMB Control No: 0915-0347, Expiration Date: 02/28/2015</w:t>
      </w:r>
      <w:r w:rsidR="00DB5A6E">
        <w:t>)</w:t>
      </w:r>
      <w:r w:rsidR="000C2161" w:rsidRPr="001260EE">
        <w:t xml:space="preserve"> </w:t>
      </w:r>
      <w:r w:rsidR="00D60780">
        <w:t xml:space="preserve">and </w:t>
      </w:r>
      <w:r w:rsidR="00BA7C5F">
        <w:t xml:space="preserve">were </w:t>
      </w:r>
      <w:r w:rsidR="00D60780">
        <w:t>tailored for this specific information collection</w:t>
      </w:r>
      <w:r>
        <w:t>.</w:t>
      </w:r>
    </w:p>
    <w:p w14:paraId="74C78BBF" w14:textId="77777777" w:rsidR="000C2161" w:rsidRPr="008932CC" w:rsidRDefault="00D60780" w:rsidP="00D10F02">
      <w:pPr>
        <w:pStyle w:val="NormalSS"/>
      </w:pPr>
      <w:r>
        <w:t>A</w:t>
      </w:r>
      <w:r w:rsidR="000C2161">
        <w:t>s described</w:t>
      </w:r>
      <w:r w:rsidR="00A46976">
        <w:t xml:space="preserve"> </w:t>
      </w:r>
      <w:r w:rsidR="00D6722B">
        <w:t>previously</w:t>
      </w:r>
      <w:r w:rsidR="000C2161">
        <w:t>, no other studies have focused s</w:t>
      </w:r>
      <w:r w:rsidR="000C2161" w:rsidRPr="006D6BA4">
        <w:t>pecifically on the effect of Text4baby on the Medicaid population</w:t>
      </w:r>
      <w:r w:rsidR="000C2161">
        <w:t>. Thus, t</w:t>
      </w:r>
      <w:r w:rsidR="000C2161" w:rsidRPr="008932CC">
        <w:t>his information collection does not duplicate any other effort and the information cannot be obtained from any other source</w:t>
      </w:r>
      <w:r w:rsidR="000C2161">
        <w:t>.</w:t>
      </w:r>
    </w:p>
    <w:p w14:paraId="5F7D6949" w14:textId="32470CB1" w:rsidR="00A87D36" w:rsidRDefault="00D10F02" w:rsidP="008C7D81">
      <w:pPr>
        <w:pStyle w:val="H4Number"/>
        <w:rPr>
          <w:szCs w:val="24"/>
        </w:rPr>
      </w:pPr>
      <w:bookmarkStart w:id="26" w:name="2._Purpose_and_use_of_information_collec"/>
      <w:bookmarkStart w:id="27" w:name="_Toc409097434"/>
      <w:bookmarkStart w:id="28" w:name="_Toc426101436"/>
      <w:bookmarkEnd w:id="26"/>
      <w:r>
        <w:rPr>
          <w:u w:color="000000"/>
        </w:rPr>
        <w:t>5.</w:t>
      </w:r>
      <w:r>
        <w:rPr>
          <w:u w:color="000000"/>
        </w:rPr>
        <w:tab/>
      </w:r>
      <w:r w:rsidR="00426139">
        <w:rPr>
          <w:u w:color="000000"/>
        </w:rPr>
        <w:t>S</w:t>
      </w:r>
      <w:r w:rsidR="00B015FB">
        <w:rPr>
          <w:u w:color="000000"/>
        </w:rPr>
        <w:t>mall b</w:t>
      </w:r>
      <w:r w:rsidR="00426139">
        <w:rPr>
          <w:u w:color="000000"/>
        </w:rPr>
        <w:t>usinesse</w:t>
      </w:r>
      <w:bookmarkStart w:id="29" w:name="4._Efforts_to_identify_duplication_and_u"/>
      <w:bookmarkEnd w:id="29"/>
      <w:r w:rsidR="00B015FB">
        <w:rPr>
          <w:u w:color="000000"/>
        </w:rPr>
        <w:t>s</w:t>
      </w:r>
      <w:bookmarkEnd w:id="27"/>
      <w:bookmarkEnd w:id="28"/>
    </w:p>
    <w:p w14:paraId="64FBE875" w14:textId="769A1D01" w:rsidR="00A87D36" w:rsidRPr="001260EE" w:rsidRDefault="00A87D36" w:rsidP="00D10F02">
      <w:pPr>
        <w:pStyle w:val="NormalSS"/>
      </w:pPr>
      <w:r w:rsidRPr="001260EE">
        <w:rPr>
          <w:b/>
          <w:i/>
        </w:rPr>
        <w:t xml:space="preserve">Medicaid </w:t>
      </w:r>
      <w:r w:rsidR="008932CC">
        <w:rPr>
          <w:b/>
          <w:i/>
        </w:rPr>
        <w:t>p</w:t>
      </w:r>
      <w:r w:rsidRPr="001260EE">
        <w:rPr>
          <w:b/>
          <w:i/>
        </w:rPr>
        <w:t xml:space="preserve">ostpartum </w:t>
      </w:r>
      <w:r w:rsidR="008932CC">
        <w:rPr>
          <w:b/>
          <w:i/>
        </w:rPr>
        <w:t>telephone s</w:t>
      </w:r>
      <w:r w:rsidRPr="001260EE">
        <w:rPr>
          <w:b/>
          <w:i/>
        </w:rPr>
        <w:t>urvey.</w:t>
      </w:r>
      <w:r w:rsidRPr="001260EE">
        <w:rPr>
          <w:b/>
        </w:rPr>
        <w:t xml:space="preserve"> </w:t>
      </w:r>
      <w:r w:rsidR="008932CC" w:rsidRPr="008932CC">
        <w:t xml:space="preserve">This </w:t>
      </w:r>
      <w:r w:rsidR="00BA7C5F">
        <w:t xml:space="preserve">part of the </w:t>
      </w:r>
      <w:r w:rsidR="008932CC" w:rsidRPr="008932CC">
        <w:t xml:space="preserve">information collection will not </w:t>
      </w:r>
      <w:r w:rsidR="008D6C93">
        <w:t>affect</w:t>
      </w:r>
      <w:r w:rsidR="008932CC" w:rsidRPr="008932CC">
        <w:t xml:space="preserve"> small businesses or other small entities.</w:t>
      </w:r>
    </w:p>
    <w:p w14:paraId="57F0F367" w14:textId="0AA23971" w:rsidR="00BA7C5F" w:rsidRDefault="00BA7C5F" w:rsidP="00D10F02">
      <w:pPr>
        <w:pStyle w:val="NormalSS"/>
      </w:pPr>
      <w:r>
        <w:rPr>
          <w:b/>
          <w:i/>
        </w:rPr>
        <w:t xml:space="preserve">Key informant interviews. </w:t>
      </w:r>
      <w:r w:rsidRPr="000D3F16">
        <w:t xml:space="preserve">Stakeholder interviews </w:t>
      </w:r>
      <w:r>
        <w:t xml:space="preserve">with </w:t>
      </w:r>
      <w:proofErr w:type="spellStart"/>
      <w:r w:rsidR="007446B0">
        <w:t>CMCS</w:t>
      </w:r>
      <w:proofErr w:type="spellEnd"/>
      <w:r>
        <w:t xml:space="preserve">, </w:t>
      </w:r>
      <w:proofErr w:type="spellStart"/>
      <w:r>
        <w:t>Voxiva</w:t>
      </w:r>
      <w:proofErr w:type="spellEnd"/>
      <w:r>
        <w:t xml:space="preserve"> and </w:t>
      </w:r>
      <w:r w:rsidR="0048092D">
        <w:t>Zero to Three</w:t>
      </w:r>
      <w:r>
        <w:t xml:space="preserve">, </w:t>
      </w:r>
      <w:r w:rsidRPr="00206E02">
        <w:t xml:space="preserve">state Medicaid agencies, </w:t>
      </w:r>
      <w:r>
        <w:t xml:space="preserve">and </w:t>
      </w:r>
      <w:r w:rsidRPr="00206E02">
        <w:rPr>
          <w:rFonts w:eastAsiaTheme="minorEastAsia"/>
        </w:rPr>
        <w:t xml:space="preserve">outreach partners, </w:t>
      </w:r>
      <w:r w:rsidRPr="000D3F16">
        <w:t>will be conducted by telephone</w:t>
      </w:r>
      <w:r w:rsidR="008D6C93">
        <w:t>. These stakeholders are compo</w:t>
      </w:r>
      <w:r>
        <w:t xml:space="preserve">sed of </w:t>
      </w:r>
      <w:r w:rsidRPr="000D3F16">
        <w:t>a wide range of</w:t>
      </w:r>
      <w:r>
        <w:t xml:space="preserve"> </w:t>
      </w:r>
      <w:r w:rsidRPr="000D3F16">
        <w:t>public and private organizations</w:t>
      </w:r>
      <w:r>
        <w:t xml:space="preserve">; however, some outreach partners </w:t>
      </w:r>
      <w:r w:rsidR="008D6C93">
        <w:t>might</w:t>
      </w:r>
      <w:r>
        <w:t xml:space="preserve"> be small </w:t>
      </w:r>
      <w:r w:rsidRPr="000D3F16">
        <w:t>nonprofit organizations. To minimize</w:t>
      </w:r>
      <w:r>
        <w:t xml:space="preserve"> </w:t>
      </w:r>
      <w:r w:rsidRPr="000D3F16">
        <w:t xml:space="preserve">burden and disruption in other business activities, interviews will be restricted to </w:t>
      </w:r>
      <w:r>
        <w:t>60 minutes and will be conducted at a time that is convenient for the respondent.</w:t>
      </w:r>
    </w:p>
    <w:p w14:paraId="08A3952E" w14:textId="32B92702" w:rsidR="00D60780" w:rsidRPr="00A274DB" w:rsidRDefault="00BA7C5F" w:rsidP="00D10F02">
      <w:pPr>
        <w:pStyle w:val="NormalSS"/>
      </w:pPr>
      <w:r w:rsidRPr="000D3F16">
        <w:t xml:space="preserve">A small amount of burden </w:t>
      </w:r>
      <w:r w:rsidR="008D6C93">
        <w:t>could</w:t>
      </w:r>
      <w:r w:rsidRPr="000D3F16">
        <w:t xml:space="preserve"> be placed on health </w:t>
      </w:r>
      <w:r>
        <w:t>care providers</w:t>
      </w:r>
      <w:r w:rsidRPr="000D3F16">
        <w:t xml:space="preserve"> when their personnel </w:t>
      </w:r>
      <w:r>
        <w:t xml:space="preserve">are </w:t>
      </w:r>
      <w:r w:rsidRPr="000D3F16">
        <w:t xml:space="preserve">invited to participate in </w:t>
      </w:r>
      <w:r>
        <w:t xml:space="preserve">the health care provider </w:t>
      </w:r>
      <w:r w:rsidRPr="000D3F16">
        <w:t xml:space="preserve">key informant interviews. These </w:t>
      </w:r>
      <w:r>
        <w:t xml:space="preserve">provider </w:t>
      </w:r>
      <w:r w:rsidRPr="000D3F16">
        <w:t>interviews will be conducted in person.</w:t>
      </w:r>
      <w:r>
        <w:t xml:space="preserve"> </w:t>
      </w:r>
      <w:r w:rsidRPr="000D3F16">
        <w:t>Burden will be minimized by restricting the interviews to 30 minutes and conducting them at a</w:t>
      </w:r>
      <w:r>
        <w:t xml:space="preserve"> </w:t>
      </w:r>
      <w:r w:rsidRPr="000D3F16">
        <w:t>time and location that is convenient for the respondent.</w:t>
      </w:r>
    </w:p>
    <w:p w14:paraId="0F689E84" w14:textId="77777777" w:rsidR="006D2F1C" w:rsidRDefault="006D2F1C">
      <w:pPr>
        <w:widowControl w:val="0"/>
        <w:spacing w:line="240" w:lineRule="auto"/>
        <w:ind w:firstLine="0"/>
        <w:rPr>
          <w:b/>
          <w:u w:color="000000"/>
        </w:rPr>
      </w:pPr>
      <w:bookmarkStart w:id="30" w:name="_Toc409097435"/>
      <w:bookmarkStart w:id="31" w:name="_Toc426101437"/>
      <w:r>
        <w:rPr>
          <w:u w:color="000000"/>
        </w:rPr>
        <w:br w:type="page"/>
      </w:r>
    </w:p>
    <w:p w14:paraId="4BCB42F1" w14:textId="15F26710" w:rsidR="00E22ABA" w:rsidRPr="00E22ABA" w:rsidRDefault="00D10F02" w:rsidP="008C7D81">
      <w:pPr>
        <w:pStyle w:val="H4Number"/>
        <w:rPr>
          <w:szCs w:val="24"/>
        </w:rPr>
      </w:pPr>
      <w:r>
        <w:rPr>
          <w:u w:color="000000"/>
        </w:rPr>
        <w:t>6.</w:t>
      </w:r>
      <w:r>
        <w:rPr>
          <w:u w:color="000000"/>
        </w:rPr>
        <w:tab/>
      </w:r>
      <w:r w:rsidR="00B015FB">
        <w:rPr>
          <w:u w:color="000000"/>
        </w:rPr>
        <w:t>Less frequent collection</w:t>
      </w:r>
      <w:bookmarkStart w:id="32" w:name="9._Explanation_of_any_payment/gift_to_re"/>
      <w:bookmarkEnd w:id="30"/>
      <w:bookmarkEnd w:id="31"/>
      <w:bookmarkEnd w:id="32"/>
    </w:p>
    <w:p w14:paraId="11EBAEFA" w14:textId="5C5D1F88" w:rsidR="001F13CA" w:rsidRPr="001B49B2" w:rsidRDefault="000D3F16" w:rsidP="00D10F02">
      <w:pPr>
        <w:pStyle w:val="NormalSS"/>
      </w:pPr>
      <w:r w:rsidRPr="001260EE">
        <w:rPr>
          <w:b/>
          <w:bCs/>
          <w:i/>
        </w:rPr>
        <w:t xml:space="preserve">Medicaid </w:t>
      </w:r>
      <w:r>
        <w:rPr>
          <w:b/>
          <w:bCs/>
          <w:i/>
        </w:rPr>
        <w:t>p</w:t>
      </w:r>
      <w:r w:rsidRPr="001260EE">
        <w:rPr>
          <w:b/>
          <w:bCs/>
          <w:i/>
        </w:rPr>
        <w:t xml:space="preserve">ostpartum </w:t>
      </w:r>
      <w:r>
        <w:rPr>
          <w:b/>
          <w:bCs/>
          <w:i/>
        </w:rPr>
        <w:t>telephone s</w:t>
      </w:r>
      <w:r w:rsidRPr="001260EE">
        <w:rPr>
          <w:b/>
          <w:bCs/>
          <w:i/>
        </w:rPr>
        <w:t>urvey</w:t>
      </w:r>
      <w:r w:rsidR="001F13CA" w:rsidRPr="00831A88">
        <w:rPr>
          <w:b/>
          <w:bCs/>
          <w:i/>
        </w:rPr>
        <w:t>.</w:t>
      </w:r>
      <w:r w:rsidR="001F13CA" w:rsidRPr="00831A88">
        <w:rPr>
          <w:b/>
          <w:bCs/>
        </w:rPr>
        <w:t xml:space="preserve"> </w:t>
      </w:r>
      <w:r w:rsidR="001B49B2" w:rsidRPr="001B49B2">
        <w:t xml:space="preserve">The purpose of the </w:t>
      </w:r>
      <w:r w:rsidR="001B49B2">
        <w:t xml:space="preserve">telephone </w:t>
      </w:r>
      <w:r w:rsidR="001B49B2" w:rsidRPr="001B49B2">
        <w:t xml:space="preserve">survey is </w:t>
      </w:r>
      <w:r w:rsidR="001B49B2">
        <w:t>to collect information</w:t>
      </w:r>
      <w:r w:rsidR="001B49B2" w:rsidRPr="001B49B2">
        <w:t xml:space="preserve"> about </w:t>
      </w:r>
      <w:r w:rsidR="00D15D99">
        <w:t>pilot program participants and nonparticipants</w:t>
      </w:r>
      <w:r w:rsidR="001B49B2" w:rsidRPr="001B49B2">
        <w:t xml:space="preserve"> that is not available in administrative data sources</w:t>
      </w:r>
      <w:r w:rsidR="002C41DB">
        <w:t>. Examples of this information include</w:t>
      </w:r>
      <w:r w:rsidR="001B49B2">
        <w:t xml:space="preserve"> use of </w:t>
      </w:r>
      <w:r w:rsidR="002C41DB">
        <w:t xml:space="preserve">the </w:t>
      </w:r>
      <w:r w:rsidR="00D15D99">
        <w:t xml:space="preserve">pilot </w:t>
      </w:r>
      <w:proofErr w:type="spellStart"/>
      <w:r w:rsidR="00D15D99">
        <w:t>mHealth</w:t>
      </w:r>
      <w:proofErr w:type="spellEnd"/>
      <w:r w:rsidR="00D15D99">
        <w:t xml:space="preserve"> program </w:t>
      </w:r>
      <w:r w:rsidR="002C41DB">
        <w:t xml:space="preserve">and </w:t>
      </w:r>
      <w:r w:rsidR="007F5C1A">
        <w:t>information</w:t>
      </w:r>
      <w:r w:rsidR="002C41DB">
        <w:t xml:space="preserve"> received from </w:t>
      </w:r>
      <w:r w:rsidR="00D15D99">
        <w:t>the program</w:t>
      </w:r>
      <w:r w:rsidR="001B49B2">
        <w:t xml:space="preserve">, satisfaction with </w:t>
      </w:r>
      <w:r w:rsidR="00D15D99">
        <w:t>the program</w:t>
      </w:r>
      <w:r w:rsidR="001B49B2">
        <w:t>, p</w:t>
      </w:r>
      <w:r w:rsidR="001B49B2" w:rsidRPr="001B49B2">
        <w:t xml:space="preserve">regnancy </w:t>
      </w:r>
      <w:r w:rsidR="001B49B2">
        <w:t>h</w:t>
      </w:r>
      <w:r w:rsidR="001B49B2" w:rsidRPr="001B49B2">
        <w:t xml:space="preserve">istory, </w:t>
      </w:r>
      <w:r w:rsidR="001B49B2">
        <w:t>p</w:t>
      </w:r>
      <w:r w:rsidR="001B49B2" w:rsidRPr="001B49B2">
        <w:t xml:space="preserve">regnancy and </w:t>
      </w:r>
      <w:r w:rsidR="001B49B2">
        <w:t>p</w:t>
      </w:r>
      <w:r w:rsidR="001B49B2" w:rsidRPr="001B49B2">
        <w:t xml:space="preserve">ostpartum </w:t>
      </w:r>
      <w:r w:rsidR="001B49B2">
        <w:t>b</w:t>
      </w:r>
      <w:r w:rsidR="001B49B2" w:rsidRPr="001B49B2">
        <w:t xml:space="preserve">ehaviors, </w:t>
      </w:r>
      <w:r w:rsidR="001B49B2">
        <w:t>h</w:t>
      </w:r>
      <w:r w:rsidR="001B49B2" w:rsidRPr="001B49B2">
        <w:t xml:space="preserve">ealth </w:t>
      </w:r>
      <w:r w:rsidR="001B49B2">
        <w:t>k</w:t>
      </w:r>
      <w:r w:rsidR="001B49B2" w:rsidRPr="001B49B2">
        <w:t xml:space="preserve">nowledge, and </w:t>
      </w:r>
      <w:r w:rsidR="002C41DB">
        <w:t xml:space="preserve">certain </w:t>
      </w:r>
      <w:r w:rsidR="001B49B2">
        <w:t>demographic characteristics</w:t>
      </w:r>
      <w:r w:rsidR="001B49B2" w:rsidRPr="001B49B2">
        <w:t xml:space="preserve">. </w:t>
      </w:r>
      <w:r w:rsidR="001B49B2">
        <w:t xml:space="preserve">If this information is not collected, </w:t>
      </w:r>
      <w:r w:rsidR="00D975BD">
        <w:rPr>
          <w:rFonts w:eastAsiaTheme="minorEastAsia"/>
        </w:rPr>
        <w:t>CMCS’s contractor</w:t>
      </w:r>
      <w:r w:rsidR="005618C4">
        <w:t xml:space="preserve"> </w:t>
      </w:r>
      <w:r w:rsidR="001B49B2">
        <w:t xml:space="preserve">will not have sufficient </w:t>
      </w:r>
      <w:r w:rsidR="001F13CA" w:rsidRPr="00831A88">
        <w:t xml:space="preserve">information to </w:t>
      </w:r>
      <w:r w:rsidR="00E01CE9">
        <w:t xml:space="preserve">fully </w:t>
      </w:r>
      <w:r w:rsidR="001F13CA" w:rsidRPr="00831A88">
        <w:t>evaluate</w:t>
      </w:r>
      <w:r w:rsidR="001F13CA" w:rsidRPr="001B49B2">
        <w:t xml:space="preserve"> </w:t>
      </w:r>
      <w:r w:rsidR="00986414" w:rsidRPr="00831A88">
        <w:t xml:space="preserve">the effects of the </w:t>
      </w:r>
      <w:r w:rsidR="00E01CE9">
        <w:t xml:space="preserve">pilot </w:t>
      </w:r>
      <w:proofErr w:type="spellStart"/>
      <w:r w:rsidR="00E01CE9">
        <w:t>mHealth</w:t>
      </w:r>
      <w:proofErr w:type="spellEnd"/>
      <w:r w:rsidR="00E01CE9">
        <w:t xml:space="preserve"> program</w:t>
      </w:r>
      <w:r w:rsidR="00F75A66">
        <w:t>.</w:t>
      </w:r>
    </w:p>
    <w:p w14:paraId="520C3569" w14:textId="2A1AE9CB" w:rsidR="002B0B90" w:rsidRPr="002B0B90" w:rsidRDefault="009F426F" w:rsidP="00D10F02">
      <w:pPr>
        <w:pStyle w:val="NormalSS"/>
        <w:rPr>
          <w:bCs/>
        </w:rPr>
      </w:pPr>
      <w:r>
        <w:rPr>
          <w:b/>
          <w:bCs/>
          <w:i/>
        </w:rPr>
        <w:t>K</w:t>
      </w:r>
      <w:r w:rsidR="000D3F16" w:rsidRPr="00492810">
        <w:rPr>
          <w:b/>
          <w:bCs/>
          <w:i/>
        </w:rPr>
        <w:t>ey informant interviews</w:t>
      </w:r>
      <w:r w:rsidR="001F13CA" w:rsidRPr="002B0B90">
        <w:rPr>
          <w:b/>
          <w:bCs/>
          <w:i/>
        </w:rPr>
        <w:t xml:space="preserve">. </w:t>
      </w:r>
      <w:r w:rsidR="00D975BD">
        <w:rPr>
          <w:rFonts w:eastAsiaTheme="minorEastAsia"/>
        </w:rPr>
        <w:t>CMCS’s contractor</w:t>
      </w:r>
      <w:r w:rsidR="003F06DD">
        <w:rPr>
          <w:bCs/>
        </w:rPr>
        <w:t xml:space="preserve"> will conduct </w:t>
      </w:r>
      <w:r w:rsidR="00F91DF4" w:rsidRPr="002B0B90">
        <w:rPr>
          <w:bCs/>
        </w:rPr>
        <w:t xml:space="preserve">interviews by telephone with individuals or groups involved in implementing the pilot </w:t>
      </w:r>
      <w:proofErr w:type="spellStart"/>
      <w:r w:rsidR="00492810" w:rsidRPr="002B0B90">
        <w:rPr>
          <w:bCs/>
        </w:rPr>
        <w:t>mHealth</w:t>
      </w:r>
      <w:proofErr w:type="spellEnd"/>
      <w:r w:rsidR="00492810" w:rsidRPr="002B0B90">
        <w:rPr>
          <w:bCs/>
        </w:rPr>
        <w:t xml:space="preserve"> </w:t>
      </w:r>
      <w:r w:rsidR="00F91DF4" w:rsidRPr="002B0B90">
        <w:rPr>
          <w:bCs/>
        </w:rPr>
        <w:t xml:space="preserve">program including </w:t>
      </w:r>
      <w:proofErr w:type="spellStart"/>
      <w:r w:rsidR="007446B0">
        <w:rPr>
          <w:bCs/>
        </w:rPr>
        <w:t>CMCS</w:t>
      </w:r>
      <w:proofErr w:type="spellEnd"/>
      <w:r w:rsidR="00F91DF4" w:rsidRPr="002B0B90">
        <w:rPr>
          <w:bCs/>
        </w:rPr>
        <w:t xml:space="preserve"> (</w:t>
      </w:r>
      <w:r w:rsidR="007F5C1A">
        <w:rPr>
          <w:bCs/>
        </w:rPr>
        <w:t>two</w:t>
      </w:r>
      <w:r w:rsidR="007F5C1A" w:rsidRPr="002B0B90">
        <w:rPr>
          <w:bCs/>
        </w:rPr>
        <w:t xml:space="preserve"> </w:t>
      </w:r>
      <w:r w:rsidR="00F91DF4" w:rsidRPr="002B0B90">
        <w:rPr>
          <w:bCs/>
        </w:rPr>
        <w:t>interview</w:t>
      </w:r>
      <w:r w:rsidR="007F5C1A">
        <w:rPr>
          <w:bCs/>
        </w:rPr>
        <w:t>s</w:t>
      </w:r>
      <w:r w:rsidR="00F91DF4" w:rsidRPr="002B0B90">
        <w:rPr>
          <w:bCs/>
        </w:rPr>
        <w:t xml:space="preserve">), </w:t>
      </w:r>
      <w:r w:rsidR="008D6C93">
        <w:rPr>
          <w:bCs/>
        </w:rPr>
        <w:t xml:space="preserve">staff from </w:t>
      </w:r>
      <w:proofErr w:type="spellStart"/>
      <w:r w:rsidR="00F91DF4" w:rsidRPr="002B0B90">
        <w:rPr>
          <w:bCs/>
        </w:rPr>
        <w:t>Voxiva</w:t>
      </w:r>
      <w:proofErr w:type="spellEnd"/>
      <w:r w:rsidR="00F91DF4" w:rsidRPr="002B0B90">
        <w:rPr>
          <w:bCs/>
        </w:rPr>
        <w:t xml:space="preserve"> and </w:t>
      </w:r>
      <w:r w:rsidR="0048092D">
        <w:rPr>
          <w:bCs/>
        </w:rPr>
        <w:t>Zero to Three</w:t>
      </w:r>
      <w:r w:rsidR="00F91DF4" w:rsidRPr="002B0B90">
        <w:rPr>
          <w:bCs/>
        </w:rPr>
        <w:t xml:space="preserve"> (</w:t>
      </w:r>
      <w:r w:rsidR="007F5C1A">
        <w:rPr>
          <w:bCs/>
        </w:rPr>
        <w:t>two</w:t>
      </w:r>
      <w:r w:rsidR="00492810" w:rsidRPr="002B0B90">
        <w:rPr>
          <w:bCs/>
        </w:rPr>
        <w:t xml:space="preserve"> </w:t>
      </w:r>
      <w:r w:rsidR="00F91DF4" w:rsidRPr="002B0B90">
        <w:rPr>
          <w:bCs/>
        </w:rPr>
        <w:t>interview</w:t>
      </w:r>
      <w:r w:rsidR="007F5C1A">
        <w:rPr>
          <w:bCs/>
        </w:rPr>
        <w:t>s</w:t>
      </w:r>
      <w:r w:rsidR="00F91DF4" w:rsidRPr="002B0B90">
        <w:rPr>
          <w:bCs/>
        </w:rPr>
        <w:t>);</w:t>
      </w:r>
      <w:r w:rsidR="00B12F7A">
        <w:rPr>
          <w:bCs/>
        </w:rPr>
        <w:t xml:space="preserve"> and</w:t>
      </w:r>
      <w:r w:rsidR="00F91DF4" w:rsidRPr="002B0B90">
        <w:rPr>
          <w:bCs/>
        </w:rPr>
        <w:t xml:space="preserve"> state Medicaid agency staff (</w:t>
      </w:r>
      <w:r>
        <w:rPr>
          <w:bCs/>
        </w:rPr>
        <w:t>eight</w:t>
      </w:r>
      <w:r w:rsidR="002C41DB" w:rsidRPr="002B0B90">
        <w:rPr>
          <w:bCs/>
        </w:rPr>
        <w:t xml:space="preserve"> </w:t>
      </w:r>
      <w:r w:rsidR="00F91DF4" w:rsidRPr="002B0B90">
        <w:rPr>
          <w:bCs/>
        </w:rPr>
        <w:t xml:space="preserve">interviews). </w:t>
      </w:r>
      <w:r w:rsidR="00C408C4">
        <w:rPr>
          <w:bCs/>
        </w:rPr>
        <w:t>If this information is not collected, CMCS’s contractor will not have</w:t>
      </w:r>
      <w:r w:rsidR="002B0B90" w:rsidRPr="002B0B90">
        <w:rPr>
          <w:bCs/>
        </w:rPr>
        <w:t xml:space="preserve"> sufficient information</w:t>
      </w:r>
      <w:r w:rsidR="009E4F4F" w:rsidRPr="009E4F4F">
        <w:t xml:space="preserve"> </w:t>
      </w:r>
      <w:r w:rsidR="009E4F4F" w:rsidRPr="00831A88">
        <w:t xml:space="preserve">to </w:t>
      </w:r>
      <w:r w:rsidR="009E4F4F">
        <w:t xml:space="preserve">fully </w:t>
      </w:r>
      <w:r w:rsidR="009E4F4F" w:rsidRPr="00831A88">
        <w:t>evaluate</w:t>
      </w:r>
      <w:r w:rsidR="009E4F4F" w:rsidRPr="001B49B2">
        <w:t xml:space="preserve"> </w:t>
      </w:r>
      <w:r w:rsidR="009E4F4F" w:rsidRPr="00831A88">
        <w:t xml:space="preserve">the effects of the </w:t>
      </w:r>
      <w:r w:rsidR="009E4F4F">
        <w:t xml:space="preserve">pilot </w:t>
      </w:r>
      <w:proofErr w:type="spellStart"/>
      <w:r w:rsidR="009E4F4F">
        <w:t>mHealth</w:t>
      </w:r>
      <w:proofErr w:type="spellEnd"/>
      <w:r w:rsidR="009E4F4F">
        <w:t xml:space="preserve"> program over the course of its implementation</w:t>
      </w:r>
      <w:r w:rsidR="009E4F4F" w:rsidRPr="00831A88">
        <w:t>.</w:t>
      </w:r>
    </w:p>
    <w:p w14:paraId="2CF62CE2" w14:textId="289E80EB" w:rsidR="00697617" w:rsidRDefault="008D6C93" w:rsidP="00D10F02">
      <w:pPr>
        <w:pStyle w:val="NormalSS"/>
      </w:pPr>
      <w:r>
        <w:rPr>
          <w:rFonts w:eastAsiaTheme="minorEastAsia"/>
        </w:rPr>
        <w:t>T</w:t>
      </w:r>
      <w:r w:rsidR="002B0B90">
        <w:rPr>
          <w:rFonts w:eastAsiaTheme="minorEastAsia"/>
        </w:rPr>
        <w:t xml:space="preserve">here will be </w:t>
      </w:r>
      <w:r w:rsidR="00C408C4">
        <w:rPr>
          <w:rFonts w:eastAsiaTheme="minorEastAsia"/>
        </w:rPr>
        <w:t>one round of</w:t>
      </w:r>
      <w:r w:rsidR="002B0B90">
        <w:rPr>
          <w:rFonts w:eastAsiaTheme="minorEastAsia"/>
        </w:rPr>
        <w:t xml:space="preserve"> interviews with health care p</w:t>
      </w:r>
      <w:r>
        <w:rPr>
          <w:rFonts w:eastAsiaTheme="minorEastAsia"/>
        </w:rPr>
        <w:t xml:space="preserve">roviders </w:t>
      </w:r>
      <w:r w:rsidR="007446B0">
        <w:rPr>
          <w:rFonts w:eastAsiaTheme="minorEastAsia"/>
        </w:rPr>
        <w:t>that</w:t>
      </w:r>
      <w:r w:rsidR="002B0B90" w:rsidRPr="00206E02">
        <w:rPr>
          <w:rFonts w:eastAsiaTheme="minorEastAsia"/>
        </w:rPr>
        <w:t xml:space="preserve"> are most knowledgeable </w:t>
      </w:r>
      <w:r>
        <w:rPr>
          <w:rFonts w:eastAsiaTheme="minorEastAsia"/>
        </w:rPr>
        <w:t xml:space="preserve">of </w:t>
      </w:r>
      <w:r w:rsidR="002B0B90" w:rsidRPr="00206E02">
        <w:rPr>
          <w:rFonts w:eastAsiaTheme="minorEastAsia"/>
        </w:rPr>
        <w:t xml:space="preserve">and active in regard to the pilot </w:t>
      </w:r>
      <w:proofErr w:type="spellStart"/>
      <w:r w:rsidR="002B0B90" w:rsidRPr="00206E02">
        <w:rPr>
          <w:rFonts w:eastAsiaTheme="minorEastAsia"/>
        </w:rPr>
        <w:t>mHealth</w:t>
      </w:r>
      <w:proofErr w:type="spellEnd"/>
      <w:r w:rsidR="002B0B90" w:rsidRPr="00206E02">
        <w:rPr>
          <w:rFonts w:eastAsiaTheme="minorEastAsia"/>
        </w:rPr>
        <w:t xml:space="preserve"> program in their state</w:t>
      </w:r>
      <w:r>
        <w:rPr>
          <w:rFonts w:eastAsiaTheme="minorEastAsia"/>
        </w:rPr>
        <w:t>s</w:t>
      </w:r>
      <w:r w:rsidR="00B12F7A">
        <w:rPr>
          <w:rFonts w:eastAsiaTheme="minorEastAsia"/>
        </w:rPr>
        <w:t xml:space="preserve"> </w:t>
      </w:r>
      <w:r w:rsidR="009F426F">
        <w:rPr>
          <w:rFonts w:eastAsiaTheme="minorEastAsia"/>
        </w:rPr>
        <w:t>(eight interviews)</w:t>
      </w:r>
      <w:r>
        <w:rPr>
          <w:rFonts w:eastAsiaTheme="minorEastAsia"/>
        </w:rPr>
        <w:t xml:space="preserve"> </w:t>
      </w:r>
      <w:r w:rsidR="00B12F7A">
        <w:rPr>
          <w:rFonts w:eastAsiaTheme="minorEastAsia"/>
        </w:rPr>
        <w:t xml:space="preserve">and </w:t>
      </w:r>
      <w:r w:rsidR="009F426F">
        <w:rPr>
          <w:bCs/>
        </w:rPr>
        <w:t>with</w:t>
      </w:r>
      <w:r w:rsidR="009F426F" w:rsidRPr="002B0B90">
        <w:rPr>
          <w:bCs/>
        </w:rPr>
        <w:t xml:space="preserve"> </w:t>
      </w:r>
      <w:r w:rsidR="00B12F7A" w:rsidRPr="002B0B90">
        <w:rPr>
          <w:bCs/>
        </w:rPr>
        <w:t>state or local outreach partners (eight interviews)</w:t>
      </w:r>
      <w:r w:rsidR="00B12F7A">
        <w:rPr>
          <w:rFonts w:eastAsiaTheme="minorEastAsia"/>
        </w:rPr>
        <w:t>.</w:t>
      </w:r>
      <w:r w:rsidR="002B0B90">
        <w:rPr>
          <w:rFonts w:eastAsiaTheme="minorEastAsia"/>
        </w:rPr>
        <w:t xml:space="preserve"> </w:t>
      </w:r>
      <w:r w:rsidR="003F06DD">
        <w:rPr>
          <w:rFonts w:eastAsiaTheme="minorEastAsia"/>
        </w:rPr>
        <w:t xml:space="preserve">The </w:t>
      </w:r>
      <w:r w:rsidR="00D975BD">
        <w:rPr>
          <w:rFonts w:eastAsiaTheme="minorEastAsia"/>
        </w:rPr>
        <w:t>contractor</w:t>
      </w:r>
      <w:r w:rsidR="003F06DD">
        <w:rPr>
          <w:rFonts w:eastAsiaTheme="minorEastAsia"/>
        </w:rPr>
        <w:t xml:space="preserve"> will select d</w:t>
      </w:r>
      <w:r w:rsidR="002B0B90">
        <w:rPr>
          <w:rFonts w:eastAsiaTheme="minorEastAsia"/>
        </w:rPr>
        <w:t>ifferent health care providers</w:t>
      </w:r>
      <w:r w:rsidR="00B12F7A">
        <w:rPr>
          <w:rFonts w:eastAsiaTheme="minorEastAsia"/>
        </w:rPr>
        <w:t xml:space="preserve"> and outreach partners</w:t>
      </w:r>
      <w:r w:rsidR="002B0B90">
        <w:rPr>
          <w:rFonts w:eastAsiaTheme="minorEastAsia"/>
        </w:rPr>
        <w:t xml:space="preserve"> </w:t>
      </w:r>
      <w:r w:rsidR="00C408C4">
        <w:rPr>
          <w:rFonts w:eastAsiaTheme="minorEastAsia"/>
        </w:rPr>
        <w:t>to participate in data collection</w:t>
      </w:r>
      <w:r w:rsidR="002B0B90">
        <w:rPr>
          <w:rFonts w:eastAsiaTheme="minorEastAsia"/>
        </w:rPr>
        <w:t xml:space="preserve">. Therefore, each of these key </w:t>
      </w:r>
      <w:r w:rsidR="00986414" w:rsidRPr="00492810">
        <w:t>informants will respond one time only</w:t>
      </w:r>
      <w:r w:rsidR="002B0B90">
        <w:t xml:space="preserve"> for this information collection</w:t>
      </w:r>
      <w:r w:rsidR="00986414" w:rsidRPr="00492810">
        <w:t xml:space="preserve">. </w:t>
      </w:r>
      <w:r w:rsidR="009F426F">
        <w:t xml:space="preserve">If this information is not collected, </w:t>
      </w:r>
      <w:r w:rsidR="003F06DD">
        <w:t xml:space="preserve">the </w:t>
      </w:r>
      <w:r w:rsidR="00D975BD">
        <w:t>contractor</w:t>
      </w:r>
      <w:r w:rsidR="003F06DD">
        <w:t xml:space="preserve"> </w:t>
      </w:r>
      <w:r w:rsidR="009F426F">
        <w:t xml:space="preserve">will not have sufficient </w:t>
      </w:r>
      <w:r w:rsidR="009F426F" w:rsidRPr="00831A88">
        <w:t xml:space="preserve">information to </w:t>
      </w:r>
      <w:r w:rsidR="009F426F">
        <w:t xml:space="preserve">fully </w:t>
      </w:r>
      <w:r w:rsidR="009F426F" w:rsidRPr="00831A88">
        <w:t>evaluate</w:t>
      </w:r>
      <w:r w:rsidR="009F426F" w:rsidRPr="001B49B2">
        <w:t xml:space="preserve"> </w:t>
      </w:r>
      <w:r w:rsidR="009F426F" w:rsidRPr="00831A88">
        <w:t xml:space="preserve">the effects of the </w:t>
      </w:r>
      <w:r w:rsidR="009F426F">
        <w:t xml:space="preserve">pilot </w:t>
      </w:r>
      <w:proofErr w:type="spellStart"/>
      <w:r w:rsidR="009F426F">
        <w:t>mHealth</w:t>
      </w:r>
      <w:proofErr w:type="spellEnd"/>
      <w:r w:rsidR="009F426F">
        <w:t xml:space="preserve"> program</w:t>
      </w:r>
      <w:r w:rsidR="009F426F" w:rsidRPr="00831A88">
        <w:t>.</w:t>
      </w:r>
    </w:p>
    <w:p w14:paraId="4882A875" w14:textId="540F3A36" w:rsidR="009F426F" w:rsidRPr="0040077D" w:rsidRDefault="009F426F" w:rsidP="00D10F02">
      <w:pPr>
        <w:pStyle w:val="NormalSS"/>
      </w:pPr>
      <w:r w:rsidRPr="009F426F">
        <w:rPr>
          <w:b/>
          <w:i/>
        </w:rPr>
        <w:t>Focus groups.</w:t>
      </w:r>
      <w:r w:rsidRPr="009F426F">
        <w:t xml:space="preserve"> </w:t>
      </w:r>
      <w:r w:rsidRPr="00206E02">
        <w:t xml:space="preserve">The purpose of the focus groups is to collect qualitative information on the implementation and effectiveness of the </w:t>
      </w:r>
      <w:proofErr w:type="spellStart"/>
      <w:r w:rsidRPr="00206E02">
        <w:t>mHealth</w:t>
      </w:r>
      <w:proofErr w:type="spellEnd"/>
      <w:r w:rsidRPr="00206E02">
        <w:t xml:space="preserve"> pilot from the consumers’ perspective.</w:t>
      </w:r>
      <w:r w:rsidR="0040077D">
        <w:t xml:space="preserve"> </w:t>
      </w:r>
      <w:r w:rsidR="00D975BD">
        <w:rPr>
          <w:rFonts w:eastAsiaTheme="minorEastAsia"/>
        </w:rPr>
        <w:t>CMCS’s contractor</w:t>
      </w:r>
      <w:r w:rsidR="005618C4">
        <w:t xml:space="preserve"> will conduct a</w:t>
      </w:r>
      <w:r w:rsidR="0040077D">
        <w:t xml:space="preserve"> total of </w:t>
      </w:r>
      <w:r w:rsidR="00C408C4">
        <w:t>8</w:t>
      </w:r>
      <w:r w:rsidR="0040077D">
        <w:t xml:space="preserve"> focus groups during this evaluation with </w:t>
      </w:r>
      <w:r w:rsidR="00C408C4">
        <w:t>80</w:t>
      </w:r>
      <w:r w:rsidR="008D6C93">
        <w:t xml:space="preserve"> to </w:t>
      </w:r>
      <w:r w:rsidR="00C408C4">
        <w:t>96</w:t>
      </w:r>
      <w:r w:rsidR="0040077D">
        <w:t xml:space="preserve"> participants in total. If this information is not collected, </w:t>
      </w:r>
      <w:r w:rsidR="00D975BD">
        <w:t>the contractor</w:t>
      </w:r>
      <w:r w:rsidR="005618C4">
        <w:t xml:space="preserve"> </w:t>
      </w:r>
      <w:r w:rsidR="0040077D">
        <w:t xml:space="preserve">will not have sufficient </w:t>
      </w:r>
      <w:r w:rsidR="0040077D" w:rsidRPr="00831A88">
        <w:t xml:space="preserve">information to </w:t>
      </w:r>
      <w:r w:rsidR="0040077D">
        <w:t xml:space="preserve">fully </w:t>
      </w:r>
      <w:r w:rsidR="0040077D" w:rsidRPr="00831A88">
        <w:t>evaluate</w:t>
      </w:r>
      <w:r w:rsidR="0040077D" w:rsidRPr="001B49B2">
        <w:t xml:space="preserve"> </w:t>
      </w:r>
      <w:r w:rsidR="0040077D" w:rsidRPr="00831A88">
        <w:t xml:space="preserve">the effects of the </w:t>
      </w:r>
      <w:r w:rsidR="0040077D">
        <w:t xml:space="preserve">pilot </w:t>
      </w:r>
      <w:proofErr w:type="spellStart"/>
      <w:r w:rsidR="0040077D">
        <w:t>mHealth</w:t>
      </w:r>
      <w:proofErr w:type="spellEnd"/>
      <w:r w:rsidR="0040077D">
        <w:t xml:space="preserve"> program</w:t>
      </w:r>
      <w:r w:rsidR="0040077D" w:rsidRPr="00831A88">
        <w:t>.</w:t>
      </w:r>
    </w:p>
    <w:p w14:paraId="3516BA97" w14:textId="24D11614" w:rsidR="001F13CA" w:rsidRDefault="00D10F02" w:rsidP="008C7D81">
      <w:pPr>
        <w:pStyle w:val="H4Number"/>
      </w:pPr>
      <w:bookmarkStart w:id="33" w:name="_Toc409097436"/>
      <w:bookmarkStart w:id="34" w:name="_Toc426101438"/>
      <w:r>
        <w:rPr>
          <w:u w:color="000000"/>
        </w:rPr>
        <w:t>7.</w:t>
      </w:r>
      <w:r>
        <w:rPr>
          <w:u w:color="000000"/>
        </w:rPr>
        <w:tab/>
      </w:r>
      <w:r w:rsidR="006F1530">
        <w:rPr>
          <w:u w:color="000000"/>
        </w:rPr>
        <w:t xml:space="preserve">Special </w:t>
      </w:r>
      <w:r w:rsidR="008D6C93">
        <w:rPr>
          <w:u w:color="000000"/>
        </w:rPr>
        <w:t>c</w:t>
      </w:r>
      <w:r w:rsidR="00AD44F5">
        <w:rPr>
          <w:u w:color="000000"/>
        </w:rPr>
        <w:t>ircumstances</w:t>
      </w:r>
      <w:bookmarkEnd w:id="33"/>
      <w:bookmarkEnd w:id="34"/>
    </w:p>
    <w:p w14:paraId="14F152FF" w14:textId="35846592" w:rsidR="007E7C0B" w:rsidRDefault="007E7C0B" w:rsidP="00D10F02">
      <w:pPr>
        <w:pStyle w:val="NormalSS"/>
      </w:pPr>
      <w:r w:rsidRPr="007E7C0B">
        <w:t>S</w:t>
      </w:r>
      <w:r>
        <w:t xml:space="preserve">ocial Security numbers (SSNs) </w:t>
      </w:r>
      <w:r w:rsidRPr="007E7C0B">
        <w:t xml:space="preserve">will not be collected in any primary data collection instrument. </w:t>
      </w:r>
      <w:r>
        <w:t>SSNs</w:t>
      </w:r>
      <w:r w:rsidRPr="007E7C0B">
        <w:t xml:space="preserve"> will be collected in secondary data sources (Medicaid and vital records) in order to link data between sources. However, if states provide us with linked data for the </w:t>
      </w:r>
      <w:bookmarkStart w:id="35" w:name="_GoBack"/>
      <w:bookmarkEnd w:id="35"/>
      <w:r w:rsidRPr="007E7C0B">
        <w:t>secondary data, we will not collect SSN</w:t>
      </w:r>
      <w:r>
        <w:t>s</w:t>
      </w:r>
      <w:r w:rsidRPr="007E7C0B">
        <w:t xml:space="preserve"> for these sources.</w:t>
      </w:r>
    </w:p>
    <w:p w14:paraId="7442FD82" w14:textId="64C43415" w:rsidR="00AD44F5" w:rsidRPr="001F13CA" w:rsidRDefault="007E7C0B" w:rsidP="00D10F02">
      <w:pPr>
        <w:pStyle w:val="NormalSS"/>
        <w:rPr>
          <w:b/>
        </w:rPr>
      </w:pPr>
      <w:r>
        <w:t>Otherwise, t</w:t>
      </w:r>
      <w:r w:rsidR="001F13CA" w:rsidRPr="001F13CA">
        <w:t>here are no special circumstances with t</w:t>
      </w:r>
      <w:r w:rsidR="00330F6D" w:rsidRPr="001F13CA">
        <w:t>his information collection</w:t>
      </w:r>
      <w:r w:rsidR="001F13CA" w:rsidRPr="001F13CA">
        <w:t>.</w:t>
      </w:r>
    </w:p>
    <w:p w14:paraId="49BE5400" w14:textId="0448BB9C" w:rsidR="00AD44F5" w:rsidRPr="00AD44F5" w:rsidRDefault="00D10F02" w:rsidP="008C7D81">
      <w:pPr>
        <w:pStyle w:val="H4Number"/>
      </w:pPr>
      <w:bookmarkStart w:id="36" w:name="_Toc409097437"/>
      <w:bookmarkStart w:id="37" w:name="_Toc426101439"/>
      <w:r>
        <w:rPr>
          <w:u w:color="000000"/>
        </w:rPr>
        <w:t>8.</w:t>
      </w:r>
      <w:r>
        <w:rPr>
          <w:u w:color="000000"/>
        </w:rPr>
        <w:tab/>
      </w:r>
      <w:r w:rsidR="00546E3F">
        <w:rPr>
          <w:u w:color="000000"/>
        </w:rPr>
        <w:t xml:space="preserve">Federal </w:t>
      </w:r>
      <w:r w:rsidR="008D6C93">
        <w:rPr>
          <w:u w:color="000000"/>
        </w:rPr>
        <w:t>R</w:t>
      </w:r>
      <w:r w:rsidR="00546E3F">
        <w:rPr>
          <w:u w:color="000000"/>
        </w:rPr>
        <w:t>egister/outside consultation</w:t>
      </w:r>
      <w:bookmarkEnd w:id="36"/>
      <w:bookmarkEnd w:id="37"/>
    </w:p>
    <w:p w14:paraId="6C42C121" w14:textId="7FD87C7C" w:rsidR="00AD44F5" w:rsidRPr="00A46976" w:rsidRDefault="001D5D8E" w:rsidP="00D10F02">
      <w:pPr>
        <w:pStyle w:val="NormalSS"/>
        <w:rPr>
          <w:rFonts w:eastAsiaTheme="minorHAnsi"/>
        </w:rPr>
      </w:pPr>
      <w:r>
        <w:rPr>
          <w:rFonts w:eastAsiaTheme="minorHAnsi"/>
        </w:rPr>
        <w:t xml:space="preserve">The </w:t>
      </w:r>
      <w:r w:rsidR="003E3E30" w:rsidRPr="00A46976">
        <w:rPr>
          <w:rFonts w:eastAsiaTheme="minorHAnsi"/>
        </w:rPr>
        <w:t xml:space="preserve">60-day </w:t>
      </w:r>
      <w:r>
        <w:rPr>
          <w:rFonts w:eastAsiaTheme="minorHAnsi"/>
        </w:rPr>
        <w:t xml:space="preserve">notice published in the </w:t>
      </w:r>
      <w:r w:rsidR="003E3E30" w:rsidRPr="00A46976">
        <w:rPr>
          <w:rFonts w:eastAsiaTheme="minorHAnsi"/>
        </w:rPr>
        <w:t xml:space="preserve">Federal Register on </w:t>
      </w:r>
      <w:r w:rsidR="001D0F3C">
        <w:rPr>
          <w:rFonts w:eastAsiaTheme="minorHAnsi"/>
        </w:rPr>
        <w:t xml:space="preserve">October 14, 2016 (81 FR 71100). </w:t>
      </w:r>
      <w:r w:rsidR="00143200">
        <w:rPr>
          <w:rFonts w:eastAsiaTheme="minorHAnsi"/>
        </w:rPr>
        <w:t>No comments were received</w:t>
      </w:r>
      <w:r w:rsidR="003E3E30" w:rsidRPr="00A46976">
        <w:rPr>
          <w:rFonts w:eastAsiaTheme="minorHAnsi"/>
        </w:rPr>
        <w:t>.</w:t>
      </w:r>
    </w:p>
    <w:p w14:paraId="61EA4271" w14:textId="755207F1" w:rsidR="00AD44F5" w:rsidRPr="00546E3F" w:rsidRDefault="00D10F02" w:rsidP="008C7D81">
      <w:pPr>
        <w:pStyle w:val="H4Number"/>
        <w:rPr>
          <w:u w:color="000000"/>
        </w:rPr>
      </w:pPr>
      <w:bookmarkStart w:id="38" w:name="_Toc409097438"/>
      <w:bookmarkStart w:id="39" w:name="_Toc426101440"/>
      <w:r>
        <w:rPr>
          <w:u w:color="000000"/>
        </w:rPr>
        <w:t>9.</w:t>
      </w:r>
      <w:r>
        <w:rPr>
          <w:u w:color="000000"/>
        </w:rPr>
        <w:tab/>
      </w:r>
      <w:r w:rsidR="00546E3F">
        <w:rPr>
          <w:u w:color="000000"/>
        </w:rPr>
        <w:t>Payments/gifts to respondents</w:t>
      </w:r>
      <w:bookmarkEnd w:id="38"/>
      <w:bookmarkEnd w:id="39"/>
    </w:p>
    <w:p w14:paraId="73698A36" w14:textId="4A1D435B" w:rsidR="00F06F0D" w:rsidRDefault="00E01CE9" w:rsidP="00D10F02">
      <w:pPr>
        <w:pStyle w:val="NormalSS"/>
      </w:pPr>
      <w:r w:rsidRPr="001D02C3">
        <w:rPr>
          <w:b/>
          <w:i/>
        </w:rPr>
        <w:t>Medicaid postpartum telephone survey</w:t>
      </w:r>
      <w:r w:rsidR="00F06F0D" w:rsidRPr="001D02C3">
        <w:rPr>
          <w:b/>
          <w:i/>
        </w:rPr>
        <w:t>.</w:t>
      </w:r>
      <w:r w:rsidR="00F06F0D" w:rsidRPr="001D02C3">
        <w:t xml:space="preserve"> </w:t>
      </w:r>
      <w:r w:rsidR="007446B0">
        <w:t>CMCS</w:t>
      </w:r>
      <w:r w:rsidR="00F06F0D" w:rsidRPr="00F06F0D">
        <w:t xml:space="preserve"> recognizes the time burden placed on respondents to </w:t>
      </w:r>
      <w:r>
        <w:t xml:space="preserve">participate in </w:t>
      </w:r>
      <w:r w:rsidR="00F06F0D" w:rsidRPr="00F06F0D">
        <w:t>the</w:t>
      </w:r>
      <w:r w:rsidR="00F06F0D">
        <w:t xml:space="preserve"> </w:t>
      </w:r>
      <w:r>
        <w:t xml:space="preserve">telephone </w:t>
      </w:r>
      <w:r w:rsidR="00F06F0D" w:rsidRPr="00F06F0D">
        <w:t>survey. Incentive payments to respondents have been shown to encourage</w:t>
      </w:r>
      <w:r w:rsidR="00F06F0D">
        <w:t xml:space="preserve"> </w:t>
      </w:r>
      <w:r w:rsidR="00F06F0D" w:rsidRPr="00F06F0D">
        <w:t xml:space="preserve">participation and thereby increase response rates, which in turn improve </w:t>
      </w:r>
      <w:r w:rsidR="00F06F0D">
        <w:t xml:space="preserve">the validity and reliability of </w:t>
      </w:r>
      <w:r w:rsidR="00F06F0D" w:rsidRPr="00F06F0D">
        <w:t>the data</w:t>
      </w:r>
      <w:r>
        <w:t xml:space="preserve"> collected</w:t>
      </w:r>
      <w:r w:rsidR="00F06F0D" w:rsidRPr="00F06F0D">
        <w:t xml:space="preserve">. </w:t>
      </w:r>
      <w:r w:rsidR="001D02C3" w:rsidRPr="001D02C3">
        <w:t xml:space="preserve">The role of incentives in increasing survey response rates has been widely </w:t>
      </w:r>
      <w:proofErr w:type="gramStart"/>
      <w:r w:rsidR="001D02C3" w:rsidRPr="001D02C3">
        <w:t>documented</w:t>
      </w:r>
      <w:r w:rsidR="006D6A70">
        <w:t>.</w:t>
      </w:r>
      <w:r w:rsidR="00046462" w:rsidRPr="005A3CAF">
        <w:rPr>
          <w:rStyle w:val="FootnoteReference"/>
          <w:szCs w:val="24"/>
        </w:rPr>
        <w:footnoteReference w:id="13"/>
      </w:r>
      <w:r w:rsidR="005A3CAF" w:rsidRPr="005A3CAF">
        <w:rPr>
          <w:vertAlign w:val="superscript"/>
        </w:rPr>
        <w:t>,</w:t>
      </w:r>
      <w:r w:rsidR="00046462" w:rsidRPr="005A3CAF">
        <w:rPr>
          <w:rStyle w:val="FootnoteReference"/>
          <w:szCs w:val="24"/>
        </w:rPr>
        <w:footnoteReference w:id="14"/>
      </w:r>
      <w:r w:rsidR="005A3CAF" w:rsidRPr="005A3CAF">
        <w:rPr>
          <w:vertAlign w:val="superscript"/>
        </w:rPr>
        <w:t>,</w:t>
      </w:r>
      <w:proofErr w:type="gramEnd"/>
      <w:r w:rsidR="00046462" w:rsidRPr="005A3CAF">
        <w:rPr>
          <w:rStyle w:val="FootnoteReference"/>
          <w:szCs w:val="24"/>
        </w:rPr>
        <w:footnoteReference w:id="15"/>
      </w:r>
      <w:r w:rsidR="001D02C3" w:rsidRPr="001D02C3">
        <w:t xml:space="preserve"> Some research </w:t>
      </w:r>
      <w:r w:rsidR="005A3CAF">
        <w:t>suggests</w:t>
      </w:r>
      <w:r w:rsidR="001D02C3" w:rsidRPr="001D02C3">
        <w:t xml:space="preserve"> that the level of incentives matters; in other words, higher incentives engender higher response rates</w:t>
      </w:r>
      <w:r w:rsidR="006D6A70">
        <w:t>.</w:t>
      </w:r>
      <w:r w:rsidR="00046462" w:rsidRPr="005A3CAF">
        <w:rPr>
          <w:rStyle w:val="FootnoteReference"/>
          <w:szCs w:val="24"/>
        </w:rPr>
        <w:footnoteReference w:id="16"/>
      </w:r>
      <w:r w:rsidR="005A3CAF" w:rsidRPr="005A3CAF">
        <w:rPr>
          <w:vertAlign w:val="superscript"/>
        </w:rPr>
        <w:t>,</w:t>
      </w:r>
      <w:r w:rsidR="00046462" w:rsidRPr="005A3CAF">
        <w:rPr>
          <w:rStyle w:val="FootnoteReference"/>
          <w:szCs w:val="24"/>
        </w:rPr>
        <w:footnoteReference w:id="17"/>
      </w:r>
      <w:r w:rsidR="001D02C3" w:rsidRPr="001D02C3">
        <w:t xml:space="preserve"> </w:t>
      </w:r>
      <w:r w:rsidR="001113AA">
        <w:t>Survey respondents will receive a $25 gift card in the mail about three weeks after completing the telephone survey. The $25</w:t>
      </w:r>
      <w:r w:rsidR="00F06F0D">
        <w:t xml:space="preserve"> incentive will be </w:t>
      </w:r>
      <w:r w:rsidR="005A3FF6">
        <w:t>in the form of a gift card</w:t>
      </w:r>
      <w:r w:rsidR="00F06F0D" w:rsidRPr="00F06F0D">
        <w:t xml:space="preserve"> because </w:t>
      </w:r>
      <w:r w:rsidR="00EB5B9A">
        <w:t>gift cards</w:t>
      </w:r>
      <w:r w:rsidR="00F06F0D" w:rsidRPr="00F06F0D">
        <w:t xml:space="preserve"> are easier and mor</w:t>
      </w:r>
      <w:r w:rsidR="00F06F0D">
        <w:t xml:space="preserve">e convenient to redeem than </w:t>
      </w:r>
      <w:r w:rsidR="00F06F0D" w:rsidRPr="00F06F0D">
        <w:t xml:space="preserve">checks, especially for participants who </w:t>
      </w:r>
      <w:r w:rsidR="005A3CAF">
        <w:t>do</w:t>
      </w:r>
      <w:r w:rsidR="00F06F0D" w:rsidRPr="00F06F0D">
        <w:t xml:space="preserve"> not have bank accounts.</w:t>
      </w:r>
    </w:p>
    <w:p w14:paraId="10C2CD44" w14:textId="77777777" w:rsidR="005A3FF6" w:rsidRPr="001113AA" w:rsidRDefault="005A3FF6" w:rsidP="00D10F02">
      <w:pPr>
        <w:pStyle w:val="NormalSS"/>
        <w:rPr>
          <w:b/>
          <w:bCs/>
          <w:i/>
        </w:rPr>
      </w:pPr>
      <w:r>
        <w:rPr>
          <w:b/>
          <w:bCs/>
          <w:i/>
        </w:rPr>
        <w:t>Key informant interviews</w:t>
      </w:r>
      <w:r w:rsidRPr="00A37E53">
        <w:rPr>
          <w:b/>
          <w:bCs/>
          <w:i/>
        </w:rPr>
        <w:t>.</w:t>
      </w:r>
      <w:r w:rsidRPr="00F06F0D">
        <w:rPr>
          <w:b/>
          <w:bCs/>
        </w:rPr>
        <w:t xml:space="preserve"> </w:t>
      </w:r>
      <w:r w:rsidRPr="00F06F0D">
        <w:t>Key informants will not receive ince</w:t>
      </w:r>
      <w:r>
        <w:t xml:space="preserve">ntive payments because most are </w:t>
      </w:r>
      <w:r w:rsidRPr="00F06F0D">
        <w:t>participating as part of their professional positions.</w:t>
      </w:r>
    </w:p>
    <w:p w14:paraId="4574604A" w14:textId="2B35C763" w:rsidR="00AD44F5" w:rsidRPr="001113AA" w:rsidRDefault="00E01CE9" w:rsidP="00D10F02">
      <w:pPr>
        <w:pStyle w:val="NormalSS"/>
        <w:rPr>
          <w:b/>
          <w:bCs/>
          <w:i/>
        </w:rPr>
      </w:pPr>
      <w:r w:rsidRPr="00A37E53">
        <w:rPr>
          <w:b/>
          <w:bCs/>
          <w:i/>
        </w:rPr>
        <w:t xml:space="preserve">Focus </w:t>
      </w:r>
      <w:r>
        <w:rPr>
          <w:b/>
          <w:bCs/>
          <w:i/>
        </w:rPr>
        <w:t>groups</w:t>
      </w:r>
      <w:r w:rsidRPr="00A37E53">
        <w:rPr>
          <w:b/>
          <w:bCs/>
          <w:i/>
        </w:rPr>
        <w:t>.</w:t>
      </w:r>
      <w:r w:rsidR="00F06F0D" w:rsidRPr="00F06F0D">
        <w:rPr>
          <w:b/>
          <w:bCs/>
        </w:rPr>
        <w:t xml:space="preserve"> </w:t>
      </w:r>
      <w:r w:rsidR="001113AA" w:rsidRPr="000D3F16">
        <w:rPr>
          <w:bCs/>
        </w:rPr>
        <w:t xml:space="preserve">Focus group participants will </w:t>
      </w:r>
      <w:r w:rsidR="008E33A0">
        <w:rPr>
          <w:bCs/>
        </w:rPr>
        <w:t>receive</w:t>
      </w:r>
      <w:r w:rsidR="001113AA" w:rsidRPr="000D3F16">
        <w:rPr>
          <w:bCs/>
        </w:rPr>
        <w:t xml:space="preserve"> a $25 gift card at the </w:t>
      </w:r>
      <w:r w:rsidR="008E33A0">
        <w:rPr>
          <w:bCs/>
        </w:rPr>
        <w:t>end</w:t>
      </w:r>
      <w:r w:rsidR="001113AA" w:rsidRPr="000D3F16">
        <w:rPr>
          <w:bCs/>
        </w:rPr>
        <w:t xml:space="preserve"> of the focus group session to thank them and to defray transportation and child care costs.</w:t>
      </w:r>
    </w:p>
    <w:p w14:paraId="123BCC15" w14:textId="67079233" w:rsidR="00AD44F5" w:rsidRPr="00AD44F5" w:rsidRDefault="00D10F02" w:rsidP="008C7D81">
      <w:pPr>
        <w:pStyle w:val="H4Number"/>
      </w:pPr>
      <w:bookmarkStart w:id="40" w:name="_Toc409097439"/>
      <w:bookmarkStart w:id="41" w:name="_Toc426101441"/>
      <w:r>
        <w:rPr>
          <w:u w:color="000000"/>
        </w:rPr>
        <w:t>10.</w:t>
      </w:r>
      <w:r>
        <w:rPr>
          <w:u w:color="000000"/>
        </w:rPr>
        <w:tab/>
      </w:r>
      <w:r w:rsidR="006F1530">
        <w:rPr>
          <w:u w:color="000000"/>
        </w:rPr>
        <w:t xml:space="preserve">Assurance of </w:t>
      </w:r>
      <w:r w:rsidR="008E33A0">
        <w:rPr>
          <w:u w:color="000000"/>
        </w:rPr>
        <w:t>c</w:t>
      </w:r>
      <w:r w:rsidR="006F1530">
        <w:rPr>
          <w:u w:color="000000"/>
        </w:rPr>
        <w:t>onfidentiality</w:t>
      </w:r>
      <w:bookmarkEnd w:id="40"/>
      <w:bookmarkEnd w:id="41"/>
    </w:p>
    <w:p w14:paraId="762D2C3E" w14:textId="00C86A98" w:rsidR="00271206" w:rsidRPr="00697617" w:rsidRDefault="00EB3801" w:rsidP="008877A0">
      <w:pPr>
        <w:pStyle w:val="NormalSS"/>
      </w:pPr>
      <w:r w:rsidRPr="001D02C3">
        <w:rPr>
          <w:b/>
          <w:i/>
        </w:rPr>
        <w:t>Medicaid postpartum telephone survey</w:t>
      </w:r>
      <w:r w:rsidR="00271206">
        <w:rPr>
          <w:b/>
          <w:i/>
        </w:rPr>
        <w:t xml:space="preserve">. </w:t>
      </w:r>
      <w:r w:rsidR="007446B0">
        <w:t>CMCS</w:t>
      </w:r>
      <w:r w:rsidR="00890FD9" w:rsidRPr="00697617">
        <w:rPr>
          <w:b/>
          <w:i/>
        </w:rPr>
        <w:t xml:space="preserve"> </w:t>
      </w:r>
      <w:r w:rsidR="006F1530" w:rsidRPr="00697617">
        <w:t>has embedded protections f</w:t>
      </w:r>
      <w:r w:rsidR="00890FD9" w:rsidRPr="00697617">
        <w:t xml:space="preserve">or privacy in the study design. </w:t>
      </w:r>
      <w:r w:rsidR="006F1530" w:rsidRPr="00697617">
        <w:t>The information collection will fully comply with all aspects of t</w:t>
      </w:r>
      <w:r w:rsidR="00890FD9" w:rsidRPr="00697617">
        <w:t xml:space="preserve">he Privacy Act. Individuals </w:t>
      </w:r>
      <w:r w:rsidR="006F1530" w:rsidRPr="00697617">
        <w:t>will be assured of the privacy of their replies under Sect</w:t>
      </w:r>
      <w:r w:rsidR="00890FD9" w:rsidRPr="00697617">
        <w:t xml:space="preserve">ion 934(c) of the Public Health </w:t>
      </w:r>
      <w:r w:rsidR="006F1530" w:rsidRPr="00697617">
        <w:t xml:space="preserve">Service Act, 42 USC 299c-3(c). All </w:t>
      </w:r>
      <w:r w:rsidR="00212B11">
        <w:t xml:space="preserve">respondents will be informed at the start of the interview </w:t>
      </w:r>
      <w:r w:rsidR="006F1530" w:rsidRPr="00697617">
        <w:t xml:space="preserve">that the </w:t>
      </w:r>
      <w:r w:rsidR="00212B11">
        <w:t>information t</w:t>
      </w:r>
      <w:r w:rsidR="006F1530" w:rsidRPr="00697617">
        <w:t xml:space="preserve">hey provide will be </w:t>
      </w:r>
      <w:r w:rsidR="00212B11">
        <w:t>kept private</w:t>
      </w:r>
      <w:r w:rsidR="00890FD9" w:rsidRPr="00697617">
        <w:t xml:space="preserve">, unless </w:t>
      </w:r>
      <w:r w:rsidR="006F1530" w:rsidRPr="00697617">
        <w:t xml:space="preserve">otherwise compelled by law. </w:t>
      </w:r>
      <w:r w:rsidR="00CF0F2B">
        <w:t>They will also be informed that any information shared as a result of the stu</w:t>
      </w:r>
      <w:r w:rsidR="008E33A0">
        <w:t>dy will not enable</w:t>
      </w:r>
      <w:r w:rsidR="00CF0F2B">
        <w:t xml:space="preserve"> them or their family members to be identified. </w:t>
      </w:r>
      <w:r w:rsidR="006F1530" w:rsidRPr="00697617">
        <w:t>They also will be informed that participat</w:t>
      </w:r>
      <w:r w:rsidR="00890FD9" w:rsidRPr="00697617">
        <w:t xml:space="preserve">ion is voluntary, that they may </w:t>
      </w:r>
      <w:r w:rsidR="006F1530" w:rsidRPr="00697617">
        <w:t xml:space="preserve">refuse to answer any question, and </w:t>
      </w:r>
      <w:r w:rsidR="00212B11">
        <w:t xml:space="preserve">that they </w:t>
      </w:r>
      <w:r w:rsidR="006F1530" w:rsidRPr="00697617">
        <w:t>can stop the interview at any</w:t>
      </w:r>
      <w:r w:rsidR="00212B11">
        <w:t xml:space="preserve"> time</w:t>
      </w:r>
      <w:r w:rsidR="006F1530" w:rsidRPr="00697617">
        <w:t xml:space="preserve">. </w:t>
      </w:r>
      <w:r w:rsidR="00212B11">
        <w:t xml:space="preserve">The interviewer will </w:t>
      </w:r>
      <w:r w:rsidR="00691352">
        <w:t xml:space="preserve">verbally </w:t>
      </w:r>
      <w:r w:rsidR="00212B11">
        <w:t xml:space="preserve">ask for the respondent’s consent to participate </w:t>
      </w:r>
      <w:r w:rsidR="004644B2">
        <w:t>before administering the survey</w:t>
      </w:r>
      <w:r w:rsidR="006F1530" w:rsidRPr="00697617">
        <w:t>.</w:t>
      </w:r>
      <w:r w:rsidR="008F3BBA">
        <w:t xml:space="preserve"> </w:t>
      </w:r>
      <w:r w:rsidR="00492F5D">
        <w:t xml:space="preserve">The interviewer will offer to provide contact information for the project director </w:t>
      </w:r>
      <w:r w:rsidR="008E33A0">
        <w:t>and</w:t>
      </w:r>
      <w:r w:rsidR="00492F5D">
        <w:t xml:space="preserve"> an IRB contact should the respondent have additional questions in the future. </w:t>
      </w:r>
      <w:r w:rsidR="005A3FF6">
        <w:t xml:space="preserve">Additionally, </w:t>
      </w:r>
      <w:r w:rsidR="005353C2">
        <w:t xml:space="preserve">the </w:t>
      </w:r>
      <w:r w:rsidR="00D975BD">
        <w:rPr>
          <w:rFonts w:eastAsiaTheme="minorEastAsia"/>
        </w:rPr>
        <w:t>CMCS’s contractor</w:t>
      </w:r>
      <w:r w:rsidR="005A3FF6">
        <w:t xml:space="preserve"> will obtain v</w:t>
      </w:r>
      <w:r w:rsidR="008E33A0">
        <w:t xml:space="preserve">erbal consent from the </w:t>
      </w:r>
      <w:r w:rsidR="008F3BBA" w:rsidRPr="0039187B">
        <w:t>parent or guardian</w:t>
      </w:r>
      <w:r w:rsidR="001D66CD">
        <w:t xml:space="preserve"> of </w:t>
      </w:r>
      <w:proofErr w:type="spellStart"/>
      <w:r w:rsidR="001D66CD">
        <w:t>unemancipated</w:t>
      </w:r>
      <w:proofErr w:type="spellEnd"/>
      <w:r w:rsidR="001D66CD">
        <w:t xml:space="preserve"> minors</w:t>
      </w:r>
      <w:r w:rsidR="005A3FF6">
        <w:t xml:space="preserve"> before admin</w:t>
      </w:r>
      <w:r w:rsidR="006D6A70">
        <w:t>istering the survey to a minor.</w:t>
      </w:r>
    </w:p>
    <w:p w14:paraId="374849DE" w14:textId="3C52EE8E" w:rsidR="00EB3801" w:rsidRDefault="005A3FF6" w:rsidP="008877A0">
      <w:pPr>
        <w:pStyle w:val="NormalSS"/>
      </w:pPr>
      <w:r>
        <w:rPr>
          <w:b/>
          <w:bCs/>
          <w:i/>
        </w:rPr>
        <w:t>K</w:t>
      </w:r>
      <w:r w:rsidR="00EB3801">
        <w:rPr>
          <w:b/>
          <w:bCs/>
          <w:i/>
        </w:rPr>
        <w:t>ey informant interviews</w:t>
      </w:r>
      <w:r w:rsidR="00EB3801">
        <w:rPr>
          <w:b/>
          <w:i/>
        </w:rPr>
        <w:t xml:space="preserve">. </w:t>
      </w:r>
      <w:r w:rsidR="00212B11">
        <w:t xml:space="preserve">Verbal consent to participate in the key </w:t>
      </w:r>
      <w:r w:rsidR="00492F5D">
        <w:t xml:space="preserve">informant </w:t>
      </w:r>
      <w:r w:rsidR="00212B11">
        <w:t xml:space="preserve">interviews will be obtained from respondents </w:t>
      </w:r>
      <w:r w:rsidR="008E33A0">
        <w:t>before</w:t>
      </w:r>
      <w:r w:rsidR="00212B11">
        <w:t xml:space="preserve"> the </w:t>
      </w:r>
      <w:r w:rsidR="00492F5D">
        <w:t xml:space="preserve">start of the </w:t>
      </w:r>
      <w:r w:rsidR="00212B11">
        <w:t>interview</w:t>
      </w:r>
      <w:r w:rsidR="00492F5D">
        <w:t xml:space="preserve">. The consent process will stress that </w:t>
      </w:r>
      <w:r w:rsidR="008E33A0">
        <w:t>participants</w:t>
      </w:r>
      <w:r w:rsidR="00EB3801" w:rsidRPr="00EB3801">
        <w:t xml:space="preserve"> will not be identified by name in any reports.</w:t>
      </w:r>
      <w:r w:rsidR="00492F5D">
        <w:t xml:space="preserve"> The interviewer will offer to provide contact information for the project director </w:t>
      </w:r>
      <w:r w:rsidR="008E33A0">
        <w:t>and</w:t>
      </w:r>
      <w:r w:rsidR="00492F5D">
        <w:t xml:space="preserve"> an IRB contact should the key information have additional questions in the future.</w:t>
      </w:r>
    </w:p>
    <w:p w14:paraId="43AE5E24" w14:textId="0FE0CA57" w:rsidR="005A3FF6" w:rsidRDefault="005A3FF6" w:rsidP="008877A0">
      <w:pPr>
        <w:pStyle w:val="NormalSS"/>
      </w:pPr>
      <w:r>
        <w:rPr>
          <w:b/>
          <w:bCs/>
          <w:i/>
        </w:rPr>
        <w:t>Focus groups</w:t>
      </w:r>
      <w:r>
        <w:rPr>
          <w:b/>
          <w:i/>
        </w:rPr>
        <w:t xml:space="preserve">. </w:t>
      </w:r>
      <w:r>
        <w:t>At the beginning of the focus groups, participants will be asked to sign a consent form. The consent form will describe the purpose of the focus group, focus group procedures, benefits and risks, the confident</w:t>
      </w:r>
      <w:r w:rsidR="008E33A0">
        <w:t>iality of the information that participants</w:t>
      </w:r>
      <w:r>
        <w:t xml:space="preserve"> provide, and it will stress the voluntary nature of participation. </w:t>
      </w:r>
      <w:r w:rsidR="002B3B69">
        <w:t xml:space="preserve">The moderator will also inform participants that information shared during the group is to remain confidential and should not be shared with others outside of the group. </w:t>
      </w:r>
      <w:r>
        <w:t xml:space="preserve">The consent form will include contact information for the project director </w:t>
      </w:r>
      <w:r w:rsidR="008E33A0">
        <w:t>and</w:t>
      </w:r>
      <w:r>
        <w:t xml:space="preserve"> an IRB contact should the participant have additional questions in the future. Participants will sign two copies of the consent form: </w:t>
      </w:r>
      <w:r w:rsidR="0050365E">
        <w:t xml:space="preserve">the </w:t>
      </w:r>
      <w:r w:rsidR="00D975BD">
        <w:t>contractor</w:t>
      </w:r>
      <w:r>
        <w:t xml:space="preserve"> will retain one copy and give the other to the participant.</w:t>
      </w:r>
    </w:p>
    <w:p w14:paraId="2824339B" w14:textId="3DBF1F4E" w:rsidR="005A3FF6" w:rsidRPr="001474F1" w:rsidRDefault="005A3FF6" w:rsidP="008877A0">
      <w:pPr>
        <w:pStyle w:val="NormalSS"/>
      </w:pPr>
      <w:r>
        <w:t xml:space="preserve">In addition to the specific assurances of confidentiality for each of the data collection activities described </w:t>
      </w:r>
      <w:r w:rsidR="008E33A0">
        <w:t>here</w:t>
      </w:r>
      <w:r>
        <w:t xml:space="preserve">, two approaches cut across the entire evaluation. First, all contractor </w:t>
      </w:r>
      <w:r w:rsidRPr="00BA018C">
        <w:t xml:space="preserve">employees are required to follow </w:t>
      </w:r>
      <w:r>
        <w:t xml:space="preserve">strict </w:t>
      </w:r>
      <w:r w:rsidRPr="00BA018C">
        <w:t xml:space="preserve">data security policies and procedures when accessing confidential and proprietary information in performance of assigned duties. </w:t>
      </w:r>
      <w:r>
        <w:t>All contractor employees sign a pledge to protect the confidentiality of data and respondent identity</w:t>
      </w:r>
      <w:r w:rsidR="00E752C6">
        <w:t>;</w:t>
      </w:r>
      <w:r>
        <w:t xml:space="preserve"> breaking that pledge is grounds for immediate dismissal and possible legal action. Furthermore, </w:t>
      </w:r>
      <w:r w:rsidRPr="00BA018C">
        <w:t xml:space="preserve">confidential data are protected by a firewall and stored on a fully encrypted secure network drive with limited access and special backup procedures. </w:t>
      </w:r>
      <w:r>
        <w:t xml:space="preserve">Only authorized contractor </w:t>
      </w:r>
      <w:r w:rsidRPr="00BA018C">
        <w:t xml:space="preserve">staff with a need to know will be able to access </w:t>
      </w:r>
      <w:r>
        <w:t xml:space="preserve">study data that </w:t>
      </w:r>
      <w:r w:rsidRPr="00FE3F34">
        <w:t xml:space="preserve">that </w:t>
      </w:r>
      <w:r w:rsidR="008E33A0">
        <w:t>might</w:t>
      </w:r>
      <w:r w:rsidRPr="00FE3F34">
        <w:t xml:space="preserve"> contain personally identifiable information and protected health information</w:t>
      </w:r>
      <w:r>
        <w:t xml:space="preserve">. Second, </w:t>
      </w:r>
      <w:r w:rsidR="00E752C6">
        <w:t xml:space="preserve">as mentioned previously, </w:t>
      </w:r>
      <w:r w:rsidR="007446B0">
        <w:t>CMCS</w:t>
      </w:r>
      <w:r w:rsidR="00E752C6">
        <w:t xml:space="preserve">, through its contractor, </w:t>
      </w:r>
      <w:r w:rsidR="005618C4">
        <w:t>has received</w:t>
      </w:r>
      <w:r>
        <w:t xml:space="preserve"> IRB approval for this information collection through the </w:t>
      </w:r>
      <w:r w:rsidR="008E33A0">
        <w:t>NEIRB</w:t>
      </w:r>
      <w:r w:rsidR="00FB6010">
        <w:t xml:space="preserve"> (14-432)</w:t>
      </w:r>
      <w:r>
        <w:t>.</w:t>
      </w:r>
    </w:p>
    <w:p w14:paraId="69BCA97D" w14:textId="280561A4" w:rsidR="00AD44F5" w:rsidRPr="00AD44F5" w:rsidRDefault="008877A0" w:rsidP="008C7D81">
      <w:pPr>
        <w:pStyle w:val="H4Number"/>
      </w:pPr>
      <w:bookmarkStart w:id="42" w:name="_Toc409097440"/>
      <w:bookmarkStart w:id="43" w:name="_Toc426101442"/>
      <w:r>
        <w:rPr>
          <w:u w:color="000000"/>
        </w:rPr>
        <w:t>11.</w:t>
      </w:r>
      <w:r>
        <w:rPr>
          <w:u w:color="000000"/>
        </w:rPr>
        <w:tab/>
      </w:r>
      <w:r w:rsidR="00890FD9">
        <w:rPr>
          <w:u w:color="000000"/>
        </w:rPr>
        <w:t>Justification for Sensitive Q</w:t>
      </w:r>
      <w:r w:rsidR="00546E3F">
        <w:rPr>
          <w:u w:color="000000"/>
        </w:rPr>
        <w:t>uestions</w:t>
      </w:r>
      <w:bookmarkEnd w:id="42"/>
      <w:bookmarkEnd w:id="43"/>
    </w:p>
    <w:p w14:paraId="0D0B9E79" w14:textId="44EC0405" w:rsidR="002E040C" w:rsidRPr="002E040C" w:rsidRDefault="00810B5B" w:rsidP="008877A0">
      <w:pPr>
        <w:pStyle w:val="NormalSS"/>
      </w:pPr>
      <w:r w:rsidRPr="001D02C3">
        <w:rPr>
          <w:b/>
          <w:i/>
        </w:rPr>
        <w:t>Medicaid postpartum telephone survey</w:t>
      </w:r>
      <w:r w:rsidR="00A57306">
        <w:rPr>
          <w:b/>
          <w:i/>
        </w:rPr>
        <w:t xml:space="preserve"> and focus groups</w:t>
      </w:r>
      <w:r>
        <w:rPr>
          <w:b/>
          <w:i/>
        </w:rPr>
        <w:t xml:space="preserve">. </w:t>
      </w:r>
      <w:r w:rsidR="008F3BBA">
        <w:t xml:space="preserve">Some questions in the </w:t>
      </w:r>
      <w:r w:rsidR="00E752C6">
        <w:t xml:space="preserve">telephone </w:t>
      </w:r>
      <w:r w:rsidR="008F3BBA">
        <w:t xml:space="preserve">survey </w:t>
      </w:r>
      <w:r w:rsidR="00A57306">
        <w:t xml:space="preserve">and on the </w:t>
      </w:r>
      <w:r w:rsidR="00E752C6">
        <w:t xml:space="preserve">Participant </w:t>
      </w:r>
      <w:r w:rsidR="00A57306">
        <w:t xml:space="preserve">Information Form </w:t>
      </w:r>
      <w:r w:rsidR="00AB1CA2">
        <w:t xml:space="preserve">(PIF) </w:t>
      </w:r>
      <w:r w:rsidR="00A57306">
        <w:t xml:space="preserve">collected from focus group participants </w:t>
      </w:r>
      <w:r w:rsidR="008F3BBA">
        <w:t xml:space="preserve">ask about </w:t>
      </w:r>
      <w:r w:rsidR="002E040C" w:rsidRPr="002E040C">
        <w:t xml:space="preserve">personal behaviors that </w:t>
      </w:r>
      <w:r w:rsidR="008E33A0">
        <w:t>might</w:t>
      </w:r>
      <w:r w:rsidR="002E040C" w:rsidRPr="002E040C">
        <w:t xml:space="preserve"> be of a sensitive nature for </w:t>
      </w:r>
      <w:r w:rsidR="008F3BBA">
        <w:t xml:space="preserve">some </w:t>
      </w:r>
      <w:r w:rsidR="002E040C" w:rsidRPr="002E040C">
        <w:t>respondents. Examples of potentially sensitive health behavior questions include those related to smoking an</w:t>
      </w:r>
      <w:r w:rsidR="008F3BBA">
        <w:t>d alcohol use during pregnancy</w:t>
      </w:r>
      <w:r w:rsidR="001D66CD">
        <w:t>, depression, breastfeeding,</w:t>
      </w:r>
      <w:r w:rsidR="008F3BBA">
        <w:t xml:space="preserve"> </w:t>
      </w:r>
      <w:r w:rsidR="008C7D81">
        <w:t>and family planning methods.</w:t>
      </w:r>
    </w:p>
    <w:p w14:paraId="3EBF0B76" w14:textId="4F54B309" w:rsidR="002E040C" w:rsidRDefault="00D975BD" w:rsidP="008877A0">
      <w:pPr>
        <w:pStyle w:val="NormalSS"/>
      </w:pPr>
      <w:r>
        <w:rPr>
          <w:rFonts w:eastAsiaTheme="minorEastAsia"/>
        </w:rPr>
        <w:t>CMCS’s contractor</w:t>
      </w:r>
      <w:r w:rsidR="002C0A8D" w:rsidRPr="002E040C">
        <w:t xml:space="preserve"> </w:t>
      </w:r>
      <w:r w:rsidR="002E040C" w:rsidRPr="002E040C">
        <w:t xml:space="preserve">has minimized the number of sensitive questions to those necessary </w:t>
      </w:r>
      <w:r w:rsidR="00E752C6">
        <w:t>to answer the key research questions for this</w:t>
      </w:r>
      <w:r w:rsidR="002E040C" w:rsidRPr="002E040C">
        <w:t xml:space="preserve"> evaluation</w:t>
      </w:r>
      <w:r w:rsidR="008F3BBA">
        <w:t>. T</w:t>
      </w:r>
      <w:r w:rsidR="002E040C" w:rsidRPr="002E040C">
        <w:t xml:space="preserve">he survey </w:t>
      </w:r>
      <w:r w:rsidR="00A57306">
        <w:t xml:space="preserve">and </w:t>
      </w:r>
      <w:r w:rsidR="00AB1CA2">
        <w:t>PIF</w:t>
      </w:r>
      <w:r w:rsidR="00A57306">
        <w:t xml:space="preserve"> </w:t>
      </w:r>
      <w:r w:rsidR="002E040C" w:rsidRPr="002E040C">
        <w:t>include ques</w:t>
      </w:r>
      <w:r w:rsidR="008F3BBA">
        <w:t xml:space="preserve">tions on topics that are covered in </w:t>
      </w:r>
      <w:r w:rsidR="00D15D99">
        <w:t xml:space="preserve">the pilot </w:t>
      </w:r>
      <w:proofErr w:type="spellStart"/>
      <w:r w:rsidR="00D15D99">
        <w:t>mHealth</w:t>
      </w:r>
      <w:proofErr w:type="spellEnd"/>
      <w:r w:rsidR="00D15D99">
        <w:t xml:space="preserve"> program</w:t>
      </w:r>
      <w:r w:rsidR="00D15D99" w:rsidRPr="002E040C">
        <w:t xml:space="preserve"> </w:t>
      </w:r>
      <w:r w:rsidR="002E040C" w:rsidRPr="002E040C">
        <w:t xml:space="preserve">messages </w:t>
      </w:r>
      <w:r w:rsidR="008F3BBA">
        <w:t xml:space="preserve">and </w:t>
      </w:r>
      <w:r w:rsidR="002E040C" w:rsidRPr="002E040C">
        <w:t xml:space="preserve">that are directly relevant to assess outcomes and progress towards goals of the </w:t>
      </w:r>
      <w:r w:rsidR="008F3BBA">
        <w:t xml:space="preserve">pilot </w:t>
      </w:r>
      <w:proofErr w:type="spellStart"/>
      <w:r w:rsidR="008F3BBA">
        <w:t>mHealth</w:t>
      </w:r>
      <w:proofErr w:type="spellEnd"/>
      <w:r w:rsidR="008F3BBA">
        <w:t xml:space="preserve"> </w:t>
      </w:r>
      <w:r w:rsidR="002E040C" w:rsidRPr="002E040C">
        <w:t xml:space="preserve">program. </w:t>
      </w:r>
      <w:r w:rsidR="008F3BBA">
        <w:t>I</w:t>
      </w:r>
      <w:r w:rsidR="002E040C" w:rsidRPr="002E040C">
        <w:t xml:space="preserve">nterviewer training </w:t>
      </w:r>
      <w:r w:rsidR="008F3BBA">
        <w:t>for administering the survey</w:t>
      </w:r>
      <w:r w:rsidR="002E040C" w:rsidRPr="002E040C">
        <w:t xml:space="preserve"> will stress the importance of asking all questions </w:t>
      </w:r>
      <w:r w:rsidR="008F3BBA">
        <w:t xml:space="preserve">in the survey </w:t>
      </w:r>
      <w:r w:rsidR="002E040C" w:rsidRPr="002E040C">
        <w:t xml:space="preserve">in a professional and non-judgmental manner. </w:t>
      </w:r>
      <w:r w:rsidR="00A57306">
        <w:t>Survey and focus group p</w:t>
      </w:r>
      <w:r w:rsidR="00A57306">
        <w:rPr>
          <w:rFonts w:eastAsia="Calibri"/>
        </w:rPr>
        <w:t>articipants can skip any questions they feel uncomfortable answering and can discontinue their involvement in the study at any point. Participants are informed of this during the consent process and are reminded of this at the start of the survey and the focus group.</w:t>
      </w:r>
    </w:p>
    <w:p w14:paraId="7E5221AB" w14:textId="4D4069FE" w:rsidR="00A57306" w:rsidRDefault="00A57306" w:rsidP="008877A0">
      <w:pPr>
        <w:pStyle w:val="NormalSS"/>
        <w:rPr>
          <w:rFonts w:eastAsia="Calibri"/>
        </w:rPr>
      </w:pPr>
      <w:r>
        <w:rPr>
          <w:b/>
          <w:bCs/>
          <w:i/>
        </w:rPr>
        <w:t>K</w:t>
      </w:r>
      <w:r w:rsidR="00CF4DF0">
        <w:rPr>
          <w:b/>
          <w:bCs/>
          <w:i/>
        </w:rPr>
        <w:t>ey informant interviews</w:t>
      </w:r>
      <w:r w:rsidR="00CF4DF0">
        <w:rPr>
          <w:b/>
          <w:i/>
        </w:rPr>
        <w:t xml:space="preserve">. </w:t>
      </w:r>
      <w:r w:rsidRPr="00A57306">
        <w:rPr>
          <w:rFonts w:eastAsia="Calibri"/>
        </w:rPr>
        <w:t xml:space="preserve">The key informant </w:t>
      </w:r>
      <w:r>
        <w:rPr>
          <w:rFonts w:eastAsia="Calibri"/>
        </w:rPr>
        <w:t>interview protocols do n</w:t>
      </w:r>
      <w:r w:rsidR="008C7D81">
        <w:rPr>
          <w:rFonts w:eastAsia="Calibri"/>
        </w:rPr>
        <w:t>ot include sensitive questions.</w:t>
      </w:r>
    </w:p>
    <w:p w14:paraId="234D0FD1" w14:textId="47E231C1" w:rsidR="00AD44F5" w:rsidRPr="00A7499F" w:rsidRDefault="008877A0" w:rsidP="008C7D81">
      <w:pPr>
        <w:pStyle w:val="H4Number"/>
      </w:pPr>
      <w:bookmarkStart w:id="44" w:name="_Toc409097441"/>
      <w:bookmarkStart w:id="45" w:name="_Toc426101443"/>
      <w:r>
        <w:rPr>
          <w:u w:color="000000"/>
        </w:rPr>
        <w:t>12.</w:t>
      </w:r>
      <w:r>
        <w:rPr>
          <w:u w:color="000000"/>
        </w:rPr>
        <w:tab/>
      </w:r>
      <w:r w:rsidR="004256C7">
        <w:rPr>
          <w:u w:color="000000"/>
        </w:rPr>
        <w:t xml:space="preserve">Estimates of </w:t>
      </w:r>
      <w:r w:rsidR="008E33A0">
        <w:rPr>
          <w:u w:color="000000"/>
        </w:rPr>
        <w:t>a</w:t>
      </w:r>
      <w:r w:rsidR="004256C7">
        <w:rPr>
          <w:u w:color="000000"/>
        </w:rPr>
        <w:t xml:space="preserve">nnualized </w:t>
      </w:r>
      <w:r w:rsidR="008E33A0">
        <w:rPr>
          <w:u w:color="000000"/>
        </w:rPr>
        <w:t>h</w:t>
      </w:r>
      <w:r w:rsidR="004256C7">
        <w:rPr>
          <w:u w:color="000000"/>
        </w:rPr>
        <w:t xml:space="preserve">our and </w:t>
      </w:r>
      <w:r w:rsidR="008E33A0">
        <w:rPr>
          <w:u w:color="000000"/>
        </w:rPr>
        <w:t>c</w:t>
      </w:r>
      <w:r w:rsidR="004256C7">
        <w:rPr>
          <w:u w:color="000000"/>
        </w:rPr>
        <w:t xml:space="preserve">ost </w:t>
      </w:r>
      <w:r w:rsidR="008E33A0">
        <w:rPr>
          <w:u w:color="000000"/>
        </w:rPr>
        <w:t>b</w:t>
      </w:r>
      <w:r w:rsidR="004256C7">
        <w:rPr>
          <w:u w:color="000000"/>
        </w:rPr>
        <w:t>urden</w:t>
      </w:r>
      <w:bookmarkEnd w:id="44"/>
      <w:bookmarkEnd w:id="45"/>
    </w:p>
    <w:p w14:paraId="50DEA868" w14:textId="5C638B24" w:rsidR="009113D7" w:rsidRPr="002B3B69" w:rsidRDefault="009113D7" w:rsidP="008877A0">
      <w:pPr>
        <w:pStyle w:val="NormalSS"/>
        <w:rPr>
          <w:rFonts w:eastAsia="Calibri"/>
        </w:rPr>
      </w:pPr>
      <w:r w:rsidRPr="002B3B69">
        <w:rPr>
          <w:rFonts w:eastAsia="Calibri"/>
        </w:rPr>
        <w:t xml:space="preserve">Table </w:t>
      </w:r>
      <w:r w:rsidR="00B820AA">
        <w:rPr>
          <w:rFonts w:eastAsia="Calibri"/>
        </w:rPr>
        <w:t>2</w:t>
      </w:r>
      <w:r w:rsidR="00B820AA" w:rsidRPr="002B3B69">
        <w:rPr>
          <w:rFonts w:eastAsia="Calibri"/>
        </w:rPr>
        <w:t xml:space="preserve"> </w:t>
      </w:r>
      <w:r w:rsidRPr="002B3B69">
        <w:rPr>
          <w:rFonts w:eastAsia="Calibri"/>
        </w:rPr>
        <w:t>provides information about the time burden incurred by respondents.</w:t>
      </w:r>
      <w:r>
        <w:rPr>
          <w:rFonts w:eastAsia="Calibri"/>
        </w:rPr>
        <w:t xml:space="preserve"> As can be seen in the table, the time burden for postpartum Medicaid-enrolled women is 780 hours</w:t>
      </w:r>
      <w:r w:rsidR="0044397C">
        <w:rPr>
          <w:rFonts w:eastAsia="Calibri"/>
        </w:rPr>
        <w:t xml:space="preserve"> for the telephone survey</w:t>
      </w:r>
      <w:r>
        <w:rPr>
          <w:rFonts w:eastAsia="Calibri"/>
        </w:rPr>
        <w:t xml:space="preserve">.  </w:t>
      </w:r>
      <w:r w:rsidR="0044397C">
        <w:rPr>
          <w:rFonts w:eastAsia="Calibri"/>
        </w:rPr>
        <w:t xml:space="preserve">The time burden for Medicaid-enrolled </w:t>
      </w:r>
      <w:r w:rsidR="00D15D99">
        <w:rPr>
          <w:rFonts w:eastAsia="Calibri"/>
        </w:rPr>
        <w:t>pilot program participants and nonparticipants</w:t>
      </w:r>
      <w:r w:rsidR="0044397C">
        <w:rPr>
          <w:rFonts w:eastAsia="Calibri"/>
        </w:rPr>
        <w:t xml:space="preserve"> is </w:t>
      </w:r>
      <w:r w:rsidR="00FC7172">
        <w:rPr>
          <w:rFonts w:eastAsia="Calibri"/>
        </w:rPr>
        <w:t xml:space="preserve">163 </w:t>
      </w:r>
      <w:r w:rsidR="0044397C">
        <w:rPr>
          <w:rFonts w:eastAsia="Calibri"/>
        </w:rPr>
        <w:t>hours.</w:t>
      </w:r>
      <w:r w:rsidR="008B55D2">
        <w:rPr>
          <w:rFonts w:eastAsia="Calibri"/>
        </w:rPr>
        <w:t xml:space="preserve"> The time burden for key informants participating in semi-structured interviews is 38 hours.</w:t>
      </w:r>
    </w:p>
    <w:p w14:paraId="668D77C4" w14:textId="71DDD06C" w:rsidR="001D66CD" w:rsidRPr="001D66CD" w:rsidRDefault="00A73701" w:rsidP="008877A0">
      <w:pPr>
        <w:pStyle w:val="MarkforTableTitle"/>
        <w:rPr>
          <w:rFonts w:eastAsia="Calibri"/>
        </w:rPr>
      </w:pPr>
      <w:r>
        <w:rPr>
          <w:rFonts w:eastAsia="Calibri"/>
        </w:rPr>
        <w:t xml:space="preserve">Table </w:t>
      </w:r>
      <w:r w:rsidR="00B820AA">
        <w:rPr>
          <w:rFonts w:eastAsia="Calibri"/>
        </w:rPr>
        <w:t>2</w:t>
      </w:r>
      <w:r>
        <w:rPr>
          <w:rFonts w:eastAsia="Calibri"/>
        </w:rPr>
        <w:t xml:space="preserve">. </w:t>
      </w:r>
      <w:r w:rsidR="009113D7">
        <w:rPr>
          <w:rFonts w:eastAsia="Calibri"/>
        </w:rPr>
        <w:t xml:space="preserve">Time </w:t>
      </w:r>
      <w:r w:rsidR="008E33A0">
        <w:rPr>
          <w:rFonts w:eastAsia="Calibri"/>
        </w:rPr>
        <w:t>b</w:t>
      </w:r>
      <w:r w:rsidR="009113D7">
        <w:rPr>
          <w:rFonts w:eastAsia="Calibri"/>
        </w:rPr>
        <w:t xml:space="preserve">urden </w:t>
      </w:r>
      <w:r w:rsidR="008E33A0">
        <w:rPr>
          <w:rFonts w:eastAsia="Calibri"/>
        </w:rPr>
        <w:t>e</w:t>
      </w:r>
      <w:r w:rsidR="009113D7">
        <w:rPr>
          <w:rFonts w:eastAsia="Calibri"/>
        </w:rPr>
        <w:t>stimates</w:t>
      </w: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Time burden estimates"/>
      </w:tblPr>
      <w:tblGrid>
        <w:gridCol w:w="1439"/>
        <w:gridCol w:w="2191"/>
        <w:gridCol w:w="1586"/>
        <w:gridCol w:w="1533"/>
        <w:gridCol w:w="1490"/>
        <w:gridCol w:w="1121"/>
      </w:tblGrid>
      <w:tr w:rsidR="006D1343" w:rsidRPr="00534022" w14:paraId="7062CA17" w14:textId="77777777" w:rsidTr="009D385A">
        <w:trPr>
          <w:tblHeader/>
        </w:trPr>
        <w:tc>
          <w:tcPr>
            <w:tcW w:w="768" w:type="pct"/>
            <w:shd w:val="clear" w:color="auto" w:fill="6C6F70"/>
            <w:vAlign w:val="bottom"/>
          </w:tcPr>
          <w:p w14:paraId="5C389263" w14:textId="00F24147" w:rsidR="006D1343" w:rsidRPr="008C7D81" w:rsidRDefault="006D1343" w:rsidP="008877A0">
            <w:pPr>
              <w:pStyle w:val="TableHeaderLeft"/>
            </w:pPr>
            <w:r w:rsidRPr="008C7D81">
              <w:t>Instrument</w:t>
            </w:r>
            <w:r w:rsidR="009E1241">
              <w:t>*</w:t>
            </w:r>
          </w:p>
        </w:tc>
        <w:tc>
          <w:tcPr>
            <w:tcW w:w="1170" w:type="pct"/>
            <w:shd w:val="clear" w:color="auto" w:fill="6C6F70"/>
            <w:vAlign w:val="bottom"/>
          </w:tcPr>
          <w:p w14:paraId="0154C74C" w14:textId="70895DC3" w:rsidR="006D1343" w:rsidRPr="008C7D81" w:rsidRDefault="006D1343" w:rsidP="008877A0">
            <w:pPr>
              <w:pStyle w:val="TableHeaderCenter"/>
            </w:pPr>
            <w:r w:rsidRPr="008C7D81">
              <w:t xml:space="preserve">Person </w:t>
            </w:r>
            <w:r w:rsidR="008E33A0" w:rsidRPr="008C7D81">
              <w:t>i</w:t>
            </w:r>
            <w:r w:rsidRPr="008C7D81">
              <w:t xml:space="preserve">ncurring </w:t>
            </w:r>
            <w:r w:rsidR="008E33A0" w:rsidRPr="008C7D81">
              <w:t>b</w:t>
            </w:r>
            <w:r w:rsidRPr="008C7D81">
              <w:t xml:space="preserve">urden </w:t>
            </w:r>
          </w:p>
        </w:tc>
        <w:tc>
          <w:tcPr>
            <w:tcW w:w="847" w:type="pct"/>
            <w:shd w:val="clear" w:color="auto" w:fill="6C6F70"/>
            <w:vAlign w:val="bottom"/>
          </w:tcPr>
          <w:p w14:paraId="2C6E4E3B" w14:textId="77777777" w:rsidR="006D1343" w:rsidRPr="008C7D81" w:rsidRDefault="006D1343" w:rsidP="008877A0">
            <w:pPr>
              <w:pStyle w:val="TableHeaderCenter"/>
            </w:pPr>
            <w:r w:rsidRPr="008C7D81">
              <w:t>Number of respondents</w:t>
            </w:r>
          </w:p>
        </w:tc>
        <w:tc>
          <w:tcPr>
            <w:tcW w:w="819" w:type="pct"/>
            <w:shd w:val="clear" w:color="auto" w:fill="6C6F70"/>
            <w:vAlign w:val="bottom"/>
          </w:tcPr>
          <w:p w14:paraId="1EBBF9F0" w14:textId="77777777" w:rsidR="006D1343" w:rsidRPr="008C7D81" w:rsidRDefault="006D1343" w:rsidP="008877A0">
            <w:pPr>
              <w:pStyle w:val="TableHeaderCenter"/>
            </w:pPr>
            <w:r w:rsidRPr="008C7D81">
              <w:t>Responses per respondent</w:t>
            </w:r>
          </w:p>
        </w:tc>
        <w:tc>
          <w:tcPr>
            <w:tcW w:w="796" w:type="pct"/>
            <w:shd w:val="clear" w:color="auto" w:fill="6C6F70"/>
            <w:vAlign w:val="bottom"/>
          </w:tcPr>
          <w:p w14:paraId="2C703CA0" w14:textId="77777777" w:rsidR="006D1343" w:rsidRPr="008C7D81" w:rsidRDefault="006D1343" w:rsidP="008877A0">
            <w:pPr>
              <w:pStyle w:val="TableHeaderCenter"/>
            </w:pPr>
            <w:r w:rsidRPr="008C7D81">
              <w:t>Average burden per response (hours)</w:t>
            </w:r>
          </w:p>
        </w:tc>
        <w:tc>
          <w:tcPr>
            <w:tcW w:w="599" w:type="pct"/>
            <w:shd w:val="clear" w:color="auto" w:fill="6C6F70"/>
            <w:vAlign w:val="bottom"/>
          </w:tcPr>
          <w:p w14:paraId="68D28C71" w14:textId="77777777" w:rsidR="006D1343" w:rsidRPr="008C7D81" w:rsidRDefault="006D1343" w:rsidP="008877A0">
            <w:pPr>
              <w:pStyle w:val="TableHeaderCenter"/>
            </w:pPr>
            <w:r w:rsidRPr="008C7D81">
              <w:t>Total burden (hours)</w:t>
            </w:r>
          </w:p>
        </w:tc>
      </w:tr>
      <w:tr w:rsidR="006D1343" w:rsidRPr="00534022" w14:paraId="0F46905B" w14:textId="77777777" w:rsidTr="009D385A">
        <w:tc>
          <w:tcPr>
            <w:tcW w:w="768" w:type="pct"/>
          </w:tcPr>
          <w:p w14:paraId="18EFC041" w14:textId="77777777" w:rsidR="006D1343" w:rsidRDefault="006D1343" w:rsidP="008877A0">
            <w:pPr>
              <w:pStyle w:val="TableText"/>
              <w:spacing w:before="40" w:after="40"/>
            </w:pPr>
            <w:r>
              <w:t>Telephone survey</w:t>
            </w:r>
          </w:p>
        </w:tc>
        <w:tc>
          <w:tcPr>
            <w:tcW w:w="1170" w:type="pct"/>
          </w:tcPr>
          <w:p w14:paraId="40AF46AB" w14:textId="77777777" w:rsidR="006D1343" w:rsidRPr="00534022" w:rsidRDefault="006D1343" w:rsidP="008877A0">
            <w:pPr>
              <w:pStyle w:val="TableText"/>
              <w:spacing w:before="40" w:after="40"/>
            </w:pPr>
            <w:r>
              <w:t xml:space="preserve">Postpartum </w:t>
            </w:r>
            <w:r w:rsidRPr="00534022">
              <w:t xml:space="preserve">Medicaid-enrolled women </w:t>
            </w:r>
          </w:p>
        </w:tc>
        <w:tc>
          <w:tcPr>
            <w:tcW w:w="847" w:type="pct"/>
          </w:tcPr>
          <w:p w14:paraId="1F36EBC9" w14:textId="4B9B83F7" w:rsidR="006D1343" w:rsidRPr="00534022" w:rsidRDefault="006D1343" w:rsidP="006D6A70">
            <w:pPr>
              <w:pStyle w:val="TableText"/>
              <w:tabs>
                <w:tab w:val="decimal" w:pos="922"/>
              </w:tabs>
              <w:spacing w:before="40" w:after="40"/>
            </w:pPr>
            <w:r w:rsidRPr="00534022">
              <w:t>1</w:t>
            </w:r>
            <w:r w:rsidR="008877A0">
              <w:t>,</w:t>
            </w:r>
            <w:r w:rsidRPr="00534022">
              <w:t>560</w:t>
            </w:r>
          </w:p>
        </w:tc>
        <w:tc>
          <w:tcPr>
            <w:tcW w:w="819" w:type="pct"/>
          </w:tcPr>
          <w:p w14:paraId="19003372" w14:textId="77777777" w:rsidR="006D1343" w:rsidRPr="00534022" w:rsidRDefault="006D1343" w:rsidP="008877A0">
            <w:pPr>
              <w:pStyle w:val="TableText"/>
              <w:tabs>
                <w:tab w:val="decimal" w:pos="732"/>
              </w:tabs>
              <w:spacing w:before="40" w:after="40"/>
            </w:pPr>
            <w:r w:rsidRPr="00534022">
              <w:t>1</w:t>
            </w:r>
          </w:p>
        </w:tc>
        <w:tc>
          <w:tcPr>
            <w:tcW w:w="796" w:type="pct"/>
          </w:tcPr>
          <w:p w14:paraId="37C26372" w14:textId="77777777" w:rsidR="006D1343" w:rsidRPr="00534022" w:rsidRDefault="006D1343" w:rsidP="008877A0">
            <w:pPr>
              <w:pStyle w:val="TableText"/>
              <w:tabs>
                <w:tab w:val="decimal" w:pos="616"/>
              </w:tabs>
              <w:spacing w:before="40" w:after="40"/>
            </w:pPr>
            <w:r w:rsidRPr="00534022">
              <w:t>0.5</w:t>
            </w:r>
          </w:p>
        </w:tc>
        <w:tc>
          <w:tcPr>
            <w:tcW w:w="599" w:type="pct"/>
          </w:tcPr>
          <w:p w14:paraId="376DEDBF" w14:textId="77777777" w:rsidR="006D1343" w:rsidRPr="00534022" w:rsidRDefault="006D1343" w:rsidP="008877A0">
            <w:pPr>
              <w:pStyle w:val="TableText"/>
              <w:tabs>
                <w:tab w:val="decimal" w:pos="657"/>
              </w:tabs>
              <w:spacing w:before="40" w:after="40"/>
            </w:pPr>
            <w:r w:rsidRPr="00534022">
              <w:t>780</w:t>
            </w:r>
          </w:p>
        </w:tc>
      </w:tr>
      <w:tr w:rsidR="006D1343" w:rsidRPr="00534022" w14:paraId="74522F15" w14:textId="77777777" w:rsidTr="009D385A">
        <w:tc>
          <w:tcPr>
            <w:tcW w:w="768" w:type="pct"/>
          </w:tcPr>
          <w:p w14:paraId="211CAFFA" w14:textId="2D85D17E" w:rsidR="006D1343" w:rsidRPr="00534022" w:rsidRDefault="008C7D81" w:rsidP="008877A0">
            <w:pPr>
              <w:pStyle w:val="TableText"/>
              <w:spacing w:before="40" w:after="40"/>
            </w:pPr>
            <w:r>
              <w:t>Focus groups</w:t>
            </w:r>
          </w:p>
        </w:tc>
        <w:tc>
          <w:tcPr>
            <w:tcW w:w="1170" w:type="pct"/>
          </w:tcPr>
          <w:p w14:paraId="6497D725" w14:textId="28D93BE3" w:rsidR="006D1343" w:rsidRPr="00534022" w:rsidRDefault="006D1343" w:rsidP="00D15D99">
            <w:pPr>
              <w:pStyle w:val="TableText"/>
              <w:spacing w:before="40" w:after="40"/>
            </w:pPr>
            <w:r w:rsidRPr="00534022">
              <w:t xml:space="preserve">Medicaid-enrolled </w:t>
            </w:r>
            <w:r w:rsidR="00D15D99">
              <w:t>pilot participants and nonparticipants</w:t>
            </w:r>
            <w:r w:rsidRPr="00534022">
              <w:t xml:space="preserve"> </w:t>
            </w:r>
          </w:p>
        </w:tc>
        <w:tc>
          <w:tcPr>
            <w:tcW w:w="847" w:type="pct"/>
          </w:tcPr>
          <w:p w14:paraId="302591AA" w14:textId="0BDEEF13" w:rsidR="006D1343" w:rsidRPr="00534022" w:rsidRDefault="0043020B" w:rsidP="006D6A70">
            <w:pPr>
              <w:pStyle w:val="TableText"/>
              <w:tabs>
                <w:tab w:val="decimal" w:pos="922"/>
              </w:tabs>
              <w:spacing w:before="40" w:after="40"/>
            </w:pPr>
            <w:r>
              <w:t>96</w:t>
            </w:r>
          </w:p>
        </w:tc>
        <w:tc>
          <w:tcPr>
            <w:tcW w:w="819" w:type="pct"/>
          </w:tcPr>
          <w:p w14:paraId="2C51FDD3" w14:textId="77777777" w:rsidR="006D1343" w:rsidRPr="00534022" w:rsidRDefault="006D1343" w:rsidP="008877A0">
            <w:pPr>
              <w:pStyle w:val="TableText"/>
              <w:tabs>
                <w:tab w:val="decimal" w:pos="732"/>
              </w:tabs>
              <w:spacing w:before="40" w:after="40"/>
            </w:pPr>
            <w:r w:rsidRPr="00534022">
              <w:t>1</w:t>
            </w:r>
          </w:p>
        </w:tc>
        <w:tc>
          <w:tcPr>
            <w:tcW w:w="796" w:type="pct"/>
          </w:tcPr>
          <w:p w14:paraId="6083640A" w14:textId="77777777" w:rsidR="006D1343" w:rsidRPr="00534022" w:rsidRDefault="006D1343" w:rsidP="008877A0">
            <w:pPr>
              <w:pStyle w:val="TableText"/>
              <w:tabs>
                <w:tab w:val="decimal" w:pos="616"/>
              </w:tabs>
              <w:spacing w:before="40" w:after="40"/>
            </w:pPr>
            <w:r w:rsidRPr="00534022">
              <w:t>1.</w:t>
            </w:r>
            <w:r>
              <w:t>7</w:t>
            </w:r>
          </w:p>
        </w:tc>
        <w:tc>
          <w:tcPr>
            <w:tcW w:w="599" w:type="pct"/>
          </w:tcPr>
          <w:p w14:paraId="2BA1AC0D" w14:textId="6EE0399E" w:rsidR="006D1343" w:rsidRPr="00534022" w:rsidRDefault="0043020B" w:rsidP="008877A0">
            <w:pPr>
              <w:pStyle w:val="TableText"/>
              <w:tabs>
                <w:tab w:val="decimal" w:pos="657"/>
              </w:tabs>
              <w:spacing w:before="40" w:after="40"/>
            </w:pPr>
            <w:r>
              <w:t>163</w:t>
            </w:r>
          </w:p>
        </w:tc>
      </w:tr>
      <w:tr w:rsidR="006D1343" w:rsidRPr="00534022" w14:paraId="010F6D2E" w14:textId="77777777" w:rsidTr="009D385A">
        <w:tc>
          <w:tcPr>
            <w:tcW w:w="768" w:type="pct"/>
          </w:tcPr>
          <w:p w14:paraId="0FE539F5" w14:textId="77777777" w:rsidR="006D1343" w:rsidRPr="00534022" w:rsidRDefault="006D1343" w:rsidP="008877A0">
            <w:pPr>
              <w:pStyle w:val="TableText"/>
              <w:spacing w:before="40" w:after="40"/>
            </w:pPr>
            <w:r>
              <w:t>Semi-structured interviews</w:t>
            </w:r>
          </w:p>
        </w:tc>
        <w:tc>
          <w:tcPr>
            <w:tcW w:w="1170" w:type="pct"/>
          </w:tcPr>
          <w:p w14:paraId="67ED3342" w14:textId="2D389490" w:rsidR="006D1343" w:rsidRPr="00534022" w:rsidRDefault="006D1343" w:rsidP="0048092D">
            <w:pPr>
              <w:pStyle w:val="TableText"/>
              <w:spacing w:before="40" w:after="40"/>
            </w:pPr>
            <w:r>
              <w:t xml:space="preserve">Representatives from </w:t>
            </w:r>
            <w:proofErr w:type="spellStart"/>
            <w:r w:rsidR="007446B0">
              <w:t>CMCS</w:t>
            </w:r>
            <w:proofErr w:type="spellEnd"/>
            <w:r>
              <w:t xml:space="preserve">, </w:t>
            </w:r>
            <w:proofErr w:type="spellStart"/>
            <w:r w:rsidRPr="00534022">
              <w:t>Voxiva</w:t>
            </w:r>
            <w:proofErr w:type="spellEnd"/>
            <w:r>
              <w:t xml:space="preserve"> </w:t>
            </w:r>
            <w:r w:rsidRPr="00534022">
              <w:t xml:space="preserve">and </w:t>
            </w:r>
            <w:r w:rsidR="0048092D">
              <w:t>Zero to Three</w:t>
            </w:r>
            <w:r>
              <w:t xml:space="preserve">, </w:t>
            </w:r>
            <w:r w:rsidR="0044397C">
              <w:t xml:space="preserve">and </w:t>
            </w:r>
            <w:r w:rsidR="000B005F">
              <w:t>s</w:t>
            </w:r>
            <w:r w:rsidRPr="00534022">
              <w:t>tate Medicaid agencies</w:t>
            </w:r>
          </w:p>
        </w:tc>
        <w:tc>
          <w:tcPr>
            <w:tcW w:w="847" w:type="pct"/>
          </w:tcPr>
          <w:p w14:paraId="11D46137" w14:textId="77777777" w:rsidR="006D1343" w:rsidRPr="00534022" w:rsidRDefault="0044397C" w:rsidP="006D6A70">
            <w:pPr>
              <w:pStyle w:val="TableText"/>
              <w:tabs>
                <w:tab w:val="decimal" w:pos="922"/>
              </w:tabs>
              <w:spacing w:before="40" w:after="40"/>
            </w:pPr>
            <w:r>
              <w:t>7</w:t>
            </w:r>
          </w:p>
        </w:tc>
        <w:tc>
          <w:tcPr>
            <w:tcW w:w="819" w:type="pct"/>
          </w:tcPr>
          <w:p w14:paraId="1BA24696" w14:textId="700ADEEC" w:rsidR="006D1343" w:rsidRPr="00534022" w:rsidRDefault="0043020B" w:rsidP="008877A0">
            <w:pPr>
              <w:pStyle w:val="TableText"/>
              <w:tabs>
                <w:tab w:val="decimal" w:pos="732"/>
              </w:tabs>
              <w:spacing w:before="40" w:after="40"/>
            </w:pPr>
            <w:r>
              <w:t>1</w:t>
            </w:r>
          </w:p>
        </w:tc>
        <w:tc>
          <w:tcPr>
            <w:tcW w:w="796" w:type="pct"/>
          </w:tcPr>
          <w:p w14:paraId="3B7AA689" w14:textId="77777777" w:rsidR="006D1343" w:rsidRPr="00534022" w:rsidRDefault="006D1343" w:rsidP="008877A0">
            <w:pPr>
              <w:pStyle w:val="TableText"/>
              <w:tabs>
                <w:tab w:val="decimal" w:pos="616"/>
              </w:tabs>
              <w:spacing w:before="40" w:after="40"/>
            </w:pPr>
            <w:r w:rsidRPr="00534022">
              <w:t>1.0</w:t>
            </w:r>
          </w:p>
        </w:tc>
        <w:tc>
          <w:tcPr>
            <w:tcW w:w="599" w:type="pct"/>
          </w:tcPr>
          <w:p w14:paraId="6B539887" w14:textId="37F2F05D" w:rsidR="006D1343" w:rsidRPr="00534022" w:rsidRDefault="0043020B" w:rsidP="008877A0">
            <w:pPr>
              <w:pStyle w:val="TableText"/>
              <w:tabs>
                <w:tab w:val="decimal" w:pos="657"/>
              </w:tabs>
              <w:spacing w:before="40" w:after="40"/>
            </w:pPr>
            <w:r>
              <w:t>7</w:t>
            </w:r>
          </w:p>
        </w:tc>
      </w:tr>
      <w:tr w:rsidR="002B3B69" w:rsidRPr="00534022" w14:paraId="17999392" w14:textId="77777777" w:rsidTr="009D385A">
        <w:tc>
          <w:tcPr>
            <w:tcW w:w="768" w:type="pct"/>
          </w:tcPr>
          <w:p w14:paraId="47DC342F" w14:textId="77777777" w:rsidR="002B3B69" w:rsidRPr="00534022" w:rsidRDefault="002B3B69" w:rsidP="008877A0">
            <w:pPr>
              <w:pStyle w:val="TableText"/>
              <w:spacing w:before="40" w:after="40"/>
            </w:pPr>
            <w:r>
              <w:t>Semi-structured interviews</w:t>
            </w:r>
          </w:p>
        </w:tc>
        <w:tc>
          <w:tcPr>
            <w:tcW w:w="1170" w:type="pct"/>
          </w:tcPr>
          <w:p w14:paraId="65CACAEF" w14:textId="77777777" w:rsidR="002B3B69" w:rsidRPr="00534022" w:rsidRDefault="0044397C" w:rsidP="008877A0">
            <w:pPr>
              <w:pStyle w:val="TableText"/>
              <w:spacing w:before="40" w:after="40"/>
            </w:pPr>
            <w:r>
              <w:t>S</w:t>
            </w:r>
            <w:r w:rsidRPr="00534022">
              <w:t>tate and local outreach partners</w:t>
            </w:r>
          </w:p>
        </w:tc>
        <w:tc>
          <w:tcPr>
            <w:tcW w:w="847" w:type="pct"/>
          </w:tcPr>
          <w:p w14:paraId="2FD832A7" w14:textId="60BDF07D" w:rsidR="002B3B69" w:rsidRDefault="0043020B" w:rsidP="006D6A70">
            <w:pPr>
              <w:pStyle w:val="TableText"/>
              <w:tabs>
                <w:tab w:val="decimal" w:pos="922"/>
              </w:tabs>
              <w:spacing w:before="40" w:after="40"/>
            </w:pPr>
            <w:r>
              <w:t>8</w:t>
            </w:r>
          </w:p>
        </w:tc>
        <w:tc>
          <w:tcPr>
            <w:tcW w:w="819" w:type="pct"/>
          </w:tcPr>
          <w:p w14:paraId="141C05DD" w14:textId="77777777" w:rsidR="002B3B69" w:rsidRDefault="0044397C" w:rsidP="008877A0">
            <w:pPr>
              <w:pStyle w:val="TableText"/>
              <w:tabs>
                <w:tab w:val="decimal" w:pos="732"/>
              </w:tabs>
              <w:spacing w:before="40" w:after="40"/>
            </w:pPr>
            <w:r>
              <w:t>1</w:t>
            </w:r>
          </w:p>
        </w:tc>
        <w:tc>
          <w:tcPr>
            <w:tcW w:w="796" w:type="pct"/>
          </w:tcPr>
          <w:p w14:paraId="1219B6EB" w14:textId="77777777" w:rsidR="002B3B69" w:rsidRPr="00534022" w:rsidRDefault="0044397C" w:rsidP="008877A0">
            <w:pPr>
              <w:pStyle w:val="TableText"/>
              <w:tabs>
                <w:tab w:val="decimal" w:pos="616"/>
              </w:tabs>
              <w:spacing w:before="40" w:after="40"/>
            </w:pPr>
            <w:r>
              <w:t>1</w:t>
            </w:r>
          </w:p>
        </w:tc>
        <w:tc>
          <w:tcPr>
            <w:tcW w:w="599" w:type="pct"/>
          </w:tcPr>
          <w:p w14:paraId="7F8B21B8" w14:textId="777DE115" w:rsidR="002B3B69" w:rsidRPr="00534022" w:rsidRDefault="0043020B" w:rsidP="008877A0">
            <w:pPr>
              <w:pStyle w:val="TableText"/>
              <w:tabs>
                <w:tab w:val="decimal" w:pos="657"/>
              </w:tabs>
              <w:spacing w:before="40" w:after="40"/>
            </w:pPr>
            <w:r>
              <w:t>8</w:t>
            </w:r>
          </w:p>
        </w:tc>
      </w:tr>
      <w:tr w:rsidR="006D1343" w:rsidRPr="00534022" w14:paraId="6A48A0D2" w14:textId="77777777" w:rsidTr="009D385A">
        <w:tc>
          <w:tcPr>
            <w:tcW w:w="768" w:type="pct"/>
            <w:tcBorders>
              <w:bottom w:val="single" w:sz="4" w:space="0" w:color="auto"/>
            </w:tcBorders>
          </w:tcPr>
          <w:p w14:paraId="79BF0819" w14:textId="77777777" w:rsidR="006D1343" w:rsidRPr="00534022" w:rsidRDefault="006D1343" w:rsidP="008877A0">
            <w:pPr>
              <w:pStyle w:val="TableText"/>
              <w:spacing w:before="40" w:after="40"/>
            </w:pPr>
            <w:r>
              <w:t>Semi-structured interviews</w:t>
            </w:r>
          </w:p>
        </w:tc>
        <w:tc>
          <w:tcPr>
            <w:tcW w:w="1170" w:type="pct"/>
            <w:tcBorders>
              <w:bottom w:val="single" w:sz="4" w:space="0" w:color="auto"/>
            </w:tcBorders>
          </w:tcPr>
          <w:p w14:paraId="30A6B2E6" w14:textId="77777777" w:rsidR="006D1343" w:rsidRPr="00534022" w:rsidRDefault="006D1343" w:rsidP="008877A0">
            <w:pPr>
              <w:pStyle w:val="TableText"/>
              <w:spacing w:before="40" w:after="40"/>
            </w:pPr>
            <w:r w:rsidRPr="00534022">
              <w:t>Health care providers</w:t>
            </w:r>
          </w:p>
        </w:tc>
        <w:tc>
          <w:tcPr>
            <w:tcW w:w="847" w:type="pct"/>
            <w:tcBorders>
              <w:bottom w:val="single" w:sz="4" w:space="0" w:color="auto"/>
            </w:tcBorders>
          </w:tcPr>
          <w:p w14:paraId="0629F94D" w14:textId="1D8778A1" w:rsidR="006D1343" w:rsidRPr="006B5E1A" w:rsidRDefault="0043020B" w:rsidP="006D6A70">
            <w:pPr>
              <w:pStyle w:val="TableText"/>
              <w:tabs>
                <w:tab w:val="decimal" w:pos="922"/>
              </w:tabs>
              <w:spacing w:before="40" w:after="40"/>
            </w:pPr>
            <w:r>
              <w:t>8</w:t>
            </w:r>
          </w:p>
        </w:tc>
        <w:tc>
          <w:tcPr>
            <w:tcW w:w="819" w:type="pct"/>
            <w:tcBorders>
              <w:bottom w:val="single" w:sz="4" w:space="0" w:color="auto"/>
            </w:tcBorders>
          </w:tcPr>
          <w:p w14:paraId="134DA6FD" w14:textId="77777777" w:rsidR="006D1343" w:rsidRPr="006B5E1A" w:rsidRDefault="006D1343" w:rsidP="008877A0">
            <w:pPr>
              <w:pStyle w:val="TableText"/>
              <w:tabs>
                <w:tab w:val="decimal" w:pos="732"/>
              </w:tabs>
              <w:spacing w:before="40" w:after="40"/>
            </w:pPr>
            <w:r w:rsidRPr="006B5E1A">
              <w:t>1</w:t>
            </w:r>
          </w:p>
        </w:tc>
        <w:tc>
          <w:tcPr>
            <w:tcW w:w="796" w:type="pct"/>
            <w:tcBorders>
              <w:bottom w:val="single" w:sz="4" w:space="0" w:color="auto"/>
            </w:tcBorders>
          </w:tcPr>
          <w:p w14:paraId="250BEB3D" w14:textId="77777777" w:rsidR="006D1343" w:rsidRPr="006B5E1A" w:rsidRDefault="006D1343" w:rsidP="008877A0">
            <w:pPr>
              <w:pStyle w:val="TableText"/>
              <w:tabs>
                <w:tab w:val="decimal" w:pos="616"/>
              </w:tabs>
              <w:spacing w:before="40" w:after="40"/>
            </w:pPr>
            <w:r w:rsidRPr="006B5E1A">
              <w:t>0.5</w:t>
            </w:r>
          </w:p>
        </w:tc>
        <w:tc>
          <w:tcPr>
            <w:tcW w:w="599" w:type="pct"/>
            <w:tcBorders>
              <w:bottom w:val="single" w:sz="4" w:space="0" w:color="auto"/>
            </w:tcBorders>
          </w:tcPr>
          <w:p w14:paraId="554C46E5" w14:textId="13DA5FD6" w:rsidR="006D1343" w:rsidRPr="006B5E1A" w:rsidRDefault="0043020B" w:rsidP="008877A0">
            <w:pPr>
              <w:pStyle w:val="TableText"/>
              <w:tabs>
                <w:tab w:val="decimal" w:pos="657"/>
              </w:tabs>
              <w:spacing w:before="40" w:after="40"/>
            </w:pPr>
            <w:r>
              <w:t>4</w:t>
            </w:r>
          </w:p>
        </w:tc>
      </w:tr>
      <w:tr w:rsidR="006D1343" w14:paraId="4A1D4A95" w14:textId="77777777" w:rsidTr="009D385A">
        <w:tc>
          <w:tcPr>
            <w:tcW w:w="768" w:type="pct"/>
            <w:tcBorders>
              <w:top w:val="single" w:sz="4" w:space="0" w:color="auto"/>
              <w:bottom w:val="single" w:sz="4" w:space="0" w:color="auto"/>
            </w:tcBorders>
          </w:tcPr>
          <w:p w14:paraId="7F4E8C20" w14:textId="3863AB29" w:rsidR="006D1343" w:rsidRPr="00534022" w:rsidRDefault="000B005F" w:rsidP="009D385A">
            <w:pPr>
              <w:pStyle w:val="TableText"/>
              <w:spacing w:before="80" w:after="40"/>
            </w:pPr>
            <w:r>
              <w:t>Total</w:t>
            </w:r>
          </w:p>
        </w:tc>
        <w:tc>
          <w:tcPr>
            <w:tcW w:w="1170" w:type="pct"/>
            <w:tcBorders>
              <w:top w:val="single" w:sz="4" w:space="0" w:color="auto"/>
              <w:bottom w:val="single" w:sz="4" w:space="0" w:color="auto"/>
            </w:tcBorders>
          </w:tcPr>
          <w:p w14:paraId="0362A0CA" w14:textId="05FB32F0" w:rsidR="006D1343" w:rsidRPr="00534022" w:rsidRDefault="005F6FBD" w:rsidP="009D385A">
            <w:pPr>
              <w:pStyle w:val="TableText"/>
              <w:spacing w:before="80" w:after="40"/>
            </w:pPr>
            <w:r>
              <w:t xml:space="preserve"> </w:t>
            </w:r>
          </w:p>
        </w:tc>
        <w:tc>
          <w:tcPr>
            <w:tcW w:w="847" w:type="pct"/>
            <w:tcBorders>
              <w:top w:val="single" w:sz="4" w:space="0" w:color="auto"/>
              <w:bottom w:val="single" w:sz="4" w:space="0" w:color="auto"/>
            </w:tcBorders>
          </w:tcPr>
          <w:p w14:paraId="79BF0DEA" w14:textId="33DC7768" w:rsidR="006D1343" w:rsidRPr="00534022" w:rsidRDefault="00347371" w:rsidP="009D385A">
            <w:pPr>
              <w:pStyle w:val="TableText"/>
              <w:tabs>
                <w:tab w:val="decimal" w:pos="922"/>
              </w:tabs>
              <w:spacing w:before="80" w:after="40"/>
            </w:pPr>
            <w:r>
              <w:t>1,679</w:t>
            </w:r>
          </w:p>
        </w:tc>
        <w:tc>
          <w:tcPr>
            <w:tcW w:w="819" w:type="pct"/>
            <w:tcBorders>
              <w:top w:val="single" w:sz="4" w:space="0" w:color="auto"/>
              <w:bottom w:val="single" w:sz="4" w:space="0" w:color="auto"/>
            </w:tcBorders>
          </w:tcPr>
          <w:p w14:paraId="3185D47A" w14:textId="10DDD1F8" w:rsidR="006D1343" w:rsidRPr="00534022" w:rsidRDefault="005F6FBD" w:rsidP="009D385A">
            <w:pPr>
              <w:pStyle w:val="TableText"/>
              <w:tabs>
                <w:tab w:val="decimal" w:pos="732"/>
              </w:tabs>
              <w:spacing w:before="80" w:after="40"/>
            </w:pPr>
            <w:r>
              <w:t xml:space="preserve"> </w:t>
            </w:r>
          </w:p>
        </w:tc>
        <w:tc>
          <w:tcPr>
            <w:tcW w:w="796" w:type="pct"/>
            <w:tcBorders>
              <w:top w:val="single" w:sz="4" w:space="0" w:color="auto"/>
              <w:bottom w:val="single" w:sz="4" w:space="0" w:color="auto"/>
            </w:tcBorders>
          </w:tcPr>
          <w:p w14:paraId="76351992" w14:textId="28CCD416" w:rsidR="006D1343" w:rsidRPr="00534022" w:rsidRDefault="005F6FBD" w:rsidP="009D385A">
            <w:pPr>
              <w:pStyle w:val="TableText"/>
              <w:tabs>
                <w:tab w:val="decimal" w:pos="616"/>
              </w:tabs>
              <w:spacing w:before="80" w:after="40"/>
            </w:pPr>
            <w:r>
              <w:t xml:space="preserve"> </w:t>
            </w:r>
          </w:p>
        </w:tc>
        <w:tc>
          <w:tcPr>
            <w:tcW w:w="599" w:type="pct"/>
            <w:tcBorders>
              <w:top w:val="single" w:sz="4" w:space="0" w:color="auto"/>
              <w:bottom w:val="single" w:sz="4" w:space="0" w:color="auto"/>
            </w:tcBorders>
          </w:tcPr>
          <w:p w14:paraId="6E22DA4A" w14:textId="2BDD94E5" w:rsidR="006D1343" w:rsidRPr="00F07E5A" w:rsidRDefault="0043020B" w:rsidP="009D385A">
            <w:pPr>
              <w:pStyle w:val="TableText"/>
              <w:tabs>
                <w:tab w:val="decimal" w:pos="657"/>
              </w:tabs>
              <w:spacing w:before="80" w:after="40"/>
            </w:pPr>
            <w:r>
              <w:t>962</w:t>
            </w:r>
          </w:p>
        </w:tc>
      </w:tr>
    </w:tbl>
    <w:p w14:paraId="0262B4A4" w14:textId="0656DC28" w:rsidR="009E1241" w:rsidRPr="009E1241" w:rsidRDefault="009E1241">
      <w:pPr>
        <w:widowControl w:val="0"/>
        <w:spacing w:line="240" w:lineRule="auto"/>
        <w:ind w:firstLine="0"/>
        <w:rPr>
          <w:sz w:val="18"/>
          <w:szCs w:val="18"/>
        </w:rPr>
      </w:pPr>
      <w:r w:rsidRPr="009E1241">
        <w:rPr>
          <w:sz w:val="18"/>
          <w:szCs w:val="18"/>
        </w:rPr>
        <w:t xml:space="preserve">*The three primary data sources for this information collection request include: a postpartum </w:t>
      </w:r>
      <w:r w:rsidRPr="009E1241">
        <w:rPr>
          <w:b/>
          <w:sz w:val="18"/>
          <w:szCs w:val="18"/>
        </w:rPr>
        <w:t>telephone survey</w:t>
      </w:r>
      <w:r w:rsidRPr="009E1241">
        <w:rPr>
          <w:sz w:val="18"/>
          <w:szCs w:val="18"/>
        </w:rPr>
        <w:t xml:space="preserve"> of Medicaid-enrolled pilot program participants and nonparticipants in the four pilot states (see </w:t>
      </w:r>
      <w:r w:rsidRPr="009E1241">
        <w:rPr>
          <w:b/>
          <w:sz w:val="18"/>
          <w:szCs w:val="18"/>
        </w:rPr>
        <w:t>Appendix A</w:t>
      </w:r>
      <w:r w:rsidRPr="009E1241">
        <w:rPr>
          <w:sz w:val="18"/>
          <w:szCs w:val="18"/>
        </w:rPr>
        <w:t xml:space="preserve"> for all materials related to the telephone survey); key informant </w:t>
      </w:r>
      <w:r w:rsidRPr="009E1241">
        <w:rPr>
          <w:b/>
          <w:sz w:val="18"/>
          <w:szCs w:val="18"/>
        </w:rPr>
        <w:t>interviews</w:t>
      </w:r>
      <w:r w:rsidRPr="009E1241">
        <w:rPr>
          <w:sz w:val="18"/>
          <w:szCs w:val="18"/>
        </w:rPr>
        <w:t xml:space="preserve"> with </w:t>
      </w:r>
      <w:proofErr w:type="spellStart"/>
      <w:r w:rsidRPr="009E1241">
        <w:rPr>
          <w:sz w:val="18"/>
          <w:szCs w:val="18"/>
        </w:rPr>
        <w:t>CMCS</w:t>
      </w:r>
      <w:proofErr w:type="spellEnd"/>
      <w:r w:rsidRPr="009E1241">
        <w:rPr>
          <w:sz w:val="18"/>
          <w:szCs w:val="18"/>
        </w:rPr>
        <w:t xml:space="preserve">, </w:t>
      </w:r>
      <w:proofErr w:type="spellStart"/>
      <w:r w:rsidRPr="009E1241">
        <w:rPr>
          <w:sz w:val="18"/>
          <w:szCs w:val="18"/>
        </w:rPr>
        <w:t>Voxiva</w:t>
      </w:r>
      <w:proofErr w:type="spellEnd"/>
      <w:r w:rsidRPr="009E1241">
        <w:rPr>
          <w:sz w:val="18"/>
          <w:szCs w:val="18"/>
        </w:rPr>
        <w:t xml:space="preserve">, Zero to Three, state Medicaid agencies, health care providers, and outreach partners (see </w:t>
      </w:r>
      <w:r w:rsidRPr="009E1241">
        <w:rPr>
          <w:b/>
          <w:sz w:val="18"/>
          <w:szCs w:val="18"/>
        </w:rPr>
        <w:t>Appendix B</w:t>
      </w:r>
      <w:r w:rsidRPr="009E1241">
        <w:rPr>
          <w:sz w:val="18"/>
          <w:szCs w:val="18"/>
        </w:rPr>
        <w:t xml:space="preserve"> for all materials related to key informant interviews); and </w:t>
      </w:r>
      <w:r w:rsidRPr="009E1241">
        <w:rPr>
          <w:b/>
          <w:sz w:val="18"/>
          <w:szCs w:val="18"/>
        </w:rPr>
        <w:t>focus groups</w:t>
      </w:r>
      <w:r w:rsidRPr="009E1241">
        <w:rPr>
          <w:sz w:val="18"/>
          <w:szCs w:val="18"/>
        </w:rPr>
        <w:t xml:space="preserve"> with Medicaid-enrolled pilot participants and nonparticipants (see </w:t>
      </w:r>
      <w:r w:rsidRPr="009E1241">
        <w:rPr>
          <w:b/>
          <w:sz w:val="18"/>
          <w:szCs w:val="18"/>
        </w:rPr>
        <w:t>Appendix C</w:t>
      </w:r>
      <w:r w:rsidRPr="009E1241">
        <w:rPr>
          <w:sz w:val="18"/>
          <w:szCs w:val="18"/>
        </w:rPr>
        <w:t xml:space="preserve"> for all materials related to focus groups).</w:t>
      </w:r>
    </w:p>
    <w:p w14:paraId="52CAD9FC" w14:textId="77777777" w:rsidR="009E1241" w:rsidRDefault="009E1241">
      <w:pPr>
        <w:widowControl w:val="0"/>
        <w:spacing w:line="240" w:lineRule="auto"/>
        <w:ind w:firstLine="0"/>
      </w:pPr>
    </w:p>
    <w:p w14:paraId="740F378D" w14:textId="77777777" w:rsidR="00A662DE" w:rsidRDefault="00A662DE">
      <w:pPr>
        <w:widowControl w:val="0"/>
        <w:spacing w:line="240" w:lineRule="auto"/>
        <w:ind w:firstLine="0"/>
        <w:rPr>
          <w:b/>
        </w:rPr>
      </w:pPr>
      <w:r>
        <w:br w:type="page"/>
      </w:r>
    </w:p>
    <w:p w14:paraId="1F3786FA" w14:textId="386C940A" w:rsidR="00AD44F5" w:rsidRDefault="00F04338" w:rsidP="008C7D81">
      <w:pPr>
        <w:pStyle w:val="H4Number"/>
      </w:pPr>
      <w:bookmarkStart w:id="46" w:name="_Toc409097442"/>
      <w:bookmarkStart w:id="47" w:name="_Toc426101444"/>
      <w:r>
        <w:t xml:space="preserve">Estimates of other </w:t>
      </w:r>
      <w:r w:rsidR="000B005F">
        <w:t>t</w:t>
      </w:r>
      <w:r>
        <w:t xml:space="preserve">otal </w:t>
      </w:r>
      <w:r w:rsidR="000B005F">
        <w:t>c</w:t>
      </w:r>
      <w:r>
        <w:t xml:space="preserve">ost </w:t>
      </w:r>
      <w:r w:rsidR="000B005F">
        <w:t>b</w:t>
      </w:r>
      <w:r>
        <w:t xml:space="preserve">urden to </w:t>
      </w:r>
      <w:r w:rsidR="000B005F">
        <w:t>r</w:t>
      </w:r>
      <w:r>
        <w:t xml:space="preserve">espondents or </w:t>
      </w:r>
      <w:r w:rsidR="007446B0">
        <w:t>record keepers</w:t>
      </w:r>
      <w:bookmarkEnd w:id="46"/>
      <w:bookmarkEnd w:id="47"/>
    </w:p>
    <w:p w14:paraId="08130942" w14:textId="69B3F26B" w:rsidR="00A73701" w:rsidRDefault="00A73701" w:rsidP="00A662DE">
      <w:pPr>
        <w:pStyle w:val="NormalSS"/>
        <w:rPr>
          <w:b/>
          <w:i/>
        </w:rPr>
      </w:pPr>
      <w:r w:rsidRPr="002B3B69">
        <w:rPr>
          <w:rFonts w:eastAsia="Calibri"/>
        </w:rPr>
        <w:t xml:space="preserve">Table </w:t>
      </w:r>
      <w:r w:rsidR="00B820AA">
        <w:rPr>
          <w:rFonts w:eastAsia="Calibri"/>
        </w:rPr>
        <w:t>3</w:t>
      </w:r>
      <w:r w:rsidR="00B820AA" w:rsidRPr="002B3B69">
        <w:rPr>
          <w:rFonts w:eastAsia="Calibri"/>
        </w:rPr>
        <w:t xml:space="preserve"> </w:t>
      </w:r>
      <w:r w:rsidRPr="002B3B69">
        <w:rPr>
          <w:rFonts w:eastAsia="Calibri"/>
        </w:rPr>
        <w:t xml:space="preserve">provides information about the </w:t>
      </w:r>
      <w:r>
        <w:rPr>
          <w:rFonts w:eastAsia="Calibri"/>
        </w:rPr>
        <w:t>cost</w:t>
      </w:r>
      <w:r w:rsidRPr="002B3B69">
        <w:rPr>
          <w:rFonts w:eastAsia="Calibri"/>
        </w:rPr>
        <w:t xml:space="preserve"> burden incurred by respondents.</w:t>
      </w:r>
    </w:p>
    <w:p w14:paraId="6DB6D7DE" w14:textId="7422F796" w:rsidR="000460CA" w:rsidRPr="001D66CD" w:rsidRDefault="000460CA" w:rsidP="00A662DE">
      <w:pPr>
        <w:pStyle w:val="NormalSS"/>
        <w:rPr>
          <w:b/>
          <w:i/>
        </w:rPr>
      </w:pPr>
      <w:r w:rsidRPr="001D02C3">
        <w:rPr>
          <w:b/>
          <w:i/>
        </w:rPr>
        <w:t>Medicaid postpartum telephone survey</w:t>
      </w:r>
      <w:r>
        <w:rPr>
          <w:b/>
          <w:i/>
        </w:rPr>
        <w:t>.</w:t>
      </w:r>
      <w:r w:rsidRPr="001D66CD">
        <w:rPr>
          <w:b/>
          <w:i/>
        </w:rPr>
        <w:t xml:space="preserve"> </w:t>
      </w:r>
      <w:r w:rsidR="005353C2">
        <w:t>T</w:t>
      </w:r>
      <w:r w:rsidRPr="001D66CD">
        <w:t xml:space="preserve">he average (median) wage, based on the </w:t>
      </w:r>
      <w:r w:rsidR="000B005F">
        <w:t xml:space="preserve">U.S. </w:t>
      </w:r>
      <w:r w:rsidRPr="001D66CD">
        <w:t xml:space="preserve">Department of Labor, Bureau of Labor Statistics, Occupational Employment Statistics, All Occupations, </w:t>
      </w:r>
      <w:r w:rsidR="005353C2">
        <w:t xml:space="preserve">is estimated </w:t>
      </w:r>
      <w:r w:rsidRPr="001D66CD">
        <w:t>to be $16.87 per hour</w:t>
      </w:r>
      <w:r w:rsidR="0044397C">
        <w:t xml:space="preserve"> for these respondents</w:t>
      </w:r>
      <w:r w:rsidRPr="001D66CD">
        <w:t xml:space="preserve">. </w:t>
      </w:r>
      <w:r>
        <w:t xml:space="preserve">The total cost burden for these respondents is </w:t>
      </w:r>
      <w:r>
        <w:rPr>
          <w:spacing w:val="1"/>
        </w:rPr>
        <w:t>$13,158.60</w:t>
      </w:r>
      <w:r>
        <w:t>.</w:t>
      </w:r>
    </w:p>
    <w:p w14:paraId="613338FA" w14:textId="02B3CDE6" w:rsidR="000460CA" w:rsidRPr="004256C7" w:rsidRDefault="000460CA" w:rsidP="00A662DE">
      <w:pPr>
        <w:pStyle w:val="NormalSS"/>
      </w:pPr>
      <w:r>
        <w:rPr>
          <w:b/>
          <w:bCs/>
          <w:i/>
        </w:rPr>
        <w:t>Key informant interviews</w:t>
      </w:r>
      <w:r>
        <w:rPr>
          <w:b/>
          <w:i/>
        </w:rPr>
        <w:t xml:space="preserve">. </w:t>
      </w:r>
      <w:r w:rsidR="005353C2">
        <w:t>The</w:t>
      </w:r>
      <w:r w:rsidRPr="001D66CD">
        <w:t xml:space="preserve"> aver</w:t>
      </w:r>
      <w:r>
        <w:t xml:space="preserve">age (median) wage, </w:t>
      </w:r>
      <w:r w:rsidRPr="004256C7">
        <w:t xml:space="preserve">based on the </w:t>
      </w:r>
      <w:r w:rsidR="000B005F">
        <w:t xml:space="preserve">U.S. </w:t>
      </w:r>
      <w:r w:rsidRPr="004256C7">
        <w:t>Department of Labor,</w:t>
      </w:r>
      <w:r>
        <w:t xml:space="preserve"> Bureau of Labor Statistics, </w:t>
      </w:r>
      <w:r w:rsidRPr="004256C7">
        <w:t>Occupational Employment Statistics, All O</w:t>
      </w:r>
      <w:r>
        <w:t xml:space="preserve">ccupations, is estimated to be </w:t>
      </w:r>
      <w:r w:rsidRPr="004256C7">
        <w:t>$78.61 pe</w:t>
      </w:r>
      <w:r>
        <w:t>r hour for national and state-level key informants and health care providers</w:t>
      </w:r>
      <w:r w:rsidR="008B55D2">
        <w:t xml:space="preserve"> who will participate in semi-structured interviews</w:t>
      </w:r>
      <w:r w:rsidRPr="004256C7">
        <w:t>.</w:t>
      </w:r>
      <w:r>
        <w:t xml:space="preserve"> The total cost burden for these respondents is </w:t>
      </w:r>
      <w:r w:rsidRPr="008B55D2">
        <w:rPr>
          <w:spacing w:val="1"/>
        </w:rPr>
        <w:t>$1,8</w:t>
      </w:r>
      <w:r w:rsidR="008B55D2" w:rsidRPr="008B55D2">
        <w:rPr>
          <w:spacing w:val="1"/>
        </w:rPr>
        <w:t>86.64</w:t>
      </w:r>
      <w:r w:rsidRPr="008B55D2">
        <w:t>.</w:t>
      </w:r>
    </w:p>
    <w:p w14:paraId="5E57C781" w14:textId="3F5D4AD1" w:rsidR="000460CA" w:rsidRDefault="000460CA" w:rsidP="00A662DE">
      <w:pPr>
        <w:pStyle w:val="NormalSS"/>
      </w:pPr>
      <w:r w:rsidRPr="00A37E53">
        <w:rPr>
          <w:b/>
          <w:bCs/>
          <w:i/>
        </w:rPr>
        <w:t xml:space="preserve">Focus </w:t>
      </w:r>
      <w:r>
        <w:rPr>
          <w:b/>
          <w:bCs/>
          <w:i/>
        </w:rPr>
        <w:t>groups</w:t>
      </w:r>
      <w:r>
        <w:rPr>
          <w:b/>
          <w:i/>
        </w:rPr>
        <w:t>.</w:t>
      </w:r>
      <w:r w:rsidRPr="004256C7">
        <w:rPr>
          <w:b/>
          <w:bCs/>
        </w:rPr>
        <w:t xml:space="preserve"> </w:t>
      </w:r>
      <w:r w:rsidR="005353C2">
        <w:t>The</w:t>
      </w:r>
      <w:r w:rsidRPr="001D66CD">
        <w:t xml:space="preserve"> aver</w:t>
      </w:r>
      <w:r>
        <w:t xml:space="preserve">age (median) wage, </w:t>
      </w:r>
      <w:r w:rsidRPr="004256C7">
        <w:t xml:space="preserve">based on the </w:t>
      </w:r>
      <w:r w:rsidR="000B005F">
        <w:t xml:space="preserve">U.S. </w:t>
      </w:r>
      <w:r w:rsidRPr="004256C7">
        <w:t>Department of Labor,</w:t>
      </w:r>
      <w:r>
        <w:t xml:space="preserve"> Bureau of Labor Statistics, </w:t>
      </w:r>
      <w:r w:rsidRPr="004256C7">
        <w:t>Occupational Employment Statistics, All O</w:t>
      </w:r>
      <w:r>
        <w:t>ccupations, is estimated to be $16.8</w:t>
      </w:r>
      <w:r w:rsidRPr="004256C7">
        <w:t>7 per hour</w:t>
      </w:r>
      <w:r w:rsidR="008B55D2">
        <w:t xml:space="preserve"> for these respondents</w:t>
      </w:r>
      <w:r w:rsidRPr="004256C7">
        <w:t>.</w:t>
      </w:r>
      <w:r>
        <w:t xml:space="preserve"> The total cost burden for these respondents is </w:t>
      </w:r>
      <w:r>
        <w:rPr>
          <w:spacing w:val="1"/>
        </w:rPr>
        <w:t>$5,499.62</w:t>
      </w:r>
      <w:r>
        <w:t>.</w:t>
      </w:r>
    </w:p>
    <w:p w14:paraId="1B0B2C8A" w14:textId="3767EDFB" w:rsidR="000460CA" w:rsidRPr="001D66CD" w:rsidRDefault="00A73701" w:rsidP="00A662DE">
      <w:pPr>
        <w:pStyle w:val="MarkforTableTitle"/>
        <w:rPr>
          <w:rFonts w:eastAsia="Calibri"/>
        </w:rPr>
      </w:pPr>
      <w:r>
        <w:rPr>
          <w:rFonts w:eastAsia="Calibri"/>
        </w:rPr>
        <w:t xml:space="preserve">Table </w:t>
      </w:r>
      <w:r w:rsidR="00B820AA">
        <w:rPr>
          <w:rFonts w:eastAsia="Calibri"/>
        </w:rPr>
        <w:t>3</w:t>
      </w:r>
      <w:r>
        <w:rPr>
          <w:rFonts w:eastAsia="Calibri"/>
        </w:rPr>
        <w:t xml:space="preserve">. </w:t>
      </w:r>
      <w:r w:rsidR="000460CA" w:rsidRPr="001D66CD">
        <w:rPr>
          <w:rFonts w:eastAsia="Calibri"/>
        </w:rPr>
        <w:t xml:space="preserve">Estimated </w:t>
      </w:r>
      <w:r w:rsidR="000B005F">
        <w:rPr>
          <w:rFonts w:eastAsia="Calibri"/>
        </w:rPr>
        <w:t>c</w:t>
      </w:r>
      <w:r w:rsidR="000460CA">
        <w:rPr>
          <w:rFonts w:eastAsia="Calibri"/>
        </w:rPr>
        <w:t xml:space="preserve">ost to </w:t>
      </w:r>
      <w:r w:rsidR="000B005F">
        <w:rPr>
          <w:rFonts w:eastAsia="Calibri"/>
        </w:rPr>
        <w:t>r</w:t>
      </w:r>
      <w:r w:rsidR="000460CA">
        <w:rPr>
          <w:rFonts w:eastAsia="Calibri"/>
        </w:rPr>
        <w:t>espondents</w:t>
      </w:r>
    </w:p>
    <w:tbl>
      <w:tblPr>
        <w:tblStyle w:val="TableGrid"/>
        <w:tblW w:w="930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stimated cost to respondents"/>
      </w:tblPr>
      <w:tblGrid>
        <w:gridCol w:w="2425"/>
        <w:gridCol w:w="2831"/>
        <w:gridCol w:w="1260"/>
        <w:gridCol w:w="1170"/>
        <w:gridCol w:w="1620"/>
      </w:tblGrid>
      <w:tr w:rsidR="0028255D" w:rsidRPr="00534022" w14:paraId="25E39629" w14:textId="77777777" w:rsidTr="00A274DB">
        <w:trPr>
          <w:tblHeader/>
        </w:trPr>
        <w:tc>
          <w:tcPr>
            <w:tcW w:w="2425" w:type="dxa"/>
            <w:shd w:val="clear" w:color="auto" w:fill="6C6F70"/>
            <w:vAlign w:val="bottom"/>
          </w:tcPr>
          <w:p w14:paraId="16B87271" w14:textId="77777777" w:rsidR="0028255D" w:rsidRPr="008C7D81" w:rsidRDefault="0028255D" w:rsidP="00A662DE">
            <w:pPr>
              <w:pStyle w:val="TableHeaderLeft"/>
            </w:pPr>
            <w:r w:rsidRPr="008C7D81">
              <w:t>Instrument</w:t>
            </w:r>
          </w:p>
        </w:tc>
        <w:tc>
          <w:tcPr>
            <w:tcW w:w="2831" w:type="dxa"/>
            <w:shd w:val="clear" w:color="auto" w:fill="6C6F70"/>
            <w:vAlign w:val="bottom"/>
          </w:tcPr>
          <w:p w14:paraId="3D0B1764" w14:textId="77777777" w:rsidR="0028255D" w:rsidRPr="008C7D81" w:rsidRDefault="0028255D" w:rsidP="00A662DE">
            <w:pPr>
              <w:pStyle w:val="TableHeaderCenter"/>
            </w:pPr>
            <w:r w:rsidRPr="008C7D81">
              <w:t>Respondent type</w:t>
            </w:r>
          </w:p>
        </w:tc>
        <w:tc>
          <w:tcPr>
            <w:tcW w:w="1260" w:type="dxa"/>
            <w:shd w:val="clear" w:color="auto" w:fill="6C6F70"/>
            <w:vAlign w:val="bottom"/>
          </w:tcPr>
          <w:p w14:paraId="6D8D35F6" w14:textId="77777777" w:rsidR="0028255D" w:rsidRPr="008C7D81" w:rsidRDefault="0028255D" w:rsidP="00A662DE">
            <w:pPr>
              <w:pStyle w:val="TableHeaderCenter"/>
            </w:pPr>
            <w:r w:rsidRPr="008C7D81">
              <w:t>Total burden hours</w:t>
            </w:r>
          </w:p>
        </w:tc>
        <w:tc>
          <w:tcPr>
            <w:tcW w:w="1170" w:type="dxa"/>
            <w:shd w:val="clear" w:color="auto" w:fill="6C6F70"/>
            <w:vAlign w:val="bottom"/>
          </w:tcPr>
          <w:p w14:paraId="5D5C0804" w14:textId="77777777" w:rsidR="0028255D" w:rsidRPr="008C7D81" w:rsidRDefault="0028255D" w:rsidP="00A662DE">
            <w:pPr>
              <w:pStyle w:val="TableHeaderCenter"/>
            </w:pPr>
            <w:r w:rsidRPr="008C7D81">
              <w:t>Hourly wage rate</w:t>
            </w:r>
          </w:p>
        </w:tc>
        <w:tc>
          <w:tcPr>
            <w:tcW w:w="1620" w:type="dxa"/>
            <w:shd w:val="clear" w:color="auto" w:fill="6C6F70"/>
            <w:vAlign w:val="bottom"/>
          </w:tcPr>
          <w:p w14:paraId="2EAC5FCA" w14:textId="77777777" w:rsidR="0028255D" w:rsidRPr="008C7D81" w:rsidRDefault="0028255D" w:rsidP="00A662DE">
            <w:pPr>
              <w:pStyle w:val="TableHeaderCenter"/>
            </w:pPr>
            <w:r w:rsidRPr="008C7D81">
              <w:t>Total respondent costs</w:t>
            </w:r>
          </w:p>
        </w:tc>
      </w:tr>
      <w:tr w:rsidR="0028255D" w:rsidRPr="00534022" w14:paraId="0CB2C0D7" w14:textId="77777777" w:rsidTr="00A274DB">
        <w:tc>
          <w:tcPr>
            <w:tcW w:w="2425" w:type="dxa"/>
          </w:tcPr>
          <w:p w14:paraId="27046B34" w14:textId="3C3FD475" w:rsidR="0028255D" w:rsidRPr="00534022" w:rsidRDefault="009D04DE" w:rsidP="00A662DE">
            <w:pPr>
              <w:pStyle w:val="TableText"/>
              <w:spacing w:before="40" w:after="40"/>
            </w:pPr>
            <w:r>
              <w:t>Telephone survey</w:t>
            </w:r>
          </w:p>
        </w:tc>
        <w:tc>
          <w:tcPr>
            <w:tcW w:w="2831" w:type="dxa"/>
          </w:tcPr>
          <w:p w14:paraId="6F91683A" w14:textId="77777777" w:rsidR="0028255D" w:rsidRPr="00534022" w:rsidRDefault="0028255D" w:rsidP="00A662DE">
            <w:pPr>
              <w:pStyle w:val="TableText"/>
              <w:spacing w:before="40" w:after="40"/>
            </w:pPr>
            <w:r w:rsidRPr="00534022">
              <w:t xml:space="preserve">Medicaid-enrolled women </w:t>
            </w:r>
          </w:p>
        </w:tc>
        <w:tc>
          <w:tcPr>
            <w:tcW w:w="1260" w:type="dxa"/>
          </w:tcPr>
          <w:p w14:paraId="38587E12" w14:textId="77777777" w:rsidR="0028255D" w:rsidRPr="00534022" w:rsidRDefault="0028255D" w:rsidP="003079DC">
            <w:pPr>
              <w:pStyle w:val="TableText"/>
              <w:tabs>
                <w:tab w:val="decimal" w:pos="841"/>
              </w:tabs>
              <w:spacing w:before="40" w:after="40"/>
            </w:pPr>
            <w:r w:rsidRPr="00534022">
              <w:t>780</w:t>
            </w:r>
          </w:p>
        </w:tc>
        <w:tc>
          <w:tcPr>
            <w:tcW w:w="1170" w:type="dxa"/>
          </w:tcPr>
          <w:p w14:paraId="35E93BE7" w14:textId="77777777" w:rsidR="0028255D" w:rsidRPr="00534022" w:rsidRDefault="0028255D" w:rsidP="003079DC">
            <w:pPr>
              <w:pStyle w:val="TableText"/>
              <w:tabs>
                <w:tab w:val="decimal" w:pos="571"/>
              </w:tabs>
              <w:spacing w:before="40" w:after="40"/>
            </w:pPr>
            <w:r>
              <w:t>$</w:t>
            </w:r>
            <w:r w:rsidRPr="00534022">
              <w:t>1</w:t>
            </w:r>
            <w:r>
              <w:t>6.87</w:t>
            </w:r>
          </w:p>
        </w:tc>
        <w:tc>
          <w:tcPr>
            <w:tcW w:w="1620" w:type="dxa"/>
          </w:tcPr>
          <w:p w14:paraId="4FABCBB5" w14:textId="77777777" w:rsidR="0028255D" w:rsidRPr="00534022" w:rsidRDefault="0028255D" w:rsidP="003079DC">
            <w:pPr>
              <w:pStyle w:val="TableText"/>
              <w:tabs>
                <w:tab w:val="decimal" w:pos="931"/>
              </w:tabs>
              <w:spacing w:before="40" w:after="40"/>
            </w:pPr>
            <w:r>
              <w:t>$13,158.60</w:t>
            </w:r>
          </w:p>
        </w:tc>
      </w:tr>
      <w:tr w:rsidR="0028255D" w:rsidRPr="00534022" w14:paraId="09252015" w14:textId="77777777" w:rsidTr="00A274DB">
        <w:tc>
          <w:tcPr>
            <w:tcW w:w="2425" w:type="dxa"/>
          </w:tcPr>
          <w:p w14:paraId="409CA2AA" w14:textId="0BE9D00B" w:rsidR="0028255D" w:rsidRPr="00534022" w:rsidRDefault="0028255D" w:rsidP="00A662DE">
            <w:pPr>
              <w:pStyle w:val="TableText"/>
              <w:spacing w:before="40" w:after="40"/>
            </w:pPr>
            <w:r>
              <w:t>Focus groups</w:t>
            </w:r>
          </w:p>
        </w:tc>
        <w:tc>
          <w:tcPr>
            <w:tcW w:w="2831" w:type="dxa"/>
          </w:tcPr>
          <w:p w14:paraId="54193431" w14:textId="30DB3A46" w:rsidR="0028255D" w:rsidRPr="00534022" w:rsidRDefault="0028255D" w:rsidP="001355E3">
            <w:pPr>
              <w:pStyle w:val="TableText"/>
              <w:spacing w:before="40" w:after="40"/>
            </w:pPr>
            <w:r w:rsidRPr="00534022">
              <w:t xml:space="preserve">Medicaid-enrolled </w:t>
            </w:r>
            <w:r w:rsidR="001355E3">
              <w:t>pilot participants and nonparticipants</w:t>
            </w:r>
            <w:r w:rsidRPr="00534022">
              <w:t xml:space="preserve"> </w:t>
            </w:r>
          </w:p>
        </w:tc>
        <w:tc>
          <w:tcPr>
            <w:tcW w:w="1260" w:type="dxa"/>
          </w:tcPr>
          <w:p w14:paraId="65F40CDF" w14:textId="29217A5F" w:rsidR="0028255D" w:rsidRPr="00534022" w:rsidRDefault="00FC7172" w:rsidP="003079DC">
            <w:pPr>
              <w:pStyle w:val="TableText"/>
              <w:tabs>
                <w:tab w:val="decimal" w:pos="841"/>
              </w:tabs>
              <w:spacing w:before="40" w:after="40"/>
            </w:pPr>
            <w:r>
              <w:t>163</w:t>
            </w:r>
          </w:p>
        </w:tc>
        <w:tc>
          <w:tcPr>
            <w:tcW w:w="1170" w:type="dxa"/>
          </w:tcPr>
          <w:p w14:paraId="5E9EB561" w14:textId="77777777" w:rsidR="0028255D" w:rsidRPr="00534022" w:rsidRDefault="0028255D" w:rsidP="003079DC">
            <w:pPr>
              <w:pStyle w:val="TableText"/>
              <w:tabs>
                <w:tab w:val="decimal" w:pos="571"/>
              </w:tabs>
              <w:spacing w:before="40" w:after="40"/>
            </w:pPr>
            <w:r>
              <w:t>$</w:t>
            </w:r>
            <w:r w:rsidRPr="00534022">
              <w:t>1</w:t>
            </w:r>
            <w:r>
              <w:t>6.87</w:t>
            </w:r>
          </w:p>
        </w:tc>
        <w:tc>
          <w:tcPr>
            <w:tcW w:w="1620" w:type="dxa"/>
          </w:tcPr>
          <w:p w14:paraId="09A1396F" w14:textId="2025311F" w:rsidR="0028255D" w:rsidRPr="00534022" w:rsidRDefault="0028255D" w:rsidP="003079DC">
            <w:pPr>
              <w:pStyle w:val="TableText"/>
              <w:tabs>
                <w:tab w:val="decimal" w:pos="931"/>
              </w:tabs>
              <w:spacing w:before="40" w:after="40"/>
            </w:pPr>
            <w:r>
              <w:t>$</w:t>
            </w:r>
            <w:r w:rsidR="00FC7172">
              <w:t>2</w:t>
            </w:r>
            <w:r>
              <w:t>,</w:t>
            </w:r>
            <w:r w:rsidR="00FC7172">
              <w:t>749</w:t>
            </w:r>
            <w:r>
              <w:t>.</w:t>
            </w:r>
            <w:r w:rsidR="00FC7172">
              <w:t>81</w:t>
            </w:r>
          </w:p>
        </w:tc>
      </w:tr>
      <w:tr w:rsidR="0028255D" w:rsidRPr="00534022" w14:paraId="300A2256" w14:textId="77777777" w:rsidTr="00A274DB">
        <w:tc>
          <w:tcPr>
            <w:tcW w:w="2425" w:type="dxa"/>
          </w:tcPr>
          <w:p w14:paraId="704C876A" w14:textId="105B952A" w:rsidR="0028255D" w:rsidRDefault="0028255D" w:rsidP="00A662DE">
            <w:pPr>
              <w:pStyle w:val="TableText"/>
              <w:spacing w:before="40" w:after="40"/>
            </w:pPr>
            <w:r>
              <w:t>Semi-structured interviews</w:t>
            </w:r>
          </w:p>
        </w:tc>
        <w:tc>
          <w:tcPr>
            <w:tcW w:w="2831" w:type="dxa"/>
          </w:tcPr>
          <w:p w14:paraId="42F3D9C8" w14:textId="68937B3C" w:rsidR="0028255D" w:rsidRPr="00534022" w:rsidRDefault="0028255D" w:rsidP="0048092D">
            <w:pPr>
              <w:pStyle w:val="TableText"/>
              <w:spacing w:before="40" w:after="40"/>
            </w:pPr>
            <w:r>
              <w:t xml:space="preserve">Representatives from </w:t>
            </w:r>
            <w:proofErr w:type="spellStart"/>
            <w:r w:rsidR="007446B0">
              <w:t>CMCS</w:t>
            </w:r>
            <w:proofErr w:type="spellEnd"/>
            <w:r>
              <w:t xml:space="preserve">, </w:t>
            </w:r>
            <w:proofErr w:type="spellStart"/>
            <w:r w:rsidRPr="00534022">
              <w:t>Voxiva</w:t>
            </w:r>
            <w:proofErr w:type="spellEnd"/>
            <w:r>
              <w:t xml:space="preserve"> </w:t>
            </w:r>
            <w:r w:rsidRPr="00534022">
              <w:t xml:space="preserve">and </w:t>
            </w:r>
            <w:r w:rsidR="0048092D">
              <w:t>Zero to Three</w:t>
            </w:r>
            <w:r>
              <w:t xml:space="preserve">, and </w:t>
            </w:r>
            <w:r w:rsidR="000B005F">
              <w:t>s</w:t>
            </w:r>
            <w:r w:rsidRPr="00534022">
              <w:t>tate Medicaid agencies</w:t>
            </w:r>
          </w:p>
        </w:tc>
        <w:tc>
          <w:tcPr>
            <w:tcW w:w="1260" w:type="dxa"/>
          </w:tcPr>
          <w:p w14:paraId="1FF69344" w14:textId="4DDA2C08" w:rsidR="0028255D" w:rsidRPr="00534022" w:rsidRDefault="0043020B" w:rsidP="003079DC">
            <w:pPr>
              <w:pStyle w:val="TableText"/>
              <w:tabs>
                <w:tab w:val="decimal" w:pos="841"/>
              </w:tabs>
              <w:spacing w:before="40" w:after="40"/>
            </w:pPr>
            <w:r>
              <w:t>7</w:t>
            </w:r>
          </w:p>
        </w:tc>
        <w:tc>
          <w:tcPr>
            <w:tcW w:w="1170" w:type="dxa"/>
          </w:tcPr>
          <w:p w14:paraId="517C67BA" w14:textId="77777777" w:rsidR="0028255D" w:rsidRPr="00534022" w:rsidRDefault="0028255D" w:rsidP="003079DC">
            <w:pPr>
              <w:pStyle w:val="TableText"/>
              <w:tabs>
                <w:tab w:val="decimal" w:pos="571"/>
              </w:tabs>
              <w:spacing w:before="40" w:after="40"/>
            </w:pPr>
            <w:r>
              <w:t>$78.61</w:t>
            </w:r>
          </w:p>
        </w:tc>
        <w:tc>
          <w:tcPr>
            <w:tcW w:w="1620" w:type="dxa"/>
          </w:tcPr>
          <w:p w14:paraId="2CA4241C" w14:textId="45D80A78" w:rsidR="0028255D" w:rsidRPr="00534022" w:rsidRDefault="0028255D" w:rsidP="003079DC">
            <w:pPr>
              <w:pStyle w:val="TableText"/>
              <w:tabs>
                <w:tab w:val="decimal" w:pos="931"/>
              </w:tabs>
              <w:spacing w:before="40" w:after="40"/>
            </w:pPr>
            <w:r>
              <w:t>$</w:t>
            </w:r>
            <w:r w:rsidR="00FC7172">
              <w:t>550.27</w:t>
            </w:r>
          </w:p>
        </w:tc>
      </w:tr>
      <w:tr w:rsidR="0028255D" w:rsidRPr="00534022" w14:paraId="03E4DD55" w14:textId="77777777" w:rsidTr="00A274DB">
        <w:tc>
          <w:tcPr>
            <w:tcW w:w="2425" w:type="dxa"/>
          </w:tcPr>
          <w:p w14:paraId="0FD400C1" w14:textId="3E1CC7F4" w:rsidR="0028255D" w:rsidRPr="00534022" w:rsidRDefault="0028255D" w:rsidP="00A662DE">
            <w:pPr>
              <w:pStyle w:val="TableText"/>
              <w:spacing w:before="40" w:after="40"/>
            </w:pPr>
            <w:r>
              <w:t>Semi-structured interviews</w:t>
            </w:r>
          </w:p>
        </w:tc>
        <w:tc>
          <w:tcPr>
            <w:tcW w:w="2831" w:type="dxa"/>
          </w:tcPr>
          <w:p w14:paraId="532DB8D7" w14:textId="77777777" w:rsidR="0028255D" w:rsidRPr="00534022" w:rsidRDefault="0028255D" w:rsidP="00A662DE">
            <w:pPr>
              <w:pStyle w:val="TableText"/>
              <w:spacing w:before="40" w:after="40"/>
            </w:pPr>
            <w:r>
              <w:t>S</w:t>
            </w:r>
            <w:r w:rsidRPr="00534022">
              <w:t>tate and local outreach partners</w:t>
            </w:r>
          </w:p>
        </w:tc>
        <w:tc>
          <w:tcPr>
            <w:tcW w:w="1260" w:type="dxa"/>
          </w:tcPr>
          <w:p w14:paraId="1C18E9F2" w14:textId="0C167616" w:rsidR="0028255D" w:rsidRPr="00534022" w:rsidRDefault="0043020B" w:rsidP="003079DC">
            <w:pPr>
              <w:pStyle w:val="TableText"/>
              <w:tabs>
                <w:tab w:val="decimal" w:pos="841"/>
              </w:tabs>
              <w:spacing w:before="40" w:after="40"/>
            </w:pPr>
            <w:r>
              <w:t>8</w:t>
            </w:r>
          </w:p>
        </w:tc>
        <w:tc>
          <w:tcPr>
            <w:tcW w:w="1170" w:type="dxa"/>
          </w:tcPr>
          <w:p w14:paraId="02D3BA97" w14:textId="77777777" w:rsidR="0028255D" w:rsidRPr="00534022" w:rsidRDefault="0028255D" w:rsidP="003079DC">
            <w:pPr>
              <w:pStyle w:val="TableText"/>
              <w:tabs>
                <w:tab w:val="decimal" w:pos="571"/>
              </w:tabs>
              <w:spacing w:before="40" w:after="40"/>
            </w:pPr>
            <w:r>
              <w:t>$78.61</w:t>
            </w:r>
          </w:p>
        </w:tc>
        <w:tc>
          <w:tcPr>
            <w:tcW w:w="1620" w:type="dxa"/>
          </w:tcPr>
          <w:p w14:paraId="0FA9E5E3" w14:textId="54BCF153" w:rsidR="0028255D" w:rsidRPr="00534022" w:rsidRDefault="0028255D" w:rsidP="00FC7172">
            <w:pPr>
              <w:pStyle w:val="TableText"/>
              <w:tabs>
                <w:tab w:val="decimal" w:pos="931"/>
              </w:tabs>
              <w:spacing w:before="40" w:after="40"/>
            </w:pPr>
            <w:r>
              <w:t>$</w:t>
            </w:r>
            <w:r w:rsidR="00FC7172">
              <w:t>628.88</w:t>
            </w:r>
          </w:p>
        </w:tc>
      </w:tr>
      <w:tr w:rsidR="0028255D" w:rsidRPr="00534022" w14:paraId="6C04CC51" w14:textId="77777777" w:rsidTr="00A274DB">
        <w:tc>
          <w:tcPr>
            <w:tcW w:w="2425" w:type="dxa"/>
            <w:tcBorders>
              <w:bottom w:val="single" w:sz="4" w:space="0" w:color="auto"/>
            </w:tcBorders>
          </w:tcPr>
          <w:p w14:paraId="7E0BC245" w14:textId="446FFCE2" w:rsidR="0028255D" w:rsidRPr="00534022" w:rsidRDefault="0028255D" w:rsidP="00A662DE">
            <w:pPr>
              <w:pStyle w:val="TableText"/>
              <w:spacing w:before="40" w:after="40"/>
            </w:pPr>
            <w:r>
              <w:t>Semi-structured interviews</w:t>
            </w:r>
          </w:p>
        </w:tc>
        <w:tc>
          <w:tcPr>
            <w:tcW w:w="2831" w:type="dxa"/>
            <w:tcBorders>
              <w:bottom w:val="single" w:sz="4" w:space="0" w:color="auto"/>
            </w:tcBorders>
          </w:tcPr>
          <w:p w14:paraId="2428BA58" w14:textId="77777777" w:rsidR="0028255D" w:rsidRPr="00534022" w:rsidRDefault="0028255D" w:rsidP="00A662DE">
            <w:pPr>
              <w:pStyle w:val="TableText"/>
              <w:spacing w:before="40" w:after="40"/>
            </w:pPr>
            <w:r w:rsidRPr="00534022">
              <w:t>Health care providers</w:t>
            </w:r>
          </w:p>
        </w:tc>
        <w:tc>
          <w:tcPr>
            <w:tcW w:w="1260" w:type="dxa"/>
            <w:tcBorders>
              <w:bottom w:val="single" w:sz="4" w:space="0" w:color="auto"/>
            </w:tcBorders>
          </w:tcPr>
          <w:p w14:paraId="49817D63" w14:textId="6F82D3FE" w:rsidR="0028255D" w:rsidRPr="00534022" w:rsidRDefault="00FC7172" w:rsidP="003079DC">
            <w:pPr>
              <w:pStyle w:val="TableText"/>
              <w:tabs>
                <w:tab w:val="decimal" w:pos="841"/>
              </w:tabs>
              <w:spacing w:before="40" w:after="40"/>
            </w:pPr>
            <w:r>
              <w:t>4</w:t>
            </w:r>
          </w:p>
        </w:tc>
        <w:tc>
          <w:tcPr>
            <w:tcW w:w="1170" w:type="dxa"/>
            <w:tcBorders>
              <w:bottom w:val="single" w:sz="4" w:space="0" w:color="auto"/>
            </w:tcBorders>
          </w:tcPr>
          <w:p w14:paraId="07B41A62" w14:textId="77777777" w:rsidR="0028255D" w:rsidRPr="00534022" w:rsidRDefault="0028255D" w:rsidP="003079DC">
            <w:pPr>
              <w:pStyle w:val="TableText"/>
              <w:tabs>
                <w:tab w:val="decimal" w:pos="571"/>
              </w:tabs>
              <w:spacing w:before="40" w:after="40"/>
            </w:pPr>
            <w:r>
              <w:t>$78.61</w:t>
            </w:r>
          </w:p>
        </w:tc>
        <w:tc>
          <w:tcPr>
            <w:tcW w:w="1620" w:type="dxa"/>
            <w:tcBorders>
              <w:bottom w:val="single" w:sz="4" w:space="0" w:color="auto"/>
            </w:tcBorders>
          </w:tcPr>
          <w:p w14:paraId="2364C5CB" w14:textId="090BA51F" w:rsidR="0028255D" w:rsidRPr="00534022" w:rsidRDefault="0028255D" w:rsidP="003079DC">
            <w:pPr>
              <w:pStyle w:val="TableText"/>
              <w:tabs>
                <w:tab w:val="decimal" w:pos="931"/>
              </w:tabs>
              <w:spacing w:before="40" w:after="40"/>
            </w:pPr>
            <w:r>
              <w:t>$</w:t>
            </w:r>
            <w:r w:rsidR="00FC7172">
              <w:t>314.44</w:t>
            </w:r>
          </w:p>
        </w:tc>
      </w:tr>
      <w:tr w:rsidR="0028255D" w14:paraId="5319DF1A" w14:textId="77777777" w:rsidTr="00A274DB">
        <w:tc>
          <w:tcPr>
            <w:tcW w:w="2425" w:type="dxa"/>
            <w:tcBorders>
              <w:top w:val="single" w:sz="4" w:space="0" w:color="auto"/>
              <w:bottom w:val="single" w:sz="4" w:space="0" w:color="auto"/>
            </w:tcBorders>
          </w:tcPr>
          <w:p w14:paraId="0F1F3BE3" w14:textId="70D8A194" w:rsidR="0028255D" w:rsidRPr="00534022" w:rsidRDefault="000B005F" w:rsidP="00A274DB">
            <w:pPr>
              <w:pStyle w:val="TableText"/>
              <w:spacing w:before="80" w:after="40"/>
            </w:pPr>
            <w:r>
              <w:t>Total</w:t>
            </w:r>
          </w:p>
        </w:tc>
        <w:tc>
          <w:tcPr>
            <w:tcW w:w="2831" w:type="dxa"/>
            <w:tcBorders>
              <w:top w:val="single" w:sz="4" w:space="0" w:color="auto"/>
              <w:bottom w:val="single" w:sz="4" w:space="0" w:color="auto"/>
            </w:tcBorders>
          </w:tcPr>
          <w:p w14:paraId="3C491BB4" w14:textId="04EA01B6" w:rsidR="0028255D" w:rsidRPr="00534022" w:rsidRDefault="00F75A66" w:rsidP="00A274DB">
            <w:pPr>
              <w:pStyle w:val="TableText"/>
              <w:spacing w:before="80" w:after="40"/>
            </w:pPr>
            <w:r>
              <w:t xml:space="preserve"> </w:t>
            </w:r>
          </w:p>
        </w:tc>
        <w:tc>
          <w:tcPr>
            <w:tcW w:w="1260" w:type="dxa"/>
            <w:tcBorders>
              <w:top w:val="single" w:sz="4" w:space="0" w:color="auto"/>
              <w:bottom w:val="single" w:sz="4" w:space="0" w:color="auto"/>
            </w:tcBorders>
          </w:tcPr>
          <w:p w14:paraId="5BB8909F" w14:textId="1ECA54D4" w:rsidR="0028255D" w:rsidRPr="00534022" w:rsidRDefault="00347371" w:rsidP="00A274DB">
            <w:pPr>
              <w:pStyle w:val="TableText"/>
              <w:tabs>
                <w:tab w:val="decimal" w:pos="841"/>
              </w:tabs>
              <w:spacing w:before="80" w:after="40"/>
            </w:pPr>
            <w:r>
              <w:t>962</w:t>
            </w:r>
          </w:p>
        </w:tc>
        <w:tc>
          <w:tcPr>
            <w:tcW w:w="1170" w:type="dxa"/>
            <w:tcBorders>
              <w:top w:val="single" w:sz="4" w:space="0" w:color="auto"/>
              <w:bottom w:val="single" w:sz="4" w:space="0" w:color="auto"/>
            </w:tcBorders>
          </w:tcPr>
          <w:p w14:paraId="5291017F" w14:textId="205066C8" w:rsidR="0028255D" w:rsidRPr="00534022" w:rsidRDefault="00F75A66" w:rsidP="00A274DB">
            <w:pPr>
              <w:pStyle w:val="TableText"/>
              <w:tabs>
                <w:tab w:val="decimal" w:pos="571"/>
              </w:tabs>
              <w:spacing w:before="80" w:after="40"/>
            </w:pPr>
            <w:r>
              <w:t xml:space="preserve"> </w:t>
            </w:r>
          </w:p>
        </w:tc>
        <w:tc>
          <w:tcPr>
            <w:tcW w:w="1620" w:type="dxa"/>
            <w:tcBorders>
              <w:top w:val="single" w:sz="4" w:space="0" w:color="auto"/>
              <w:bottom w:val="single" w:sz="4" w:space="0" w:color="auto"/>
            </w:tcBorders>
          </w:tcPr>
          <w:p w14:paraId="1FF347E5" w14:textId="50D13316" w:rsidR="0028255D" w:rsidRPr="00534022" w:rsidRDefault="0028255D" w:rsidP="00A274DB">
            <w:pPr>
              <w:pStyle w:val="TableText"/>
              <w:tabs>
                <w:tab w:val="decimal" w:pos="931"/>
              </w:tabs>
              <w:spacing w:before="80" w:after="40"/>
            </w:pPr>
            <w:r>
              <w:t>$</w:t>
            </w:r>
            <w:r w:rsidR="00FC7172">
              <w:t>17</w:t>
            </w:r>
            <w:r>
              <w:t>,</w:t>
            </w:r>
            <w:r w:rsidR="00FC7172">
              <w:t>402.00</w:t>
            </w:r>
          </w:p>
        </w:tc>
      </w:tr>
    </w:tbl>
    <w:p w14:paraId="6A438B31" w14:textId="77777777" w:rsidR="009E1241" w:rsidRDefault="009E1241" w:rsidP="00B05B38">
      <w:pPr>
        <w:pStyle w:val="H4Number"/>
        <w:spacing w:after="0"/>
      </w:pPr>
      <w:bookmarkStart w:id="48" w:name="_Toc409097443"/>
      <w:bookmarkStart w:id="49" w:name="_Toc426101445"/>
    </w:p>
    <w:p w14:paraId="534EC9AB" w14:textId="33627F21" w:rsidR="00B05B38" w:rsidRDefault="00B05B38" w:rsidP="00B05B38">
      <w:pPr>
        <w:pStyle w:val="H4Number"/>
        <w:spacing w:after="0"/>
      </w:pPr>
      <w:r>
        <w:t>1</w:t>
      </w:r>
      <w:r>
        <w:t>3</w:t>
      </w:r>
      <w:r>
        <w:t>.</w:t>
      </w:r>
      <w:r>
        <w:tab/>
      </w:r>
      <w:r>
        <w:t>Capital Costs</w:t>
      </w:r>
    </w:p>
    <w:p w14:paraId="64B3EF21" w14:textId="77777777" w:rsidR="00B05B38" w:rsidRDefault="00B05B38" w:rsidP="00B05B38">
      <w:pPr>
        <w:pStyle w:val="NormalSS"/>
        <w:spacing w:after="0"/>
      </w:pPr>
    </w:p>
    <w:p w14:paraId="65E9A32C" w14:textId="51628241" w:rsidR="00B05B38" w:rsidRDefault="00B05B38" w:rsidP="00B05B38">
      <w:pPr>
        <w:pStyle w:val="NormalSS"/>
        <w:spacing w:after="0"/>
      </w:pPr>
      <w:r>
        <w:t>Not applicable. Respondents will not incur any or capital costs.</w:t>
      </w:r>
    </w:p>
    <w:p w14:paraId="4F25B530" w14:textId="77777777" w:rsidR="00B05B38" w:rsidRPr="00B05B38" w:rsidRDefault="00B05B38" w:rsidP="00B05B38">
      <w:pPr>
        <w:pStyle w:val="NormalSS"/>
        <w:spacing w:after="0"/>
      </w:pPr>
    </w:p>
    <w:p w14:paraId="749FBFA2" w14:textId="0977CA4E" w:rsidR="002F0D79" w:rsidRDefault="003079DC" w:rsidP="00B05B38">
      <w:pPr>
        <w:pStyle w:val="H4Number"/>
        <w:spacing w:after="0"/>
      </w:pPr>
      <w:r>
        <w:t>14.</w:t>
      </w:r>
      <w:r>
        <w:tab/>
      </w:r>
      <w:r w:rsidR="00F04338">
        <w:t xml:space="preserve">Annualized </w:t>
      </w:r>
      <w:r w:rsidR="000B005F">
        <w:t>c</w:t>
      </w:r>
      <w:r w:rsidR="00F04338">
        <w:t xml:space="preserve">ost to </w:t>
      </w:r>
      <w:r w:rsidR="000B005F">
        <w:t>f</w:t>
      </w:r>
      <w:r w:rsidR="00F04338">
        <w:t xml:space="preserve">ederal </w:t>
      </w:r>
      <w:r w:rsidR="000B005F">
        <w:t>g</w:t>
      </w:r>
      <w:r w:rsidR="002F0D79">
        <w:t>overnment</w:t>
      </w:r>
      <w:bookmarkEnd w:id="48"/>
      <w:bookmarkEnd w:id="49"/>
    </w:p>
    <w:p w14:paraId="4B2BEB4D" w14:textId="77777777" w:rsidR="00B05B38" w:rsidRPr="00B05B38" w:rsidRDefault="00B05B38" w:rsidP="00B05B38">
      <w:pPr>
        <w:pStyle w:val="NormalSS"/>
        <w:spacing w:after="0"/>
      </w:pPr>
    </w:p>
    <w:p w14:paraId="78E6C466" w14:textId="2B01673D" w:rsidR="00F71EE6" w:rsidRDefault="00F71EE6" w:rsidP="00B05B38">
      <w:pPr>
        <w:pStyle w:val="NormalSS"/>
        <w:spacing w:after="0"/>
        <w:rPr>
          <w:sz w:val="20"/>
        </w:rPr>
      </w:pPr>
      <w:bookmarkStart w:id="50" w:name="_Toc409097444"/>
      <w:r>
        <w:t>The evaluation will take place over a four-year period. The total cost of the evaluation to the government is $2,571,493, which includes the amount awarded via contract to the contractor ($2,528,046) and CMCS staff time/resources ($43,447). The total evaluation cost was based on the budget developed by the contractor which includes calculated wages and hours for all contractor staff, all mailing costs, telephone charges, overhead costs per contract year, and the Government staff costs. The annualized contract cost has been determined to be $642,873</w:t>
      </w:r>
      <w:r>
        <w:rPr>
          <w:rStyle w:val="CommentReference"/>
        </w:rPr>
        <w:t> </w:t>
      </w:r>
      <w:r>
        <w:t>per year by dividing the total funded amount by four years.</w:t>
      </w:r>
    </w:p>
    <w:p w14:paraId="056579E2" w14:textId="5398BC12" w:rsidR="002F0D79" w:rsidRDefault="003079DC" w:rsidP="008C7D81">
      <w:pPr>
        <w:pStyle w:val="H4Number"/>
      </w:pPr>
      <w:bookmarkStart w:id="51" w:name="_Toc426101446"/>
      <w:r>
        <w:t>15.</w:t>
      </w:r>
      <w:r>
        <w:tab/>
      </w:r>
      <w:r w:rsidR="00E213C5">
        <w:t>Changes to burden</w:t>
      </w:r>
      <w:bookmarkEnd w:id="50"/>
      <w:bookmarkEnd w:id="51"/>
    </w:p>
    <w:p w14:paraId="51C2D6E1" w14:textId="23A81A9A" w:rsidR="00E90D54" w:rsidRPr="00E90D54" w:rsidRDefault="00F75A66" w:rsidP="003079DC">
      <w:pPr>
        <w:pStyle w:val="NormalSS"/>
      </w:pPr>
      <w:r>
        <w:t>This is a new data collection.</w:t>
      </w:r>
    </w:p>
    <w:p w14:paraId="485B4F97" w14:textId="2573DF0C" w:rsidR="00E90D54" w:rsidRDefault="003079DC" w:rsidP="008C7D81">
      <w:pPr>
        <w:pStyle w:val="H4Number"/>
      </w:pPr>
      <w:bookmarkStart w:id="52" w:name="_Toc409097445"/>
      <w:bookmarkStart w:id="53" w:name="_Toc426101447"/>
      <w:r>
        <w:t>16.</w:t>
      </w:r>
      <w:r>
        <w:tab/>
      </w:r>
      <w:r w:rsidR="009613BC">
        <w:t>P</w:t>
      </w:r>
      <w:r w:rsidR="00E90D54">
        <w:t xml:space="preserve">lans for </w:t>
      </w:r>
      <w:r w:rsidR="000B005F">
        <w:t>t</w:t>
      </w:r>
      <w:r w:rsidR="00E90D54">
        <w:t xml:space="preserve">abulation and </w:t>
      </w:r>
      <w:r w:rsidR="000B005F">
        <w:t>p</w:t>
      </w:r>
      <w:r w:rsidR="00E90D54">
        <w:t xml:space="preserve">ublication and </w:t>
      </w:r>
      <w:r w:rsidR="000B005F">
        <w:t>p</w:t>
      </w:r>
      <w:r w:rsidR="00E90D54">
        <w:t xml:space="preserve">roject </w:t>
      </w:r>
      <w:r w:rsidR="000B005F">
        <w:t>t</w:t>
      </w:r>
      <w:r w:rsidR="00E90D54">
        <w:t xml:space="preserve">ime </w:t>
      </w:r>
      <w:r w:rsidR="000B005F">
        <w:t>s</w:t>
      </w:r>
      <w:r w:rsidR="00E90D54">
        <w:t>chedule</w:t>
      </w:r>
      <w:bookmarkEnd w:id="52"/>
      <w:bookmarkEnd w:id="53"/>
    </w:p>
    <w:p w14:paraId="644AA16C" w14:textId="4B77E07F" w:rsidR="006C405C" w:rsidRDefault="00805C97" w:rsidP="003079DC">
      <w:pPr>
        <w:pStyle w:val="NormalSS"/>
        <w:rPr>
          <w:rFonts w:eastAsia="Calibri"/>
        </w:rPr>
      </w:pPr>
      <w:r w:rsidRPr="003079DC">
        <w:rPr>
          <w:b/>
          <w:i/>
        </w:rPr>
        <w:t>Medicaid postpartum telephone survey.</w:t>
      </w:r>
      <w:r w:rsidRPr="006A0732">
        <w:rPr>
          <w:bCs/>
          <w:i/>
        </w:rPr>
        <w:t xml:space="preserve"> </w:t>
      </w:r>
      <w:r w:rsidR="006A0732" w:rsidRPr="006A0732">
        <w:t>Information</w:t>
      </w:r>
      <w:r w:rsidR="006A0732" w:rsidRPr="00110601">
        <w:t xml:space="preserve"> from </w:t>
      </w:r>
      <w:r w:rsidR="006A0732">
        <w:t>the</w:t>
      </w:r>
      <w:r w:rsidR="006A0732" w:rsidRPr="00110601">
        <w:t xml:space="preserve"> </w:t>
      </w:r>
      <w:r w:rsidR="006A0732">
        <w:t>telephone survey of</w:t>
      </w:r>
      <w:r w:rsidR="006A0732" w:rsidRPr="00110601">
        <w:t xml:space="preserve"> </w:t>
      </w:r>
      <w:r w:rsidR="001355E3">
        <w:t>pilot program participants and nonparticipants</w:t>
      </w:r>
      <w:r w:rsidR="006A0732" w:rsidRPr="00110601">
        <w:t xml:space="preserve"> is the primary data source for a number of key outcome variables related to knowledge, behavior, and health </w:t>
      </w:r>
      <w:r w:rsidR="000B005F">
        <w:t xml:space="preserve">care </w:t>
      </w:r>
      <w:r w:rsidR="006A0732" w:rsidRPr="00110601">
        <w:t xml:space="preserve">utilization. </w:t>
      </w:r>
      <w:r w:rsidR="00C553AA">
        <w:t>Key outcomes of interest include smoking cessation and smoking during pregnancy</w:t>
      </w:r>
      <w:r w:rsidR="00E861BB">
        <w:t>;</w:t>
      </w:r>
      <w:r w:rsidR="00C553AA">
        <w:t xml:space="preserve"> breastfeeding (initiation, duration, </w:t>
      </w:r>
      <w:r w:rsidR="001161E8">
        <w:t>and support</w:t>
      </w:r>
      <w:r w:rsidR="00C553AA">
        <w:t>)</w:t>
      </w:r>
      <w:r w:rsidR="00E861BB">
        <w:t>;</w:t>
      </w:r>
      <w:r w:rsidR="00C553AA">
        <w:t xml:space="preserve"> family planning (birth spacing</w:t>
      </w:r>
      <w:r w:rsidR="00E861BB">
        <w:t xml:space="preserve"> and contraception);</w:t>
      </w:r>
      <w:r w:rsidR="00C553AA">
        <w:t xml:space="preserve"> behavioral health risk assessment</w:t>
      </w:r>
      <w:r w:rsidR="00E861BB">
        <w:t>;</w:t>
      </w:r>
      <w:r w:rsidR="00C553AA">
        <w:t xml:space="preserve"> prenatal care (frequency, timeliness, </w:t>
      </w:r>
      <w:r w:rsidR="001161E8">
        <w:t>and adequacy</w:t>
      </w:r>
      <w:r w:rsidR="00C553AA">
        <w:t xml:space="preserve"> index)</w:t>
      </w:r>
      <w:r w:rsidR="00E861BB">
        <w:t>;</w:t>
      </w:r>
      <w:r w:rsidR="001161E8">
        <w:t xml:space="preserve"> use of </w:t>
      </w:r>
      <w:r w:rsidR="00E861BB">
        <w:t>antenatal steroids;</w:t>
      </w:r>
      <w:r w:rsidR="001161E8">
        <w:t xml:space="preserve"> and oral health. </w:t>
      </w:r>
      <w:r w:rsidR="006A0732" w:rsidRPr="00110601">
        <w:t>For these outcomes</w:t>
      </w:r>
      <w:r w:rsidR="006A0732">
        <w:t>,</w:t>
      </w:r>
      <w:r w:rsidR="006A0732" w:rsidRPr="00110601">
        <w:t xml:space="preserve"> estimates of the effect of participation in </w:t>
      </w:r>
      <w:r w:rsidR="001355E3">
        <w:t>the pilot program</w:t>
      </w:r>
      <w:r w:rsidR="001355E3" w:rsidRPr="00110601">
        <w:t xml:space="preserve"> </w:t>
      </w:r>
      <w:r w:rsidR="006A0732">
        <w:t xml:space="preserve">will be obtained </w:t>
      </w:r>
      <w:r w:rsidR="006A0732" w:rsidRPr="00110601">
        <w:t xml:space="preserve">for outcomes collected in the telephone survey by comparing outcomes between </w:t>
      </w:r>
      <w:r w:rsidR="001355E3">
        <w:t>pilot program participants</w:t>
      </w:r>
      <w:r w:rsidR="006A0732" w:rsidRPr="00110601">
        <w:t xml:space="preserve"> and the matched com</w:t>
      </w:r>
      <w:r w:rsidR="006A0732">
        <w:t xml:space="preserve">parison group of </w:t>
      </w:r>
      <w:r w:rsidR="001355E3">
        <w:t>nonparticipants</w:t>
      </w:r>
      <w:r w:rsidR="006A0732">
        <w:t xml:space="preserve">. </w:t>
      </w:r>
      <w:r w:rsidR="006A0732" w:rsidRPr="00110601">
        <w:t xml:space="preserve">To reduce the threat of bias arising from differences between the two groups, impacts </w:t>
      </w:r>
      <w:r w:rsidR="006A0732">
        <w:t xml:space="preserve">will be estimated </w:t>
      </w:r>
      <w:r w:rsidR="006A0732" w:rsidRPr="00110601">
        <w:t xml:space="preserve">in a regression framework and </w:t>
      </w:r>
      <w:r w:rsidR="006A0732">
        <w:t xml:space="preserve">will </w:t>
      </w:r>
      <w:r w:rsidR="006A0732" w:rsidRPr="00110601">
        <w:t xml:space="preserve">use the rich data from </w:t>
      </w:r>
      <w:r w:rsidR="006A0732">
        <w:t>the</w:t>
      </w:r>
      <w:r w:rsidR="006A0732" w:rsidRPr="00110601">
        <w:t xml:space="preserve"> survey to account for differences between the two groups that might otherwise bias measured impacts. This information includes factors that might jointly motivate women to participate in </w:t>
      </w:r>
      <w:r w:rsidR="001355E3">
        <w:t xml:space="preserve">the pilot </w:t>
      </w:r>
      <w:proofErr w:type="spellStart"/>
      <w:r w:rsidR="001355E3">
        <w:t>mHealth</w:t>
      </w:r>
      <w:proofErr w:type="spellEnd"/>
      <w:r w:rsidR="001355E3">
        <w:t xml:space="preserve"> program</w:t>
      </w:r>
      <w:r w:rsidR="001355E3" w:rsidRPr="00110601">
        <w:t xml:space="preserve"> </w:t>
      </w:r>
      <w:r w:rsidR="006A0732" w:rsidRPr="00110601">
        <w:t xml:space="preserve">and </w:t>
      </w:r>
      <w:r w:rsidR="00F530E6">
        <w:t>e</w:t>
      </w:r>
      <w:r w:rsidR="006A0732" w:rsidRPr="00110601">
        <w:t xml:space="preserve">ffect their outcomes (such as their concern or focus on healthy birth outcomes) and that left unaccounted </w:t>
      </w:r>
      <w:r w:rsidR="00E861BB">
        <w:t xml:space="preserve">for </w:t>
      </w:r>
      <w:r w:rsidR="006A0732" w:rsidRPr="00110601">
        <w:t xml:space="preserve">could substantially bias any program effects based on an external control group. For the survey-based outcome variables, </w:t>
      </w:r>
      <w:r w:rsidR="006A0732" w:rsidRPr="00110601">
        <w:rPr>
          <w:rFonts w:eastAsia="Calibri"/>
        </w:rPr>
        <w:t xml:space="preserve">to calculate effects of the </w:t>
      </w:r>
      <w:proofErr w:type="spellStart"/>
      <w:r w:rsidR="006A0732" w:rsidRPr="00110601">
        <w:rPr>
          <w:rFonts w:eastAsia="Calibri"/>
        </w:rPr>
        <w:t>mHealth</w:t>
      </w:r>
      <w:proofErr w:type="spellEnd"/>
      <w:r w:rsidR="006A0732" w:rsidRPr="00110601">
        <w:rPr>
          <w:rFonts w:eastAsia="Calibri"/>
        </w:rPr>
        <w:t xml:space="preserve"> pilot program on the target population as a whole</w:t>
      </w:r>
      <w:r w:rsidR="006A0732">
        <w:rPr>
          <w:rFonts w:eastAsia="Calibri"/>
        </w:rPr>
        <w:t xml:space="preserve">, </w:t>
      </w:r>
      <w:r w:rsidR="006A0732" w:rsidRPr="00110601">
        <w:t xml:space="preserve">the results from the matched comparison group analysis will be scaled using </w:t>
      </w:r>
      <w:r w:rsidR="006A0732" w:rsidRPr="00110601">
        <w:rPr>
          <w:rFonts w:eastAsia="Calibri"/>
        </w:rPr>
        <w:t xml:space="preserve">estimates of the effect of </w:t>
      </w:r>
      <w:r w:rsidR="00D04EC2">
        <w:rPr>
          <w:rFonts w:eastAsia="Calibri"/>
        </w:rPr>
        <w:t>the pilot program</w:t>
      </w:r>
      <w:r w:rsidR="00D04EC2" w:rsidRPr="00110601">
        <w:rPr>
          <w:rFonts w:eastAsia="Calibri"/>
        </w:rPr>
        <w:t xml:space="preserve"> </w:t>
      </w:r>
      <w:r w:rsidR="00F75A66">
        <w:rPr>
          <w:rFonts w:eastAsia="Calibri"/>
        </w:rPr>
        <w:t>on participation.</w:t>
      </w:r>
    </w:p>
    <w:p w14:paraId="1E1F942A" w14:textId="4FEB2180" w:rsidR="006C405C" w:rsidRPr="005420C6" w:rsidRDefault="006C405C" w:rsidP="003079DC">
      <w:pPr>
        <w:pStyle w:val="NormalSS"/>
      </w:pPr>
      <w:r w:rsidRPr="005420C6">
        <w:rPr>
          <w:rFonts w:eastAsia="Calibri"/>
        </w:rPr>
        <w:t xml:space="preserve">After survey data are collected, </w:t>
      </w:r>
      <w:r w:rsidR="00D975BD">
        <w:rPr>
          <w:rFonts w:eastAsiaTheme="minorEastAsia"/>
        </w:rPr>
        <w:t>CMCS’s contractor</w:t>
      </w:r>
      <w:r w:rsidRPr="006C405C">
        <w:t xml:space="preserve"> will conduct standard cleaning and construct key outcomes and control </w:t>
      </w:r>
      <w:r w:rsidRPr="005420C6">
        <w:t>variables</w:t>
      </w:r>
      <w:r>
        <w:t>.</w:t>
      </w:r>
      <w:r w:rsidRPr="005420C6">
        <w:t xml:space="preserve"> </w:t>
      </w:r>
      <w:r w:rsidR="005353C2">
        <w:t xml:space="preserve">The </w:t>
      </w:r>
      <w:r w:rsidR="00D975BD">
        <w:t>contractor</w:t>
      </w:r>
      <w:r w:rsidRPr="005420C6">
        <w:t xml:space="preserve"> will also assess </w:t>
      </w:r>
      <w:r w:rsidRPr="006C405C">
        <w:t>nonresponse and construct</w:t>
      </w:r>
      <w:r w:rsidRPr="005420C6">
        <w:t xml:space="preserve"> </w:t>
      </w:r>
      <w:r w:rsidRPr="006C405C">
        <w:t>final sampling/nonresponse weights.</w:t>
      </w:r>
      <w:r w:rsidRPr="005420C6">
        <w:t xml:space="preserve"> Next </w:t>
      </w:r>
      <w:r w:rsidR="005353C2">
        <w:t xml:space="preserve">the </w:t>
      </w:r>
      <w:r w:rsidR="00D975BD">
        <w:t>contractor</w:t>
      </w:r>
      <w:r w:rsidRPr="005420C6">
        <w:t xml:space="preserve"> will create analytic data files with SAS programs used for cleaning and analysis. Using the analytic data files, </w:t>
      </w:r>
      <w:r w:rsidR="005353C2">
        <w:t xml:space="preserve">the </w:t>
      </w:r>
      <w:r w:rsidR="00D975BD">
        <w:t>contractor</w:t>
      </w:r>
      <w:r w:rsidRPr="006C405C">
        <w:t xml:space="preserve"> will use multivariate regression techniques to develop estimates of program effect on outcomes.</w:t>
      </w:r>
      <w:r w:rsidRPr="005420C6">
        <w:t xml:space="preserve"> Estimates of the effect of enrolling in </w:t>
      </w:r>
      <w:r w:rsidR="00D04EC2">
        <w:t xml:space="preserve">the pilot </w:t>
      </w:r>
      <w:proofErr w:type="spellStart"/>
      <w:r w:rsidR="00D04EC2">
        <w:t>mHealt</w:t>
      </w:r>
      <w:r w:rsidR="00D04909">
        <w:t>h</w:t>
      </w:r>
      <w:proofErr w:type="spellEnd"/>
      <w:r w:rsidR="00D04EC2">
        <w:t xml:space="preserve"> program</w:t>
      </w:r>
      <w:r w:rsidR="00D04EC2" w:rsidRPr="005420C6">
        <w:t xml:space="preserve"> </w:t>
      </w:r>
      <w:r w:rsidRPr="005420C6">
        <w:t xml:space="preserve">for outcomes collected in the telephone survey of Medicaid women will be obtained by comparing outcomes </w:t>
      </w:r>
      <w:r w:rsidR="00E861BB">
        <w:t>of</w:t>
      </w:r>
      <w:r w:rsidRPr="005420C6">
        <w:t xml:space="preserve"> </w:t>
      </w:r>
      <w:r w:rsidR="00D04EC2">
        <w:t>pilot program participants</w:t>
      </w:r>
      <w:r w:rsidRPr="005420C6">
        <w:t xml:space="preserve"> and the matched comparison group of </w:t>
      </w:r>
      <w:r w:rsidR="00D04EC2">
        <w:t>nonparticipants</w:t>
      </w:r>
      <w:r w:rsidRPr="005420C6">
        <w:t>. These results can then be scaled with estimates from analysis with enrollment rates</w:t>
      </w:r>
      <w:r w:rsidR="005420C6">
        <w:rPr>
          <w:rStyle w:val="FootnoteReference"/>
          <w:szCs w:val="24"/>
        </w:rPr>
        <w:footnoteReference w:id="18"/>
      </w:r>
      <w:r w:rsidRPr="005420C6">
        <w:t xml:space="preserve"> to calculate effects of the pilot program on the target population.</w:t>
      </w:r>
    </w:p>
    <w:p w14:paraId="25739C3D" w14:textId="2E735A6F" w:rsidR="00C80DFD" w:rsidRDefault="00805C97" w:rsidP="003079DC">
      <w:pPr>
        <w:pStyle w:val="NormalSS"/>
        <w:rPr>
          <w:rFonts w:eastAsia="Calibri"/>
        </w:rPr>
      </w:pPr>
      <w:r w:rsidRPr="003079DC">
        <w:rPr>
          <w:b/>
          <w:i/>
        </w:rPr>
        <w:t>Focus groups and key informant interviews.</w:t>
      </w:r>
      <w:r w:rsidRPr="00C71F40">
        <w:rPr>
          <w:bCs/>
        </w:rPr>
        <w:t xml:space="preserve"> </w:t>
      </w:r>
      <w:r w:rsidR="001F7C74">
        <w:rPr>
          <w:bCs/>
        </w:rPr>
        <w:t xml:space="preserve">The </w:t>
      </w:r>
      <w:r w:rsidR="00D975BD">
        <w:t>contractor</w:t>
      </w:r>
      <w:r w:rsidR="001F7C74">
        <w:rPr>
          <w:bCs/>
        </w:rPr>
        <w:t xml:space="preserve"> will use </w:t>
      </w:r>
      <w:r w:rsidR="001F7C74">
        <w:rPr>
          <w:rFonts w:eastAsia="Calibri"/>
        </w:rPr>
        <w:t>q</w:t>
      </w:r>
      <w:r w:rsidR="00C80DFD" w:rsidRPr="00C71F40">
        <w:rPr>
          <w:rFonts w:eastAsia="Calibri"/>
        </w:rPr>
        <w:t>ualitative</w:t>
      </w:r>
      <w:r w:rsidR="00C80DFD">
        <w:rPr>
          <w:rFonts w:eastAsia="Calibri"/>
        </w:rPr>
        <w:t xml:space="preserve"> data collected through </w:t>
      </w:r>
      <w:r w:rsidR="00C80DFD" w:rsidRPr="00C80DFD">
        <w:rPr>
          <w:rFonts w:eastAsia="Calibri"/>
        </w:rPr>
        <w:t>key informant and focus groups</w:t>
      </w:r>
      <w:r w:rsidR="00C80DFD">
        <w:rPr>
          <w:rFonts w:eastAsia="Calibri"/>
        </w:rPr>
        <w:t xml:space="preserve"> to</w:t>
      </w:r>
      <w:r w:rsidR="005B0834">
        <w:rPr>
          <w:rFonts w:eastAsia="Calibri"/>
        </w:rPr>
        <w:t xml:space="preserve"> identify</w:t>
      </w:r>
      <w:r w:rsidR="00C80DFD">
        <w:rPr>
          <w:rFonts w:eastAsia="Calibri"/>
        </w:rPr>
        <w:t xml:space="preserve"> key themes within and across states. This information will help inform the program’s implementation and shape findings on the replicability and sustainability of the </w:t>
      </w:r>
      <w:proofErr w:type="spellStart"/>
      <w:r w:rsidR="00C80DFD">
        <w:rPr>
          <w:rFonts w:eastAsia="Calibri"/>
        </w:rPr>
        <w:t>mHealth</w:t>
      </w:r>
      <w:proofErr w:type="spellEnd"/>
      <w:r w:rsidR="00C80DFD">
        <w:rPr>
          <w:rFonts w:eastAsia="Calibri"/>
        </w:rPr>
        <w:t xml:space="preserve"> program in other states and across other topics of high prio</w:t>
      </w:r>
      <w:r w:rsidR="00E861BB">
        <w:rPr>
          <w:rFonts w:eastAsia="Calibri"/>
        </w:rPr>
        <w:t xml:space="preserve">rity for Medicaid populations. </w:t>
      </w:r>
      <w:r w:rsidR="00C80DFD">
        <w:rPr>
          <w:rFonts w:eastAsia="Calibri"/>
        </w:rPr>
        <w:t xml:space="preserve">After qualitative data </w:t>
      </w:r>
      <w:r w:rsidR="005420C6">
        <w:rPr>
          <w:rFonts w:eastAsia="Calibri"/>
        </w:rPr>
        <w:t xml:space="preserve">are </w:t>
      </w:r>
      <w:r w:rsidR="00E861BB">
        <w:rPr>
          <w:rFonts w:eastAsia="Calibri"/>
        </w:rPr>
        <w:t>collected, they</w:t>
      </w:r>
      <w:r w:rsidR="00C80DFD">
        <w:rPr>
          <w:rFonts w:eastAsia="Calibri"/>
        </w:rPr>
        <w:t xml:space="preserve"> will be organized and analyzed following five key steps:</w:t>
      </w:r>
    </w:p>
    <w:p w14:paraId="5F3D9817" w14:textId="0130348E" w:rsidR="00C80DFD" w:rsidRDefault="00C80DFD" w:rsidP="003079DC">
      <w:pPr>
        <w:pStyle w:val="NumberedBullet"/>
        <w:numPr>
          <w:ilvl w:val="0"/>
          <w:numId w:val="36"/>
        </w:numPr>
        <w:ind w:left="432" w:hanging="432"/>
      </w:pPr>
      <w:r w:rsidRPr="003079DC">
        <w:rPr>
          <w:b/>
        </w:rPr>
        <w:t>Team debriefings.</w:t>
      </w:r>
      <w:r>
        <w:t xml:space="preserve"> Contractor s</w:t>
      </w:r>
      <w:r w:rsidRPr="009C1DD5">
        <w:t>taff will review transcripts from qualitative data collection efforts</w:t>
      </w:r>
      <w:r w:rsidR="00E861BB">
        <w:t>,</w:t>
      </w:r>
      <w:r w:rsidRPr="009C1DD5">
        <w:t xml:space="preserve"> and team</w:t>
      </w:r>
      <w:r>
        <w:t>s will</w:t>
      </w:r>
      <w:r w:rsidRPr="009C1DD5">
        <w:t xml:space="preserve"> discuss initial thoughts on key emerging themes by evaluation </w:t>
      </w:r>
      <w:r w:rsidRPr="0021550C">
        <w:t>domain</w:t>
      </w:r>
      <w:r w:rsidR="00F75A66">
        <w:t>.</w:t>
      </w:r>
    </w:p>
    <w:p w14:paraId="59009294" w14:textId="1A610E19" w:rsidR="00C80DFD" w:rsidRPr="009C1DD5" w:rsidRDefault="00C80DFD" w:rsidP="003079DC">
      <w:pPr>
        <w:pStyle w:val="NumberedBullet"/>
        <w:numPr>
          <w:ilvl w:val="0"/>
          <w:numId w:val="36"/>
        </w:numPr>
        <w:ind w:left="432" w:hanging="432"/>
      </w:pPr>
      <w:r w:rsidRPr="003079DC">
        <w:rPr>
          <w:b/>
        </w:rPr>
        <w:t>Thematic framing.</w:t>
      </w:r>
      <w:r w:rsidRPr="009C1DD5">
        <w:t xml:space="preserve"> </w:t>
      </w:r>
      <w:r>
        <w:t>Contractor staff</w:t>
      </w:r>
      <w:r w:rsidRPr="009C1DD5">
        <w:t xml:space="preserve"> will develop a hierarchy of conceptual categories and classifications (attributes and </w:t>
      </w:r>
      <w:r w:rsidRPr="0021550C">
        <w:t>codes</w:t>
      </w:r>
      <w:r w:rsidRPr="009C1DD5">
        <w:t xml:space="preserve">) linked to evaluation domains, research questions, and </w:t>
      </w:r>
      <w:r>
        <w:t>areas for measurement</w:t>
      </w:r>
      <w:r w:rsidRPr="009C1DD5">
        <w:t xml:space="preserve">. </w:t>
      </w:r>
      <w:r>
        <w:t>A</w:t>
      </w:r>
      <w:r w:rsidRPr="009C1DD5">
        <w:t xml:space="preserve"> codebook defining each element of the coding scheme to facilitate the reliability and validity of coding</w:t>
      </w:r>
      <w:r>
        <w:t xml:space="preserve"> will be developed. </w:t>
      </w:r>
      <w:r w:rsidR="00D975BD">
        <w:t>Contractor staff</w:t>
      </w:r>
      <w:r>
        <w:t xml:space="preserve"> will then train staff </w:t>
      </w:r>
      <w:r w:rsidRPr="009C1DD5">
        <w:t xml:space="preserve">on the use of the coding scheme, validate 100 percent of the coding of the first set of notes and transcripts, and </w:t>
      </w:r>
      <w:r>
        <w:t>periodically verify</w:t>
      </w:r>
      <w:r w:rsidRPr="009C1DD5">
        <w:t xml:space="preserve"> the accuracy </w:t>
      </w:r>
      <w:r>
        <w:t>of the process</w:t>
      </w:r>
      <w:r w:rsidR="00F75A66">
        <w:t>.</w:t>
      </w:r>
    </w:p>
    <w:p w14:paraId="06042B02" w14:textId="41B6F36E" w:rsidR="00C80DFD" w:rsidRPr="009C1DD5" w:rsidRDefault="00C80DFD" w:rsidP="003079DC">
      <w:pPr>
        <w:pStyle w:val="NumberedBullet"/>
        <w:numPr>
          <w:ilvl w:val="0"/>
          <w:numId w:val="36"/>
        </w:numPr>
        <w:ind w:left="432" w:hanging="432"/>
      </w:pPr>
      <w:r w:rsidRPr="003079DC">
        <w:rPr>
          <w:b/>
        </w:rPr>
        <w:t xml:space="preserve">Coding. </w:t>
      </w:r>
      <w:r w:rsidRPr="009C1DD5">
        <w:t>Using the code book</w:t>
      </w:r>
      <w:r w:rsidR="0048092D" w:rsidRPr="009C1DD5">
        <w:t xml:space="preserve">, </w:t>
      </w:r>
      <w:r w:rsidR="0048092D">
        <w:t>contractor</w:t>
      </w:r>
      <w:r w:rsidR="00D975BD">
        <w:t xml:space="preserve"> staff</w:t>
      </w:r>
      <w:r w:rsidRPr="009C1DD5">
        <w:t xml:space="preserve"> will categorize statements in the transcripts. As data collection proceeds, </w:t>
      </w:r>
      <w:r w:rsidR="005353C2">
        <w:t xml:space="preserve">the </w:t>
      </w:r>
      <w:r w:rsidR="00D975BD">
        <w:t>contractor</w:t>
      </w:r>
      <w:r w:rsidRPr="009C1DD5">
        <w:t xml:space="preserve"> will refine the coding scheme to align with themes and t</w:t>
      </w:r>
      <w:r>
        <w:t xml:space="preserve">opics that emerge from the data. </w:t>
      </w:r>
      <w:r w:rsidRPr="009C1DD5">
        <w:t xml:space="preserve">This approach will enable </w:t>
      </w:r>
      <w:r w:rsidR="0050365E">
        <w:t xml:space="preserve">the </w:t>
      </w:r>
      <w:r w:rsidR="00D975BD">
        <w:t xml:space="preserve">contractor </w:t>
      </w:r>
      <w:r w:rsidRPr="009C1DD5">
        <w:t>to access data on a specific topic quickly and to organize information in different ways to identify primary themes, trends</w:t>
      </w:r>
      <w:r>
        <w:t>,</w:t>
      </w:r>
      <w:r w:rsidRPr="009C1DD5">
        <w:t xml:space="preserve"> and patterns in the data</w:t>
      </w:r>
      <w:r>
        <w:t>,</w:t>
      </w:r>
      <w:r w:rsidRPr="009C1DD5">
        <w:t xml:space="preserve"> and </w:t>
      </w:r>
      <w:r>
        <w:t xml:space="preserve">to </w:t>
      </w:r>
      <w:r w:rsidRPr="009C1DD5">
        <w:t>compile the evidence supporting them.</w:t>
      </w:r>
    </w:p>
    <w:p w14:paraId="68F2AD23" w14:textId="51F89181" w:rsidR="00C80DFD" w:rsidRPr="009C1DD5" w:rsidRDefault="00C80DFD" w:rsidP="003079DC">
      <w:pPr>
        <w:pStyle w:val="NumberedBullet"/>
        <w:numPr>
          <w:ilvl w:val="0"/>
          <w:numId w:val="36"/>
        </w:numPr>
        <w:ind w:left="432" w:hanging="432"/>
      </w:pPr>
      <w:r w:rsidRPr="003079DC">
        <w:rPr>
          <w:b/>
        </w:rPr>
        <w:t>Triangulation.</w:t>
      </w:r>
      <w:r w:rsidRPr="009C1DD5">
        <w:t xml:space="preserve"> After coding, </w:t>
      </w:r>
      <w:r w:rsidR="00D975BD">
        <w:t>CMCS’s contractor</w:t>
      </w:r>
      <w:r w:rsidRPr="009C1DD5">
        <w:t xml:space="preserve"> will </w:t>
      </w:r>
      <w:r>
        <w:t>identify themes across data sources</w:t>
      </w:r>
      <w:r w:rsidRPr="009C1DD5">
        <w:t xml:space="preserve">. This </w:t>
      </w:r>
      <w:r>
        <w:t xml:space="preserve">step </w:t>
      </w:r>
      <w:r w:rsidRPr="009C1DD5">
        <w:t xml:space="preserve">will </w:t>
      </w:r>
      <w:r w:rsidR="00E861BB">
        <w:t>enable</w:t>
      </w:r>
      <w:r w:rsidRPr="009C1DD5">
        <w:t xml:space="preserve"> </w:t>
      </w:r>
      <w:r w:rsidR="0050365E">
        <w:t xml:space="preserve">the </w:t>
      </w:r>
      <w:r w:rsidR="00D975BD">
        <w:t>contractor</w:t>
      </w:r>
      <w:r w:rsidRPr="009C1DD5">
        <w:t xml:space="preserve"> to characterize implementation experiences in each state, as well as variations across and within states, and examine themes and topics from multiple perspectives to highlight similarities and differences</w:t>
      </w:r>
      <w:r w:rsidR="00C71F40">
        <w:t xml:space="preserve">. </w:t>
      </w:r>
      <w:r w:rsidR="0050365E">
        <w:t xml:space="preserve">The </w:t>
      </w:r>
      <w:r w:rsidR="00D975BD">
        <w:t>contractor</w:t>
      </w:r>
      <w:r w:rsidRPr="009C1DD5">
        <w:t xml:space="preserve"> will also explore relationships across themes (for example, relationships between the types of implementation challenges and </w:t>
      </w:r>
      <w:r w:rsidR="00741425">
        <w:t>pilot program participant</w:t>
      </w:r>
      <w:r w:rsidRPr="009C1DD5">
        <w:t xml:space="preserve"> satisfaction and perspectives on sustainability)</w:t>
      </w:r>
      <w:r w:rsidR="00C71F40">
        <w:t>, and w</w:t>
      </w:r>
      <w:r w:rsidRPr="009C1DD5">
        <w:t>ill develop a descriptive summary of the themes across respondent</w:t>
      </w:r>
      <w:r>
        <w:t>s</w:t>
      </w:r>
      <w:r w:rsidRPr="009C1DD5">
        <w:t xml:space="preserve"> and data types.</w:t>
      </w:r>
    </w:p>
    <w:p w14:paraId="40E90782" w14:textId="5FA9F82C" w:rsidR="00C80DFD" w:rsidRDefault="00C80DFD" w:rsidP="003079DC">
      <w:pPr>
        <w:pStyle w:val="NumberedBullet"/>
        <w:numPr>
          <w:ilvl w:val="0"/>
          <w:numId w:val="36"/>
        </w:numPr>
        <w:spacing w:after="240"/>
        <w:ind w:left="432" w:hanging="432"/>
      </w:pPr>
      <w:r w:rsidRPr="003079DC">
        <w:rPr>
          <w:b/>
        </w:rPr>
        <w:t>Cross-state comparison.</w:t>
      </w:r>
      <w:r>
        <w:t xml:space="preserve"> To the extent that the information is available, </w:t>
      </w:r>
      <w:r w:rsidR="0050365E">
        <w:t xml:space="preserve">the </w:t>
      </w:r>
      <w:r w:rsidR="00BA51AC">
        <w:t>contractor</w:t>
      </w:r>
      <w:r>
        <w:t xml:space="preserve"> will conduct a cross-state comparison of key themes. </w:t>
      </w:r>
      <w:r w:rsidR="0050365E">
        <w:t xml:space="preserve">The </w:t>
      </w:r>
      <w:r w:rsidR="00D975BD">
        <w:t>contractor</w:t>
      </w:r>
      <w:r>
        <w:t xml:space="preserve"> will identify additional crosscutting hypotheses to explore in the data and examine implications for the interpretation of quantitative results for inclusion in the interim and final reports. In addition, </w:t>
      </w:r>
      <w:r w:rsidR="0050365E">
        <w:t xml:space="preserve">the </w:t>
      </w:r>
      <w:r w:rsidR="00BA51AC">
        <w:t>contractor</w:t>
      </w:r>
      <w:r>
        <w:t xml:space="preserve"> will engage </w:t>
      </w:r>
      <w:r w:rsidR="007446B0">
        <w:t>CMCS</w:t>
      </w:r>
      <w:r>
        <w:t xml:space="preserve"> and states in conversations about preliminary results to uncover new insights.</w:t>
      </w:r>
    </w:p>
    <w:p w14:paraId="46D1E05D" w14:textId="1ADAC7E8" w:rsidR="00F200E9" w:rsidRDefault="005375DA" w:rsidP="008C7D81">
      <w:pPr>
        <w:pStyle w:val="H3AlphaNoTOC"/>
      </w:pPr>
      <w:r>
        <w:t>Reports</w:t>
      </w:r>
    </w:p>
    <w:p w14:paraId="1DD2AEC9" w14:textId="783E76C9" w:rsidR="00120E3C" w:rsidRPr="008104AD" w:rsidRDefault="008104AD" w:rsidP="003079DC">
      <w:pPr>
        <w:pStyle w:val="NormalSS"/>
      </w:pPr>
      <w:r w:rsidRPr="008104AD">
        <w:t>Interim reports will be generated during each of the first three project years</w:t>
      </w:r>
      <w:r w:rsidR="00E861BB">
        <w:t xml:space="preserve">; </w:t>
      </w:r>
      <w:r w:rsidRPr="008104AD">
        <w:t xml:space="preserve">a final report will be generated at the </w:t>
      </w:r>
      <w:r w:rsidR="00F75A66">
        <w:t>end of the fourth project year.</w:t>
      </w:r>
    </w:p>
    <w:p w14:paraId="1FF950ED" w14:textId="7565CB9F" w:rsidR="00120E3C" w:rsidRPr="008104AD" w:rsidRDefault="00120E3C" w:rsidP="003079DC">
      <w:pPr>
        <w:pStyle w:val="NormalSS"/>
      </w:pPr>
      <w:r w:rsidRPr="008104AD">
        <w:rPr>
          <w:b/>
          <w:bCs/>
          <w:i/>
        </w:rPr>
        <w:t xml:space="preserve">Interim </w:t>
      </w:r>
      <w:r w:rsidR="008104AD" w:rsidRPr="008104AD">
        <w:rPr>
          <w:b/>
          <w:bCs/>
          <w:i/>
        </w:rPr>
        <w:t>r</w:t>
      </w:r>
      <w:r w:rsidRPr="008104AD">
        <w:rPr>
          <w:b/>
          <w:bCs/>
          <w:i/>
        </w:rPr>
        <w:t>eport</w:t>
      </w:r>
      <w:r w:rsidR="001D2CA0" w:rsidRPr="008104AD">
        <w:rPr>
          <w:b/>
          <w:bCs/>
          <w:i/>
        </w:rPr>
        <w:t>s</w:t>
      </w:r>
      <w:r w:rsidRPr="008104AD">
        <w:rPr>
          <w:b/>
          <w:bCs/>
          <w:i/>
        </w:rPr>
        <w:t>.</w:t>
      </w:r>
      <w:r w:rsidR="008104AD" w:rsidRPr="008104AD">
        <w:rPr>
          <w:b/>
          <w:bCs/>
        </w:rPr>
        <w:t xml:space="preserve"> </w:t>
      </w:r>
      <w:r w:rsidR="00BA51AC">
        <w:t>CMCS’s contractor</w:t>
      </w:r>
      <w:r w:rsidR="001F7C74">
        <w:t xml:space="preserve"> </w:t>
      </w:r>
      <w:r w:rsidR="008104AD" w:rsidRPr="008104AD">
        <w:t>will incorporate findings from all data collection and analysis</w:t>
      </w:r>
      <w:r w:rsidR="008104AD">
        <w:t xml:space="preserve"> activities, summarizing and integrating the themes that emerged across the evaluation components </w:t>
      </w:r>
      <w:r w:rsidR="00BC4715">
        <w:t>and data sources</w:t>
      </w:r>
      <w:r w:rsidR="001F7C74">
        <w:t xml:space="preserve"> in the interim reports</w:t>
      </w:r>
      <w:r w:rsidR="00BC4715">
        <w:t xml:space="preserve">. </w:t>
      </w:r>
      <w:r w:rsidR="00BC4715" w:rsidRPr="008104AD">
        <w:t>Each interim report will provide a comprehensive representation of the year’s activities and will also build upon and consider findings from previous years’ reports.</w:t>
      </w:r>
    </w:p>
    <w:p w14:paraId="00D40ABB" w14:textId="517ABB0A" w:rsidR="00120E3C" w:rsidRPr="008104AD" w:rsidRDefault="00120E3C" w:rsidP="003079DC">
      <w:pPr>
        <w:pStyle w:val="NormalSS"/>
      </w:pPr>
      <w:r w:rsidRPr="008104AD">
        <w:rPr>
          <w:b/>
          <w:bCs/>
          <w:i/>
        </w:rPr>
        <w:t xml:space="preserve">Final </w:t>
      </w:r>
      <w:r w:rsidR="008104AD">
        <w:rPr>
          <w:b/>
          <w:bCs/>
          <w:i/>
        </w:rPr>
        <w:t>r</w:t>
      </w:r>
      <w:r w:rsidRPr="008104AD">
        <w:rPr>
          <w:b/>
          <w:bCs/>
          <w:i/>
        </w:rPr>
        <w:t>eport.</w:t>
      </w:r>
      <w:r w:rsidRPr="008104AD">
        <w:rPr>
          <w:b/>
          <w:bCs/>
        </w:rPr>
        <w:t xml:space="preserve"> </w:t>
      </w:r>
      <w:r w:rsidR="00BC4715">
        <w:rPr>
          <w:bCs/>
        </w:rPr>
        <w:t xml:space="preserve">The final report </w:t>
      </w:r>
      <w:r w:rsidR="00BC4715">
        <w:t xml:space="preserve">will reflect findings from across all project years. The broad outline will be similar to the interim reports, but will incorporate and integrate all data collection activities, analyses, and findings. The report will focus on answering all the evaluation questions. It will </w:t>
      </w:r>
      <w:r w:rsidR="00E861BB">
        <w:t>i</w:t>
      </w:r>
      <w:r w:rsidR="00BC4715">
        <w:t xml:space="preserve">nclude additional discussion </w:t>
      </w:r>
      <w:r w:rsidR="00E861BB">
        <w:t>related to</w:t>
      </w:r>
      <w:r w:rsidR="00BC4715">
        <w:t xml:space="preserve"> implications for the future of similar </w:t>
      </w:r>
      <w:proofErr w:type="spellStart"/>
      <w:r w:rsidR="00BC4715">
        <w:t>mHealth</w:t>
      </w:r>
      <w:proofErr w:type="spellEnd"/>
      <w:r w:rsidR="00BC4715">
        <w:t xml:space="preserve"> programs within the Medicaid, pregnant and postpartum, and broader populations.</w:t>
      </w:r>
    </w:p>
    <w:p w14:paraId="2BD9E137" w14:textId="42AA6C0B" w:rsidR="00F200E9" w:rsidRPr="00F200E9" w:rsidRDefault="00F200E9" w:rsidP="008C7D81">
      <w:pPr>
        <w:pStyle w:val="H3AlphaNoTOC"/>
      </w:pPr>
      <w:r>
        <w:t xml:space="preserve">Project </w:t>
      </w:r>
      <w:r w:rsidR="00E861BB">
        <w:t>s</w:t>
      </w:r>
      <w:r>
        <w:t>chedule</w:t>
      </w:r>
    </w:p>
    <w:p w14:paraId="3B1531F8" w14:textId="04A1B24E" w:rsidR="003B01F9" w:rsidRDefault="00F200E9" w:rsidP="003079DC">
      <w:pPr>
        <w:pStyle w:val="NormalSS"/>
      </w:pPr>
      <w:r>
        <w:t>The project began in June 2014 and is expected to end in June 2018. The schedule for key data collection</w:t>
      </w:r>
      <w:r w:rsidR="0025741B">
        <w:t xml:space="preserve"> activities</w:t>
      </w:r>
      <w:r>
        <w:t xml:space="preserve"> relevant to </w:t>
      </w:r>
      <w:r w:rsidR="0025741B">
        <w:t xml:space="preserve">this request for OMB approval is presented in Table </w:t>
      </w:r>
      <w:r w:rsidR="00B820AA">
        <w:t>4</w:t>
      </w:r>
      <w:r w:rsidR="0025741B">
        <w:t>.</w:t>
      </w:r>
    </w:p>
    <w:p w14:paraId="15482BDB" w14:textId="1CADE291" w:rsidR="00773CC2" w:rsidRPr="003079DC" w:rsidRDefault="00773CC2" w:rsidP="003079DC">
      <w:pPr>
        <w:pStyle w:val="MarkforTableTitle"/>
      </w:pPr>
      <w:r w:rsidRPr="003079DC">
        <w:t xml:space="preserve">Table </w:t>
      </w:r>
      <w:r w:rsidR="00B820AA">
        <w:t>4</w:t>
      </w:r>
      <w:r w:rsidRPr="003079DC">
        <w:t>. Planned information collection schedule</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Caption w:val="Planned information collection schedule"/>
      </w:tblPr>
      <w:tblGrid>
        <w:gridCol w:w="6120"/>
        <w:gridCol w:w="3240"/>
      </w:tblGrid>
      <w:tr w:rsidR="00773CC2" w:rsidRPr="00CD7EB2" w14:paraId="326EEDCD" w14:textId="77777777" w:rsidTr="008C7D81">
        <w:trPr>
          <w:cnfStyle w:val="100000000000" w:firstRow="1" w:lastRow="0" w:firstColumn="0" w:lastColumn="0" w:oddVBand="0" w:evenVBand="0" w:oddHBand="0" w:evenHBand="0" w:firstRowFirstColumn="0" w:firstRowLastColumn="0" w:lastRowFirstColumn="0" w:lastRowLastColumn="0"/>
          <w:tblHeader/>
        </w:trPr>
        <w:tc>
          <w:tcPr>
            <w:tcW w:w="3269" w:type="pct"/>
            <w:tcBorders>
              <w:bottom w:val="single" w:sz="8" w:space="0" w:color="FFFFFF" w:themeColor="background1"/>
            </w:tcBorders>
            <w:shd w:val="clear" w:color="auto" w:fill="6C6F70"/>
          </w:tcPr>
          <w:p w14:paraId="0CC7278F" w14:textId="77777777" w:rsidR="00773CC2" w:rsidRPr="006D6A70" w:rsidRDefault="00773CC2" w:rsidP="00B856BF">
            <w:pPr>
              <w:pStyle w:val="TableHeaderLeft"/>
              <w:rPr>
                <w:b/>
              </w:rPr>
            </w:pPr>
            <w:r w:rsidRPr="006D6A70">
              <w:rPr>
                <w:b/>
              </w:rPr>
              <w:t>Activity</w:t>
            </w:r>
          </w:p>
        </w:tc>
        <w:tc>
          <w:tcPr>
            <w:tcW w:w="1731" w:type="pct"/>
            <w:tcBorders>
              <w:bottom w:val="single" w:sz="8" w:space="0" w:color="FFFFFF" w:themeColor="background1"/>
            </w:tcBorders>
            <w:shd w:val="clear" w:color="auto" w:fill="6C6F70"/>
          </w:tcPr>
          <w:p w14:paraId="4F4558DD" w14:textId="77777777" w:rsidR="00773CC2" w:rsidRPr="006D6A70" w:rsidRDefault="00773CC2" w:rsidP="00B856BF">
            <w:pPr>
              <w:pStyle w:val="TableHeaderCenter"/>
              <w:rPr>
                <w:b/>
              </w:rPr>
            </w:pPr>
            <w:r w:rsidRPr="006D6A70">
              <w:rPr>
                <w:b/>
              </w:rPr>
              <w:t>Anticipated schedule</w:t>
            </w:r>
          </w:p>
        </w:tc>
      </w:tr>
      <w:tr w:rsidR="00773CC2" w:rsidRPr="00AA795E" w14:paraId="05961552" w14:textId="77777777" w:rsidTr="00B856BF">
        <w:tc>
          <w:tcPr>
            <w:tcW w:w="3269" w:type="pct"/>
          </w:tcPr>
          <w:p w14:paraId="22F4656E" w14:textId="3D36D917" w:rsidR="00773CC2" w:rsidRPr="00196137" w:rsidRDefault="00773CC2" w:rsidP="00B856BF">
            <w:pPr>
              <w:pStyle w:val="TableText"/>
              <w:spacing w:before="60" w:after="60"/>
            </w:pPr>
            <w:r>
              <w:t xml:space="preserve">Select sample for Medicaid postpartum </w:t>
            </w:r>
            <w:r w:rsidR="00BE26E1">
              <w:t xml:space="preserve">telephone </w:t>
            </w:r>
            <w:r>
              <w:t>survey</w:t>
            </w:r>
          </w:p>
        </w:tc>
        <w:tc>
          <w:tcPr>
            <w:tcW w:w="1731" w:type="pct"/>
          </w:tcPr>
          <w:p w14:paraId="14E3E35D" w14:textId="38085244" w:rsidR="00773CC2" w:rsidRDefault="00302995" w:rsidP="00B856BF">
            <w:pPr>
              <w:pStyle w:val="TableText"/>
              <w:spacing w:before="60" w:after="60"/>
            </w:pPr>
            <w:r>
              <w:t>March 2017</w:t>
            </w:r>
          </w:p>
        </w:tc>
      </w:tr>
      <w:tr w:rsidR="00773CC2" w:rsidRPr="00AA795E" w14:paraId="262C6987" w14:textId="77777777" w:rsidTr="00B856BF">
        <w:tc>
          <w:tcPr>
            <w:tcW w:w="3269" w:type="pct"/>
          </w:tcPr>
          <w:p w14:paraId="69BC968C" w14:textId="786A2B8A" w:rsidR="00773CC2" w:rsidRPr="004D1F0A" w:rsidRDefault="00773CC2" w:rsidP="00B856BF">
            <w:pPr>
              <w:pStyle w:val="TableText"/>
              <w:spacing w:before="60" w:after="60"/>
              <w:rPr>
                <w:b/>
              </w:rPr>
            </w:pPr>
            <w:r>
              <w:t xml:space="preserve">Conduct Medicaid postpartum </w:t>
            </w:r>
            <w:r w:rsidR="00BE26E1">
              <w:t xml:space="preserve">telephone </w:t>
            </w:r>
            <w:r>
              <w:t>survey</w:t>
            </w:r>
          </w:p>
        </w:tc>
        <w:tc>
          <w:tcPr>
            <w:tcW w:w="1731" w:type="pct"/>
          </w:tcPr>
          <w:p w14:paraId="02E855B3" w14:textId="2E98CF79" w:rsidR="00773CC2" w:rsidRDefault="00302995" w:rsidP="00302995">
            <w:pPr>
              <w:pStyle w:val="TableText"/>
              <w:spacing w:before="60" w:after="60"/>
            </w:pPr>
            <w:r>
              <w:t xml:space="preserve">April </w:t>
            </w:r>
            <w:r w:rsidR="00773CC2">
              <w:t xml:space="preserve">– </w:t>
            </w:r>
            <w:r>
              <w:t xml:space="preserve">June </w:t>
            </w:r>
            <w:r w:rsidR="00773CC2">
              <w:t>2017</w:t>
            </w:r>
            <w:r w:rsidR="00D05A8D">
              <w:t>*</w:t>
            </w:r>
          </w:p>
        </w:tc>
      </w:tr>
      <w:tr w:rsidR="00226A6B" w:rsidRPr="00AA795E" w14:paraId="7DB9F6E3" w14:textId="77777777" w:rsidTr="00B856BF">
        <w:tc>
          <w:tcPr>
            <w:tcW w:w="3269" w:type="pct"/>
          </w:tcPr>
          <w:p w14:paraId="10D92E0D" w14:textId="61349BF5" w:rsidR="00226A6B" w:rsidRDefault="00226A6B" w:rsidP="00956259">
            <w:pPr>
              <w:pStyle w:val="TableText"/>
              <w:spacing w:before="60" w:after="60"/>
              <w:rPr>
                <w:b/>
              </w:rPr>
            </w:pPr>
            <w:r w:rsidRPr="00A77151">
              <w:t>R</w:t>
            </w:r>
            <w:r>
              <w:t xml:space="preserve">ecruit key informants from </w:t>
            </w:r>
            <w:proofErr w:type="spellStart"/>
            <w:r>
              <w:t>CMCS</w:t>
            </w:r>
            <w:proofErr w:type="spellEnd"/>
            <w:r>
              <w:t xml:space="preserve">, </w:t>
            </w:r>
            <w:proofErr w:type="spellStart"/>
            <w:r>
              <w:t>Voxiva</w:t>
            </w:r>
            <w:proofErr w:type="spellEnd"/>
            <w:r>
              <w:t>/Zero to Three, state Medicaid agencies, and active outreach partners</w:t>
            </w:r>
          </w:p>
        </w:tc>
        <w:tc>
          <w:tcPr>
            <w:tcW w:w="1731" w:type="pct"/>
          </w:tcPr>
          <w:p w14:paraId="76C85035" w14:textId="37977631" w:rsidR="00226A6B" w:rsidRDefault="00226A6B" w:rsidP="00226A6B">
            <w:pPr>
              <w:pStyle w:val="TableText"/>
              <w:spacing w:before="60" w:after="60"/>
            </w:pPr>
            <w:r>
              <w:t>November – December 2017</w:t>
            </w:r>
          </w:p>
        </w:tc>
      </w:tr>
      <w:tr w:rsidR="00D05A8D" w:rsidRPr="00AA795E" w14:paraId="0C73B9AE" w14:textId="77777777" w:rsidTr="00B856BF">
        <w:tc>
          <w:tcPr>
            <w:tcW w:w="3269" w:type="pct"/>
          </w:tcPr>
          <w:p w14:paraId="5FCC411F" w14:textId="6D2E1310" w:rsidR="00D05A8D" w:rsidRDefault="00D05A8D" w:rsidP="00D05A8D">
            <w:pPr>
              <w:pStyle w:val="TableText"/>
              <w:spacing w:before="60" w:after="60"/>
            </w:pPr>
            <w:r>
              <w:t>Recruit health care providers for key informant interviews and recruit focus group participants</w:t>
            </w:r>
          </w:p>
        </w:tc>
        <w:tc>
          <w:tcPr>
            <w:tcW w:w="1731" w:type="pct"/>
          </w:tcPr>
          <w:p w14:paraId="39EB2192" w14:textId="1B9E2F32" w:rsidR="00D05A8D" w:rsidRDefault="00D05A8D" w:rsidP="00D05A8D">
            <w:pPr>
              <w:pStyle w:val="TableText"/>
              <w:spacing w:before="60" w:after="60"/>
            </w:pPr>
            <w:r>
              <w:t>November – December 2017</w:t>
            </w:r>
          </w:p>
        </w:tc>
      </w:tr>
      <w:tr w:rsidR="00D05A8D" w:rsidRPr="00AA795E" w14:paraId="56E931F2" w14:textId="77777777" w:rsidTr="00B856BF">
        <w:tc>
          <w:tcPr>
            <w:tcW w:w="3269" w:type="pct"/>
          </w:tcPr>
          <w:p w14:paraId="6241698F" w14:textId="7B033F61" w:rsidR="00D05A8D" w:rsidRPr="0001429E" w:rsidRDefault="00D05A8D" w:rsidP="00D05A8D">
            <w:pPr>
              <w:pStyle w:val="TableText"/>
              <w:spacing w:before="60" w:after="60"/>
              <w:rPr>
                <w:b/>
              </w:rPr>
            </w:pPr>
            <w:r>
              <w:t>Conduct key informant interviews</w:t>
            </w:r>
          </w:p>
        </w:tc>
        <w:tc>
          <w:tcPr>
            <w:tcW w:w="1731" w:type="pct"/>
          </w:tcPr>
          <w:p w14:paraId="027B7FF9" w14:textId="3B18C1CA" w:rsidR="00D05A8D" w:rsidRPr="0001429E" w:rsidRDefault="00D05A8D" w:rsidP="00D05A8D">
            <w:pPr>
              <w:pStyle w:val="TableText"/>
              <w:spacing w:before="60" w:after="60"/>
            </w:pPr>
            <w:r>
              <w:t>January – March 2018*</w:t>
            </w:r>
          </w:p>
        </w:tc>
      </w:tr>
      <w:tr w:rsidR="00D05A8D" w:rsidRPr="00AA795E" w14:paraId="1926298B" w14:textId="77777777" w:rsidTr="00A274DB">
        <w:tc>
          <w:tcPr>
            <w:tcW w:w="3269" w:type="pct"/>
            <w:tcBorders>
              <w:bottom w:val="single" w:sz="4" w:space="0" w:color="auto"/>
            </w:tcBorders>
          </w:tcPr>
          <w:p w14:paraId="576D31F2" w14:textId="55777A46" w:rsidR="00D05A8D" w:rsidDel="00226A6B" w:rsidRDefault="00D05A8D" w:rsidP="00D726C9">
            <w:pPr>
              <w:pStyle w:val="TableText"/>
              <w:spacing w:before="60" w:after="60"/>
            </w:pPr>
            <w:r w:rsidRPr="00996290">
              <w:t xml:space="preserve">Conduct </w:t>
            </w:r>
            <w:r>
              <w:t>provider interviews and</w:t>
            </w:r>
            <w:r w:rsidRPr="00996290">
              <w:t xml:space="preserve"> focus groups</w:t>
            </w:r>
          </w:p>
        </w:tc>
        <w:tc>
          <w:tcPr>
            <w:tcW w:w="1731" w:type="pct"/>
            <w:tcBorders>
              <w:bottom w:val="single" w:sz="4" w:space="0" w:color="auto"/>
            </w:tcBorders>
          </w:tcPr>
          <w:p w14:paraId="1321F7A5" w14:textId="565443DB" w:rsidR="00D05A8D" w:rsidDel="00226A6B" w:rsidRDefault="00D05A8D" w:rsidP="00D05A8D">
            <w:pPr>
              <w:pStyle w:val="TableText"/>
              <w:spacing w:before="60" w:after="60"/>
            </w:pPr>
            <w:r>
              <w:t>January – March 2018*</w:t>
            </w:r>
          </w:p>
        </w:tc>
      </w:tr>
    </w:tbl>
    <w:p w14:paraId="4B2DFD7D" w14:textId="375C177F" w:rsidR="00773CC2" w:rsidRDefault="00773CC2" w:rsidP="003079DC">
      <w:pPr>
        <w:pStyle w:val="TableFootnoteCaption"/>
        <w:spacing w:after="360"/>
      </w:pPr>
      <w:r>
        <w:t>*</w:t>
      </w:r>
      <w:r w:rsidR="005F480B">
        <w:t xml:space="preserve"> </w:t>
      </w:r>
      <w:r w:rsidR="00D05A8D">
        <w:t>Survey, k</w:t>
      </w:r>
      <w:r w:rsidR="005F480B">
        <w:t>ey informant interview</w:t>
      </w:r>
      <w:r w:rsidR="00D05A8D">
        <w:t>, and focus group protocols</w:t>
      </w:r>
      <w:r w:rsidR="005F480B">
        <w:t xml:space="preserve"> </w:t>
      </w:r>
      <w:r w:rsidR="00D05A8D">
        <w:t>were pretested</w:t>
      </w:r>
      <w:r w:rsidR="00A80426">
        <w:t>. The pretest was</w:t>
      </w:r>
      <w:r w:rsidR="005F480B">
        <w:t xml:space="preserve"> conducted with </w:t>
      </w:r>
      <w:r w:rsidR="00E861BB">
        <w:t>nine or fewer</w:t>
      </w:r>
      <w:r w:rsidR="006D6A70">
        <w:t xml:space="preserve"> respondents per protocol</w:t>
      </w:r>
      <w:r w:rsidR="00D05A8D">
        <w:t xml:space="preserve"> per year</w:t>
      </w:r>
      <w:r w:rsidR="006D6A70">
        <w:t>.</w:t>
      </w:r>
    </w:p>
    <w:p w14:paraId="298351D9" w14:textId="6C53E274" w:rsidR="0025741B" w:rsidRPr="0025741B" w:rsidRDefault="003079DC" w:rsidP="008C7D81">
      <w:pPr>
        <w:pStyle w:val="H4Number"/>
        <w:rPr>
          <w:szCs w:val="24"/>
          <w:u w:val="single"/>
        </w:rPr>
      </w:pPr>
      <w:bookmarkStart w:id="54" w:name="_Toc409097446"/>
      <w:bookmarkStart w:id="55" w:name="_Toc426101448"/>
      <w:r>
        <w:rPr>
          <w:u w:color="000000"/>
        </w:rPr>
        <w:t>17.</w:t>
      </w:r>
      <w:r>
        <w:rPr>
          <w:u w:color="000000"/>
        </w:rPr>
        <w:tab/>
      </w:r>
      <w:r w:rsidR="00F72558" w:rsidRPr="0025741B">
        <w:rPr>
          <w:u w:color="000000"/>
        </w:rPr>
        <w:t xml:space="preserve">Reason(s) </w:t>
      </w:r>
      <w:r w:rsidR="00E861BB">
        <w:rPr>
          <w:u w:color="000000"/>
        </w:rPr>
        <w:t>d</w:t>
      </w:r>
      <w:r w:rsidR="00F72558" w:rsidRPr="0025741B">
        <w:rPr>
          <w:u w:color="000000"/>
        </w:rPr>
        <w:t>isplay of</w:t>
      </w:r>
      <w:r w:rsidR="00F72558" w:rsidRPr="0025741B">
        <w:rPr>
          <w:spacing w:val="1"/>
          <w:u w:color="000000"/>
        </w:rPr>
        <w:t xml:space="preserve"> </w:t>
      </w:r>
      <w:r w:rsidR="00F72558" w:rsidRPr="0025741B">
        <w:rPr>
          <w:u w:color="000000"/>
        </w:rPr>
        <w:t xml:space="preserve">OMB </w:t>
      </w:r>
      <w:r w:rsidR="00E861BB">
        <w:rPr>
          <w:u w:color="000000"/>
        </w:rPr>
        <w:t>e</w:t>
      </w:r>
      <w:r w:rsidR="00F72558" w:rsidRPr="0025741B">
        <w:rPr>
          <w:u w:color="000000"/>
        </w:rPr>
        <w:t xml:space="preserve">xpiration </w:t>
      </w:r>
      <w:r w:rsidR="00E861BB">
        <w:rPr>
          <w:u w:color="000000"/>
        </w:rPr>
        <w:t>d</w:t>
      </w:r>
      <w:r w:rsidR="00F72558" w:rsidRPr="0025741B">
        <w:rPr>
          <w:u w:color="000000"/>
        </w:rPr>
        <w:t xml:space="preserve">ate is </w:t>
      </w:r>
      <w:r w:rsidR="00E861BB">
        <w:rPr>
          <w:u w:color="000000"/>
        </w:rPr>
        <w:t>i</w:t>
      </w:r>
      <w:r w:rsidR="00F72558" w:rsidRPr="0025741B">
        <w:rPr>
          <w:u w:color="000000"/>
        </w:rPr>
        <w:t>nappropriate</w:t>
      </w:r>
      <w:bookmarkEnd w:id="54"/>
      <w:bookmarkEnd w:id="55"/>
    </w:p>
    <w:p w14:paraId="2DE7CD79" w14:textId="77777777" w:rsidR="00364DCD" w:rsidRPr="0025741B" w:rsidRDefault="00364DCD" w:rsidP="003079DC">
      <w:pPr>
        <w:pStyle w:val="NormalSS"/>
        <w:rPr>
          <w:b/>
          <w:u w:val="single"/>
        </w:rPr>
      </w:pPr>
      <w:r w:rsidRPr="0025741B">
        <w:t>Approval not to display the expiration date for OMB approval is not requested.</w:t>
      </w:r>
    </w:p>
    <w:p w14:paraId="2FF6990B" w14:textId="69237D64" w:rsidR="0025741B" w:rsidRPr="0025741B" w:rsidRDefault="003079DC" w:rsidP="008C7D81">
      <w:pPr>
        <w:pStyle w:val="H4Number"/>
        <w:rPr>
          <w:szCs w:val="24"/>
          <w:u w:val="single"/>
        </w:rPr>
      </w:pPr>
      <w:bookmarkStart w:id="56" w:name="_Toc409097447"/>
      <w:bookmarkStart w:id="57" w:name="_Toc426101449"/>
      <w:r>
        <w:rPr>
          <w:u w:color="000000"/>
        </w:rPr>
        <w:t>18.</w:t>
      </w:r>
      <w:r>
        <w:rPr>
          <w:u w:color="000000"/>
        </w:rPr>
        <w:tab/>
      </w:r>
      <w:r w:rsidR="00F72558" w:rsidRPr="0025741B">
        <w:rPr>
          <w:u w:color="000000"/>
        </w:rPr>
        <w:t xml:space="preserve">Exceptions to </w:t>
      </w:r>
      <w:r w:rsidR="00E861BB">
        <w:rPr>
          <w:u w:color="000000"/>
        </w:rPr>
        <w:t>c</w:t>
      </w:r>
      <w:r w:rsidR="00F72558" w:rsidRPr="0025741B">
        <w:rPr>
          <w:u w:color="000000"/>
        </w:rPr>
        <w:t>ertification for</w:t>
      </w:r>
      <w:r w:rsidR="005375DA" w:rsidRPr="0025741B">
        <w:rPr>
          <w:u w:color="000000"/>
        </w:rPr>
        <w:t xml:space="preserve"> </w:t>
      </w:r>
      <w:r w:rsidR="00E861BB">
        <w:rPr>
          <w:u w:color="000000"/>
        </w:rPr>
        <w:t>p</w:t>
      </w:r>
      <w:r w:rsidR="00F72558" w:rsidRPr="0025741B">
        <w:rPr>
          <w:u w:color="000000"/>
        </w:rPr>
        <w:t>aperwork</w:t>
      </w:r>
      <w:r w:rsidR="00F72558" w:rsidRPr="0025741B">
        <w:rPr>
          <w:spacing w:val="1"/>
          <w:u w:color="000000"/>
        </w:rPr>
        <w:t xml:space="preserve"> </w:t>
      </w:r>
      <w:r w:rsidR="00E861BB">
        <w:rPr>
          <w:u w:color="000000"/>
        </w:rPr>
        <w:t>r</w:t>
      </w:r>
      <w:r w:rsidR="00F72558" w:rsidRPr="0025741B">
        <w:rPr>
          <w:u w:color="000000"/>
        </w:rPr>
        <w:t xml:space="preserve">eduction </w:t>
      </w:r>
      <w:r w:rsidR="00E861BB">
        <w:rPr>
          <w:u w:color="000000"/>
        </w:rPr>
        <w:t>a</w:t>
      </w:r>
      <w:r w:rsidR="00F72558" w:rsidRPr="0025741B">
        <w:rPr>
          <w:u w:color="000000"/>
        </w:rPr>
        <w:t xml:space="preserve">ct </w:t>
      </w:r>
      <w:r w:rsidR="00E861BB">
        <w:rPr>
          <w:u w:color="000000"/>
        </w:rPr>
        <w:t>s</w:t>
      </w:r>
      <w:r w:rsidR="00F72558" w:rsidRPr="0025741B">
        <w:rPr>
          <w:u w:color="000000"/>
        </w:rPr>
        <w:t>ubmissions</w:t>
      </w:r>
      <w:bookmarkEnd w:id="56"/>
      <w:bookmarkEnd w:id="57"/>
    </w:p>
    <w:p w14:paraId="74753C22" w14:textId="31D3925D" w:rsidR="006F01AA" w:rsidRPr="008C7D81" w:rsidRDefault="00364DCD" w:rsidP="003079DC">
      <w:pPr>
        <w:pStyle w:val="NormalSS"/>
      </w:pPr>
      <w:r w:rsidRPr="0025741B">
        <w:t>No exceptions to the certification statement are being sought.</w:t>
      </w:r>
    </w:p>
    <w:sectPr w:rsidR="006F01AA" w:rsidRPr="008C7D81" w:rsidSect="00FD146C">
      <w:headerReference w:type="default" r:id="rId15"/>
      <w:footerReference w:type="default" r:id="rId16"/>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456B1" w14:textId="77777777" w:rsidR="00BC094C" w:rsidRDefault="00BC094C">
      <w:r>
        <w:separator/>
      </w:r>
    </w:p>
  </w:endnote>
  <w:endnote w:type="continuationSeparator" w:id="0">
    <w:p w14:paraId="516928D6" w14:textId="77777777" w:rsidR="00BC094C" w:rsidRDefault="00BC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CE213" w14:textId="77777777" w:rsidR="00BC094C" w:rsidRPr="00A12B64" w:rsidRDefault="00BC094C" w:rsidP="00A94C6B">
    <w:pPr>
      <w:pStyle w:val="Footer"/>
      <w:pBdr>
        <w:bottom w:val="none" w:sz="0" w:space="0" w:color="auto"/>
      </w:pBdr>
      <w:tabs>
        <w:tab w:val="clear" w:pos="4320"/>
        <w:tab w:val="right" w:leader="underscore" w:pos="8539"/>
      </w:tabs>
      <w:spacing w:line="192" w:lineRule="auto"/>
      <w:rPr>
        <w:rFonts w:cs="Arial"/>
        <w:snapToGrid w:val="0"/>
        <w:szCs w:val="14"/>
      </w:rPr>
    </w:pPr>
  </w:p>
  <w:p w14:paraId="63D9FB7F" w14:textId="77777777" w:rsidR="00BC094C" w:rsidRDefault="00BC094C" w:rsidP="00A94C6B">
    <w:pPr>
      <w:pStyle w:val="Footer"/>
      <w:pBdr>
        <w:top w:val="single" w:sz="2" w:space="1" w:color="auto"/>
        <w:bottom w:val="none" w:sz="0" w:space="0" w:color="auto"/>
      </w:pBdr>
      <w:spacing w:line="192" w:lineRule="auto"/>
      <w:rPr>
        <w:rStyle w:val="PageNumber"/>
      </w:rPr>
    </w:pPr>
  </w:p>
  <w:p w14:paraId="707A41CB" w14:textId="4B658FB3" w:rsidR="00BC094C" w:rsidRDefault="00BC094C" w:rsidP="00A94C6B">
    <w:pPr>
      <w:pStyle w:val="Footer"/>
      <w:pBdr>
        <w:top w:val="single" w:sz="2" w:space="1" w:color="auto"/>
        <w:bottom w:val="none" w:sz="0" w:space="0" w:color="auto"/>
      </w:pBd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F492F" w14:textId="511575C3" w:rsidR="00BC094C" w:rsidRPr="00A94C6B" w:rsidRDefault="00BC094C" w:rsidP="00A94C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05A25" w14:textId="77777777" w:rsidR="00BC094C" w:rsidRPr="00A12B64" w:rsidRDefault="00BC094C" w:rsidP="00A94C6B">
    <w:pPr>
      <w:pStyle w:val="Footer"/>
      <w:pBdr>
        <w:bottom w:val="none" w:sz="0" w:space="0" w:color="auto"/>
      </w:pBdr>
      <w:tabs>
        <w:tab w:val="clear" w:pos="4320"/>
        <w:tab w:val="right" w:leader="underscore" w:pos="8539"/>
      </w:tabs>
      <w:spacing w:line="192" w:lineRule="auto"/>
      <w:rPr>
        <w:rFonts w:cs="Arial"/>
        <w:snapToGrid w:val="0"/>
        <w:szCs w:val="14"/>
      </w:rPr>
    </w:pPr>
  </w:p>
  <w:p w14:paraId="22EF327B" w14:textId="77777777" w:rsidR="00BC094C" w:rsidRDefault="00BC094C" w:rsidP="00A94C6B">
    <w:pPr>
      <w:pStyle w:val="Footer"/>
      <w:pBdr>
        <w:top w:val="single" w:sz="2" w:space="1" w:color="auto"/>
        <w:bottom w:val="none" w:sz="0" w:space="0" w:color="auto"/>
      </w:pBdr>
      <w:spacing w:line="192" w:lineRule="auto"/>
      <w:rPr>
        <w:rStyle w:val="PageNumber"/>
      </w:rPr>
    </w:pPr>
  </w:p>
  <w:p w14:paraId="4D706808" w14:textId="765932A6" w:rsidR="00BC094C" w:rsidRDefault="00BC094C" w:rsidP="004C5D01">
    <w:pPr>
      <w:pStyle w:val="Footer"/>
      <w:pBdr>
        <w:top w:val="single" w:sz="2" w:space="1" w:color="auto"/>
        <w:bottom w:val="none" w:sz="0" w:space="0" w:color="auto"/>
      </w:pBdr>
      <w:tabs>
        <w:tab w:val="clear" w:pos="4320"/>
        <w:tab w:val="center" w:pos="4680"/>
      </w:tabs>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8752D">
      <w:rPr>
        <w:rStyle w:val="PageNumber"/>
        <w:noProof/>
      </w:rPr>
      <w:t>iii</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357E7" w14:textId="3FE0092B" w:rsidR="00BC094C" w:rsidRPr="00FD5B58" w:rsidRDefault="00BC094C" w:rsidP="00FD5B5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D3E9D" w14:textId="77777777" w:rsidR="00BC094C" w:rsidRPr="00A12B64" w:rsidRDefault="00BC094C" w:rsidP="00A94C6B">
    <w:pPr>
      <w:pStyle w:val="Footer"/>
      <w:pBdr>
        <w:bottom w:val="none" w:sz="0" w:space="0" w:color="auto"/>
      </w:pBdr>
      <w:tabs>
        <w:tab w:val="clear" w:pos="4320"/>
        <w:tab w:val="right" w:leader="underscore" w:pos="8539"/>
      </w:tabs>
      <w:spacing w:line="192" w:lineRule="auto"/>
      <w:rPr>
        <w:rFonts w:cs="Arial"/>
        <w:snapToGrid w:val="0"/>
        <w:szCs w:val="14"/>
      </w:rPr>
    </w:pPr>
  </w:p>
  <w:p w14:paraId="72C7FA0E" w14:textId="77777777" w:rsidR="00BC094C" w:rsidRDefault="00BC094C" w:rsidP="00A94C6B">
    <w:pPr>
      <w:pStyle w:val="Footer"/>
      <w:pBdr>
        <w:top w:val="single" w:sz="2" w:space="1" w:color="auto"/>
        <w:bottom w:val="none" w:sz="0" w:space="0" w:color="auto"/>
      </w:pBdr>
      <w:spacing w:line="192" w:lineRule="auto"/>
      <w:rPr>
        <w:rStyle w:val="PageNumber"/>
      </w:rPr>
    </w:pPr>
  </w:p>
  <w:p w14:paraId="7CD0CFF0" w14:textId="308C7AEE" w:rsidR="00BC094C" w:rsidRDefault="00BC094C" w:rsidP="004C5D01">
    <w:pPr>
      <w:pStyle w:val="Footer"/>
      <w:pBdr>
        <w:top w:val="single" w:sz="2" w:space="1" w:color="auto"/>
        <w:bottom w:val="none" w:sz="0" w:space="0" w:color="auto"/>
      </w:pBdr>
      <w:tabs>
        <w:tab w:val="clear" w:pos="4320"/>
        <w:tab w:val="center" w:pos="4680"/>
      </w:tabs>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7E7C0B">
      <w:rPr>
        <w:rStyle w:val="PageNumber"/>
        <w:noProof/>
      </w:rPr>
      <w:t>15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C3333" w14:textId="77777777" w:rsidR="00BC094C" w:rsidRDefault="00BC094C">
      <w:r>
        <w:separator/>
      </w:r>
    </w:p>
  </w:footnote>
  <w:footnote w:type="continuationSeparator" w:id="0">
    <w:p w14:paraId="22D7DA0B" w14:textId="77777777" w:rsidR="00BC094C" w:rsidRDefault="00BC094C">
      <w:r>
        <w:continuationSeparator/>
      </w:r>
    </w:p>
  </w:footnote>
  <w:footnote w:id="1">
    <w:p w14:paraId="6E64C7B5" w14:textId="2A78B861" w:rsidR="00BC094C" w:rsidRPr="002D2D1A" w:rsidRDefault="00BC094C" w:rsidP="00E06042">
      <w:pPr>
        <w:pStyle w:val="FootnoteText"/>
      </w:pPr>
      <w:r w:rsidRPr="002D2D1A">
        <w:rPr>
          <w:rStyle w:val="FootnoteReference"/>
          <w:sz w:val="20"/>
        </w:rPr>
        <w:footnoteRef/>
      </w:r>
      <w:r w:rsidRPr="002D2D1A">
        <w:t xml:space="preserve"> Cole-Lewis, H., and T. Kershaw. “Text Messaging as a Tool for Behavior Change in Disease Prevention and Management.” </w:t>
      </w:r>
      <w:r w:rsidRPr="002D2D1A">
        <w:rPr>
          <w:i/>
        </w:rPr>
        <w:t>Epidemiologic Reviews</w:t>
      </w:r>
      <w:r w:rsidRPr="002D2D1A">
        <w:t>, vol. 32</w:t>
      </w:r>
      <w:r>
        <w:t>, no. 1, March 2010, pp. 56–69.</w:t>
      </w:r>
    </w:p>
  </w:footnote>
  <w:footnote w:id="2">
    <w:p w14:paraId="2B4E63EA" w14:textId="40FFB1DC" w:rsidR="00BC094C" w:rsidRPr="002D2D1A" w:rsidRDefault="00BC094C" w:rsidP="00E06042">
      <w:pPr>
        <w:pStyle w:val="FootnoteText"/>
      </w:pPr>
      <w:r w:rsidRPr="002D2D1A">
        <w:rPr>
          <w:rStyle w:val="FootnoteReference"/>
          <w:sz w:val="20"/>
        </w:rPr>
        <w:footnoteRef/>
      </w:r>
      <w:r w:rsidRPr="002D2D1A">
        <w:t xml:space="preserve"> </w:t>
      </w:r>
      <w:proofErr w:type="spellStart"/>
      <w:r w:rsidRPr="002D2D1A">
        <w:t>Gazmararian</w:t>
      </w:r>
      <w:proofErr w:type="spellEnd"/>
      <w:r w:rsidRPr="002D2D1A">
        <w:t xml:space="preserve">, </w:t>
      </w:r>
      <w:proofErr w:type="spellStart"/>
      <w:r w:rsidRPr="002D2D1A">
        <w:t>J.A</w:t>
      </w:r>
      <w:proofErr w:type="spellEnd"/>
      <w:r w:rsidRPr="002D2D1A">
        <w:t xml:space="preserve">., B. Yang, L. Elon, M. Graham, and R. Parker. “Successful Enrollment in Text4Baby More Likely with Higher Health Literacy.” </w:t>
      </w:r>
      <w:r w:rsidRPr="002D2D1A">
        <w:rPr>
          <w:i/>
        </w:rPr>
        <w:t>Journal of Health Communication</w:t>
      </w:r>
      <w:r w:rsidRPr="002D2D1A">
        <w:t>, vol.</w:t>
      </w:r>
      <w:r>
        <w:t xml:space="preserve"> 17, no. 3, 2012, pp. 303–311.</w:t>
      </w:r>
    </w:p>
  </w:footnote>
  <w:footnote w:id="3">
    <w:p w14:paraId="795BD6E7" w14:textId="09F8D649" w:rsidR="00BC094C" w:rsidRPr="002D2D1A" w:rsidRDefault="00BC094C" w:rsidP="00E06042">
      <w:pPr>
        <w:pStyle w:val="FootnoteText"/>
      </w:pPr>
      <w:r w:rsidRPr="002D2D1A">
        <w:rPr>
          <w:rStyle w:val="FootnoteReference"/>
          <w:sz w:val="20"/>
        </w:rPr>
        <w:footnoteRef/>
      </w:r>
      <w:r w:rsidRPr="002D2D1A">
        <w:t xml:space="preserve"> </w:t>
      </w:r>
      <w:proofErr w:type="spellStart"/>
      <w:r w:rsidRPr="002D2D1A">
        <w:t>Hou</w:t>
      </w:r>
      <w:proofErr w:type="spellEnd"/>
      <w:r w:rsidRPr="002D2D1A">
        <w:t xml:space="preserve">, </w:t>
      </w:r>
      <w:proofErr w:type="spellStart"/>
      <w:r w:rsidRPr="002D2D1A">
        <w:t>M.Y</w:t>
      </w:r>
      <w:proofErr w:type="spellEnd"/>
      <w:r w:rsidRPr="002D2D1A">
        <w:t xml:space="preserve">., S. Hurwitz, E. Kavanagh, J. Fortin, and A.B. Goldberg. “Using Daily Text-Message Reminders to Improve Adherence with Oral Contraceptives: A Randomized Controlled Trial.” </w:t>
      </w:r>
      <w:r w:rsidRPr="002D2D1A">
        <w:rPr>
          <w:i/>
        </w:rPr>
        <w:t>Obstetrics and Gynecology</w:t>
      </w:r>
      <w:r w:rsidRPr="002D2D1A">
        <w:t xml:space="preserve">, vol. 116, no. </w:t>
      </w:r>
      <w:r>
        <w:t>3, November 2010, pp. 633–640.</w:t>
      </w:r>
    </w:p>
  </w:footnote>
  <w:footnote w:id="4">
    <w:p w14:paraId="53506662" w14:textId="77777777" w:rsidR="00BC094C" w:rsidRPr="002D2D1A" w:rsidRDefault="00BC094C" w:rsidP="00E06042">
      <w:pPr>
        <w:pStyle w:val="FootnoteText"/>
      </w:pPr>
      <w:r w:rsidRPr="002D2D1A">
        <w:rPr>
          <w:rStyle w:val="FootnoteReference"/>
          <w:sz w:val="20"/>
        </w:rPr>
        <w:footnoteRef/>
      </w:r>
      <w:r w:rsidRPr="002D2D1A">
        <w:t xml:space="preserve"> Evans, </w:t>
      </w:r>
      <w:proofErr w:type="spellStart"/>
      <w:r w:rsidRPr="002D2D1A">
        <w:t>W.D</w:t>
      </w:r>
      <w:proofErr w:type="spellEnd"/>
      <w:r w:rsidRPr="002D2D1A">
        <w:t xml:space="preserve">., L.C. </w:t>
      </w:r>
      <w:proofErr w:type="spellStart"/>
      <w:r w:rsidRPr="002D2D1A">
        <w:t>Abroms</w:t>
      </w:r>
      <w:proofErr w:type="spellEnd"/>
      <w:r w:rsidRPr="002D2D1A">
        <w:t xml:space="preserve">, R. </w:t>
      </w:r>
      <w:proofErr w:type="spellStart"/>
      <w:r w:rsidRPr="002D2D1A">
        <w:t>Poropatich</w:t>
      </w:r>
      <w:proofErr w:type="spellEnd"/>
      <w:r w:rsidRPr="002D2D1A">
        <w:t xml:space="preserve">, P.E. Nielsen, and J.L. Wallace. “Mobile Health Evaluation Methods: The Text4Baby Case Study.” </w:t>
      </w:r>
      <w:r w:rsidRPr="002D2D1A">
        <w:rPr>
          <w:i/>
        </w:rPr>
        <w:t xml:space="preserve">Journal of Health Communication, </w:t>
      </w:r>
      <w:r w:rsidRPr="002D2D1A">
        <w:t>vol. 17, suppl. 1, May 2012b, pp. 22–29.</w:t>
      </w:r>
    </w:p>
  </w:footnote>
  <w:footnote w:id="5">
    <w:p w14:paraId="4E74B137" w14:textId="77777777" w:rsidR="00BC094C" w:rsidRDefault="00BC094C" w:rsidP="00E06042">
      <w:pPr>
        <w:pStyle w:val="FootnoteText"/>
      </w:pPr>
      <w:r w:rsidRPr="002D2D1A">
        <w:rPr>
          <w:rStyle w:val="FootnoteReference"/>
          <w:sz w:val="20"/>
        </w:rPr>
        <w:footnoteRef/>
      </w:r>
      <w:r w:rsidRPr="002D2D1A">
        <w:t xml:space="preserve"> Evans, </w:t>
      </w:r>
      <w:proofErr w:type="spellStart"/>
      <w:r w:rsidRPr="002D2D1A">
        <w:t>W.D</w:t>
      </w:r>
      <w:proofErr w:type="spellEnd"/>
      <w:r w:rsidRPr="002D2D1A">
        <w:t xml:space="preserve">., L.C. </w:t>
      </w:r>
      <w:proofErr w:type="spellStart"/>
      <w:r w:rsidRPr="002D2D1A">
        <w:t>Abroms</w:t>
      </w:r>
      <w:proofErr w:type="spellEnd"/>
      <w:r w:rsidRPr="002D2D1A">
        <w:t xml:space="preserve">, R. </w:t>
      </w:r>
      <w:proofErr w:type="spellStart"/>
      <w:r w:rsidRPr="002D2D1A">
        <w:t>Poropatich</w:t>
      </w:r>
      <w:proofErr w:type="spellEnd"/>
      <w:r w:rsidRPr="002D2D1A">
        <w:t xml:space="preserve">, P.E. Nielsen, and J.L. Wallace. “Mobile Health Evaluation Methods: The Text4Baby Case Study.” </w:t>
      </w:r>
      <w:r w:rsidRPr="002D2D1A">
        <w:rPr>
          <w:i/>
        </w:rPr>
        <w:t xml:space="preserve">Journal of Health Communication, </w:t>
      </w:r>
      <w:r w:rsidRPr="002D2D1A">
        <w:t>vol. 17, suppl. 1, May 2012b, pp. 22–29.</w:t>
      </w:r>
    </w:p>
  </w:footnote>
  <w:footnote w:id="6">
    <w:p w14:paraId="6DBF6F3B" w14:textId="603264F3" w:rsidR="00BC094C" w:rsidRDefault="00BC094C" w:rsidP="00E06042">
      <w:pPr>
        <w:pStyle w:val="FootnoteText"/>
      </w:pPr>
      <w:r w:rsidRPr="00EF7CC2">
        <w:rPr>
          <w:rStyle w:val="FootnoteReference"/>
          <w:sz w:val="20"/>
        </w:rPr>
        <w:footnoteRef/>
      </w:r>
      <w:r w:rsidRPr="00EF7CC2">
        <w:rPr>
          <w:rStyle w:val="FootnoteReference"/>
          <w:sz w:val="20"/>
        </w:rPr>
        <w:t xml:space="preserve"> </w:t>
      </w:r>
      <w:r w:rsidRPr="00EF7CC2">
        <w:rPr>
          <w:sz w:val="22"/>
          <w:szCs w:val="22"/>
        </w:rPr>
        <w:t xml:space="preserve">Evans, William Douglas, Jasmine L. Wallace, and Jeremy Snider. “Pilot Evaluation of the Text4baby Mobile Health Program.” </w:t>
      </w:r>
      <w:r w:rsidRPr="00187FC1">
        <w:rPr>
          <w:i/>
          <w:sz w:val="22"/>
          <w:szCs w:val="22"/>
        </w:rPr>
        <w:t>BMC Public Health</w:t>
      </w:r>
      <w:r w:rsidRPr="00EF7CC2">
        <w:rPr>
          <w:sz w:val="22"/>
          <w:szCs w:val="22"/>
        </w:rPr>
        <w:t>, vol. 12, no.</w:t>
      </w:r>
      <w:r>
        <w:rPr>
          <w:sz w:val="22"/>
          <w:szCs w:val="22"/>
        </w:rPr>
        <w:t xml:space="preserve"> 1031, November 2012, pp. 1–10.</w:t>
      </w:r>
    </w:p>
  </w:footnote>
  <w:footnote w:id="7">
    <w:p w14:paraId="239F4F03" w14:textId="4AC91C95" w:rsidR="00BC094C" w:rsidRPr="005F480B" w:rsidRDefault="00BC094C" w:rsidP="007B5951">
      <w:pPr>
        <w:pStyle w:val="FootnoteText"/>
      </w:pPr>
      <w:r w:rsidRPr="005F480B">
        <w:rPr>
          <w:rStyle w:val="FootnoteReference"/>
        </w:rPr>
        <w:footnoteRef/>
      </w:r>
      <w:r w:rsidRPr="005F480B">
        <w:t xml:space="preserve"> Secondary data sources are </w:t>
      </w:r>
      <w:proofErr w:type="spellStart"/>
      <w:r w:rsidRPr="005F480B">
        <w:t>Voxiva</w:t>
      </w:r>
      <w:proofErr w:type="spellEnd"/>
      <w:r w:rsidRPr="005F480B">
        <w:t xml:space="preserve"> </w:t>
      </w:r>
      <w:proofErr w:type="spellStart"/>
      <w:r w:rsidRPr="005F480B">
        <w:t>Text4baby</w:t>
      </w:r>
      <w:proofErr w:type="spellEnd"/>
      <w:r w:rsidRPr="005F480B">
        <w:t xml:space="preserve"> administrative data, state Medicaid administrative data, state vital records data; and state-reported maternity Core Set measures (from CHIP Annual Report Template System [CARTS]).</w:t>
      </w:r>
      <w:r>
        <w:t>Through its contractor for this evaluation, CMCS has received</w:t>
      </w:r>
      <w:r w:rsidRPr="005F480B">
        <w:t xml:space="preserve"> clearance for the collection of data from these secondary data sources from the New England Ins</w:t>
      </w:r>
      <w:r>
        <w:t>titutional Review Board (IRB) (14-432).</w:t>
      </w:r>
    </w:p>
  </w:footnote>
  <w:footnote w:id="8">
    <w:p w14:paraId="64E263B6" w14:textId="52C94C06" w:rsidR="00BC094C" w:rsidRDefault="00BC094C">
      <w:pPr>
        <w:pStyle w:val="FootnoteText"/>
      </w:pPr>
      <w:r>
        <w:rPr>
          <w:rStyle w:val="FootnoteReference"/>
        </w:rPr>
        <w:footnoteRef/>
      </w:r>
      <w:r>
        <w:t xml:space="preserve"> All primary and secondary data for this evaluation will be collected and analyzed by CMCS’s contractor.</w:t>
      </w:r>
    </w:p>
  </w:footnote>
  <w:footnote w:id="9">
    <w:p w14:paraId="31A6ECAC" w14:textId="439AA31A" w:rsidR="00BC094C" w:rsidRPr="006F5FFA" w:rsidRDefault="00BC094C">
      <w:pPr>
        <w:pStyle w:val="FootnoteText"/>
      </w:pPr>
      <w:r w:rsidRPr="006F5FFA">
        <w:rPr>
          <w:rStyle w:val="FootnoteReference"/>
        </w:rPr>
        <w:footnoteRef/>
      </w:r>
      <w:r w:rsidRPr="006F5FFA">
        <w:t xml:space="preserve"> The purpose of collecting </w:t>
      </w:r>
      <w:proofErr w:type="spellStart"/>
      <w:r w:rsidRPr="006F5FFA">
        <w:t>Voxiva</w:t>
      </w:r>
      <w:proofErr w:type="spellEnd"/>
      <w:r w:rsidRPr="006F5FFA">
        <w:t xml:space="preserve"> </w:t>
      </w:r>
      <w:proofErr w:type="spellStart"/>
      <w:r w:rsidRPr="006F5FFA">
        <w:t>Text4baby</w:t>
      </w:r>
      <w:proofErr w:type="spellEnd"/>
      <w:r w:rsidRPr="006F5FFA">
        <w:t xml:space="preserve"> administrative data is to examine enrollment trends and key characteristics of Text4Baby subscribers who are </w:t>
      </w:r>
      <w:r>
        <w:t xml:space="preserve">or are not </w:t>
      </w:r>
      <w:r w:rsidRPr="006F5FFA">
        <w:t>enrolled in Medicaid.</w:t>
      </w:r>
      <w:r>
        <w:t xml:space="preserve"> See Appendix D for data specifications.</w:t>
      </w:r>
    </w:p>
  </w:footnote>
  <w:footnote w:id="10">
    <w:p w14:paraId="6BD2605E" w14:textId="0406D05D" w:rsidR="00BC094C" w:rsidRPr="006F5FFA" w:rsidRDefault="00BC094C">
      <w:pPr>
        <w:pStyle w:val="FootnoteText"/>
      </w:pPr>
      <w:r w:rsidRPr="006F5FFA">
        <w:rPr>
          <w:rStyle w:val="FootnoteReference"/>
        </w:rPr>
        <w:footnoteRef/>
      </w:r>
      <w:r w:rsidRPr="006F5FFA">
        <w:t xml:space="preserve"> The purpose of collecting state Medicaid data is to identify members of the study population and their infants, to assess health care utilization among Text4baby subscribers and nonsubscribers, and to develop outcome measures related to the Maternity Core Set. </w:t>
      </w:r>
      <w:r>
        <w:t>The contractor</w:t>
      </w:r>
      <w:r w:rsidRPr="006F5FFA">
        <w:t xml:space="preserve"> plan</w:t>
      </w:r>
      <w:r>
        <w:t>s</w:t>
      </w:r>
      <w:r w:rsidRPr="006F5FFA">
        <w:t xml:space="preserve"> to construct measures of frequency of ongoing prenatal care, timeliness of prenatal care, postpartum care rate, Medicaid covered infant dental visits, and well-child visits in the first 15 months of life.</w:t>
      </w:r>
      <w:r>
        <w:t xml:space="preserve"> See Appendix E for data specifications.</w:t>
      </w:r>
    </w:p>
  </w:footnote>
  <w:footnote w:id="11">
    <w:p w14:paraId="00C7E6D8" w14:textId="47034ECE" w:rsidR="00BC094C" w:rsidRPr="006F5FFA" w:rsidRDefault="00BC094C">
      <w:pPr>
        <w:pStyle w:val="FootnoteText"/>
      </w:pPr>
      <w:r w:rsidRPr="006F5FFA">
        <w:rPr>
          <w:rStyle w:val="FootnoteReference"/>
        </w:rPr>
        <w:footnoteRef/>
      </w:r>
      <w:r w:rsidRPr="006F5FFA">
        <w:t xml:space="preserve"> The purpose of collecting vital records data is to assess birth outcomes among Text4baby subscribers and nonsubscribers in the four participating states. To this end, vital records data will be used to calculate several clinical outcomes of interest </w:t>
      </w:r>
      <w:r>
        <w:t>and</w:t>
      </w:r>
      <w:r w:rsidRPr="006F5FFA">
        <w:t xml:space="preserve"> to collect key demographic, geographic, and health risk information on the study sample.</w:t>
      </w:r>
      <w:r>
        <w:t xml:space="preserve"> See Appendix F for data specifications.</w:t>
      </w:r>
    </w:p>
  </w:footnote>
  <w:footnote w:id="12">
    <w:p w14:paraId="0FEFA724" w14:textId="19659395" w:rsidR="00BC094C" w:rsidRDefault="00BC094C">
      <w:pPr>
        <w:pStyle w:val="FootnoteText"/>
      </w:pPr>
      <w:r w:rsidRPr="006F5FFA">
        <w:rPr>
          <w:rStyle w:val="FootnoteReference"/>
        </w:rPr>
        <w:footnoteRef/>
      </w:r>
      <w:r w:rsidRPr="006F5FFA">
        <w:t xml:space="preserve"> The purpose of collecting Maternity Core Set measures is to evaluate trends over time in aggregate state-level outcomes important</w:t>
      </w:r>
      <w:r w:rsidRPr="00A73701">
        <w:t xml:space="preserve"> </w:t>
      </w:r>
      <w:r w:rsidRPr="006F5FFA">
        <w:t>to this evaluation in the four states participating in the pilot compared with other states not participating in the pilot.</w:t>
      </w:r>
      <w:r>
        <w:t xml:space="preserve"> </w:t>
      </w:r>
      <w:r w:rsidRPr="00A73701">
        <w:t xml:space="preserve">Maternity Core Set measures can be found by visiting the following web address: </w:t>
      </w:r>
      <w:hyperlink r:id="rId1" w:tooltip="2015 Core Set of Maternity Measures" w:history="1">
        <w:r w:rsidRPr="00A73701">
          <w:rPr>
            <w:rStyle w:val="Hyperlink"/>
          </w:rPr>
          <w:t>http://www.medicaid.gov/medicaid-chip-program-information/by-topics/quality-of-care/downloads/maternity-core-set.pdf</w:t>
        </w:r>
      </w:hyperlink>
    </w:p>
  </w:footnote>
  <w:footnote w:id="13">
    <w:p w14:paraId="2C048CE3" w14:textId="2955CE26" w:rsidR="00BC094C" w:rsidRPr="00D10F02" w:rsidRDefault="00BC094C" w:rsidP="00D10F02">
      <w:pPr>
        <w:pStyle w:val="FootnoteText"/>
      </w:pPr>
      <w:r w:rsidRPr="005A3FF6">
        <w:rPr>
          <w:rStyle w:val="FootnoteReference"/>
        </w:rPr>
        <w:footnoteRef/>
      </w:r>
      <w:r w:rsidRPr="005A3FF6">
        <w:t xml:space="preserve"> </w:t>
      </w:r>
      <w:r w:rsidRPr="00D10F02">
        <w:t>Holbrook, A. L</w:t>
      </w:r>
      <w:r>
        <w:t xml:space="preserve">., </w:t>
      </w:r>
      <w:proofErr w:type="spellStart"/>
      <w:r>
        <w:t>J.A</w:t>
      </w:r>
      <w:proofErr w:type="spellEnd"/>
      <w:r>
        <w:t xml:space="preserve">. </w:t>
      </w:r>
      <w:proofErr w:type="spellStart"/>
      <w:r>
        <w:t>Krosnick</w:t>
      </w:r>
      <w:proofErr w:type="spellEnd"/>
      <w:r>
        <w:t xml:space="preserve">, and A. </w:t>
      </w:r>
      <w:proofErr w:type="spellStart"/>
      <w:r>
        <w:t>Pfent</w:t>
      </w:r>
      <w:proofErr w:type="spellEnd"/>
      <w:r>
        <w:t>.</w:t>
      </w:r>
      <w:r w:rsidRPr="00D10F02">
        <w:t xml:space="preserve"> “The Causes and Consequences of Response Rates in Surveys by the News Media and Government Contractor Survey Research Firms,” in </w:t>
      </w:r>
      <w:r w:rsidRPr="008C7D81">
        <w:rPr>
          <w:i/>
        </w:rPr>
        <w:t>Advances in Telephone Survey Methodology</w:t>
      </w:r>
      <w:r w:rsidRPr="00D10F02">
        <w:t xml:space="preserve"> (edited by J. M. </w:t>
      </w:r>
      <w:proofErr w:type="spellStart"/>
      <w:r w:rsidRPr="00D10F02">
        <w:t>Lepkowski</w:t>
      </w:r>
      <w:proofErr w:type="spellEnd"/>
      <w:r w:rsidRPr="00D10F02">
        <w:t xml:space="preserve">, C. Tucker, J. M. Brick, E. D. d. </w:t>
      </w:r>
      <w:proofErr w:type="spellStart"/>
      <w:r w:rsidRPr="00D10F02">
        <w:t>Leeuw</w:t>
      </w:r>
      <w:proofErr w:type="spellEnd"/>
      <w:r w:rsidRPr="00D10F02">
        <w:t xml:space="preserve">, L. </w:t>
      </w:r>
      <w:proofErr w:type="spellStart"/>
      <w:r w:rsidRPr="00D10F02">
        <w:t>Japec</w:t>
      </w:r>
      <w:proofErr w:type="spellEnd"/>
      <w:r w:rsidRPr="00D10F02">
        <w:t xml:space="preserve">, P. J. </w:t>
      </w:r>
      <w:proofErr w:type="spellStart"/>
      <w:r w:rsidRPr="00D10F02">
        <w:t>Lavrakas</w:t>
      </w:r>
      <w:proofErr w:type="spellEnd"/>
      <w:r w:rsidRPr="00D10F02">
        <w:t>, M. W. Link and R. L. Sangster). Hoboken, NJ: John Wiley &amp; Sons, Inc., 2007.</w:t>
      </w:r>
    </w:p>
  </w:footnote>
  <w:footnote w:id="14">
    <w:p w14:paraId="4F1DD2B7" w14:textId="0D11C2F5" w:rsidR="00BC094C" w:rsidRPr="00D10F02" w:rsidRDefault="00BC094C" w:rsidP="00D10F02">
      <w:pPr>
        <w:pStyle w:val="FootnoteText"/>
      </w:pPr>
      <w:r w:rsidRPr="008877A0">
        <w:rPr>
          <w:rStyle w:val="FootnoteReference"/>
          <w:sz w:val="20"/>
        </w:rPr>
        <w:footnoteRef/>
      </w:r>
      <w:r w:rsidRPr="008877A0">
        <w:rPr>
          <w:rStyle w:val="FootnoteReference"/>
          <w:sz w:val="20"/>
        </w:rPr>
        <w:t xml:space="preserve"> </w:t>
      </w:r>
      <w:r w:rsidRPr="00D10F02">
        <w:rPr>
          <w:rStyle w:val="FootnoteReference"/>
          <w:sz w:val="20"/>
          <w:vertAlign w:val="baseline"/>
        </w:rPr>
        <w:t xml:space="preserve">Singer, E., </w:t>
      </w:r>
      <w:r w:rsidRPr="00D10F02">
        <w:t xml:space="preserve">N. </w:t>
      </w:r>
      <w:proofErr w:type="spellStart"/>
      <w:r w:rsidRPr="00D10F02">
        <w:rPr>
          <w:rStyle w:val="FootnoteReference"/>
          <w:sz w:val="20"/>
          <w:vertAlign w:val="baseline"/>
        </w:rPr>
        <w:t>Gebler</w:t>
      </w:r>
      <w:proofErr w:type="spellEnd"/>
      <w:r w:rsidRPr="00D10F02">
        <w:rPr>
          <w:rStyle w:val="FootnoteReference"/>
          <w:sz w:val="20"/>
          <w:vertAlign w:val="baseline"/>
        </w:rPr>
        <w:t xml:space="preserve">, T. </w:t>
      </w:r>
      <w:proofErr w:type="spellStart"/>
      <w:r w:rsidRPr="00D10F02">
        <w:rPr>
          <w:rStyle w:val="FootnoteReference"/>
          <w:sz w:val="20"/>
          <w:vertAlign w:val="baseline"/>
        </w:rPr>
        <w:t>Raghunathan</w:t>
      </w:r>
      <w:proofErr w:type="spellEnd"/>
      <w:r w:rsidRPr="00D10F02">
        <w:rPr>
          <w:rStyle w:val="FootnoteReference"/>
          <w:sz w:val="20"/>
          <w:vertAlign w:val="baseline"/>
        </w:rPr>
        <w:t xml:space="preserve">, J. Van </w:t>
      </w:r>
      <w:proofErr w:type="spellStart"/>
      <w:r w:rsidRPr="00D10F02">
        <w:rPr>
          <w:rStyle w:val="FootnoteReference"/>
          <w:sz w:val="20"/>
          <w:vertAlign w:val="baseline"/>
        </w:rPr>
        <w:t>Hoewyk</w:t>
      </w:r>
      <w:proofErr w:type="spellEnd"/>
      <w:r w:rsidRPr="00D10F02">
        <w:rPr>
          <w:rStyle w:val="FootnoteReference"/>
          <w:sz w:val="20"/>
          <w:vertAlign w:val="baseline"/>
        </w:rPr>
        <w:t xml:space="preserve">, </w:t>
      </w:r>
      <w:r w:rsidRPr="00D10F02">
        <w:t xml:space="preserve">and K. </w:t>
      </w:r>
      <w:proofErr w:type="spellStart"/>
      <w:r w:rsidRPr="00D10F02">
        <w:rPr>
          <w:rStyle w:val="FootnoteReference"/>
          <w:sz w:val="20"/>
          <w:vertAlign w:val="baseline"/>
        </w:rPr>
        <w:t>McGonagle</w:t>
      </w:r>
      <w:proofErr w:type="spellEnd"/>
      <w:r w:rsidRPr="00D10F02">
        <w:rPr>
          <w:rStyle w:val="FootnoteReference"/>
          <w:sz w:val="20"/>
          <w:vertAlign w:val="baseline"/>
        </w:rPr>
        <w:t xml:space="preserve">. “The Effect of Incentives on Interviewer-Mediated Surveys.” </w:t>
      </w:r>
      <w:r w:rsidRPr="008C7D81">
        <w:rPr>
          <w:rStyle w:val="FootnoteReference"/>
          <w:i/>
          <w:sz w:val="20"/>
          <w:vertAlign w:val="baseline"/>
        </w:rPr>
        <w:t>Journal of Official Statistics</w:t>
      </w:r>
      <w:r w:rsidRPr="00D10F02">
        <w:rPr>
          <w:rStyle w:val="FootnoteReference"/>
          <w:sz w:val="20"/>
          <w:vertAlign w:val="baseline"/>
        </w:rPr>
        <w:t>, vol. 15, no. 2, 1999, pp. 217</w:t>
      </w:r>
      <w:r>
        <w:t>–</w:t>
      </w:r>
      <w:r w:rsidRPr="00D10F02">
        <w:rPr>
          <w:rStyle w:val="FootnoteReference"/>
          <w:sz w:val="20"/>
          <w:vertAlign w:val="baseline"/>
        </w:rPr>
        <w:t>230.</w:t>
      </w:r>
    </w:p>
  </w:footnote>
  <w:footnote w:id="15">
    <w:p w14:paraId="4313F127" w14:textId="715E58CE" w:rsidR="00BC094C" w:rsidRPr="00D10F02" w:rsidRDefault="00BC094C" w:rsidP="00D10F02">
      <w:pPr>
        <w:pStyle w:val="FootnoteText"/>
      </w:pPr>
      <w:r w:rsidRPr="008877A0">
        <w:rPr>
          <w:rStyle w:val="FootnoteReference"/>
          <w:sz w:val="20"/>
        </w:rPr>
        <w:footnoteRef/>
      </w:r>
      <w:r w:rsidRPr="00D10F02">
        <w:t xml:space="preserve"> Singer, E., and C. Ye. “The Use and Effects of Incentives in Surveys.” </w:t>
      </w:r>
      <w:r w:rsidRPr="008C7D81">
        <w:rPr>
          <w:i/>
        </w:rPr>
        <w:t>The ANNALS of the American Academy of Political and Social Science</w:t>
      </w:r>
      <w:r w:rsidRPr="00D10F02">
        <w:t>, vol. 645, no. 1, 2013, pp. 112</w:t>
      </w:r>
      <w:r>
        <w:t>–</w:t>
      </w:r>
      <w:r w:rsidRPr="00D10F02">
        <w:t>141.</w:t>
      </w:r>
    </w:p>
  </w:footnote>
  <w:footnote w:id="16">
    <w:p w14:paraId="68355447" w14:textId="4FC46523" w:rsidR="00BC094C" w:rsidRPr="00D10F02" w:rsidRDefault="00BC094C" w:rsidP="00D10F02">
      <w:pPr>
        <w:pStyle w:val="FootnoteText"/>
      </w:pPr>
      <w:r w:rsidRPr="008877A0">
        <w:rPr>
          <w:rStyle w:val="FootnoteReference"/>
          <w:sz w:val="20"/>
        </w:rPr>
        <w:footnoteRef/>
      </w:r>
      <w:r w:rsidRPr="008877A0">
        <w:rPr>
          <w:vertAlign w:val="superscript"/>
        </w:rPr>
        <w:t xml:space="preserve"> </w:t>
      </w:r>
      <w:r w:rsidRPr="00D10F02">
        <w:t xml:space="preserve">Rodgers W.L. “Effects of increasing the incentive size in a longitudinal study.” </w:t>
      </w:r>
      <w:r w:rsidRPr="008C7D81">
        <w:rPr>
          <w:i/>
        </w:rPr>
        <w:t>Journal of Official Statistics</w:t>
      </w:r>
      <w:r w:rsidRPr="00D10F02">
        <w:t>, vol. 27, no. 2, 2011, pp. 279</w:t>
      </w:r>
      <w:r>
        <w:t>–</w:t>
      </w:r>
      <w:r w:rsidRPr="00D10F02">
        <w:t>299.</w:t>
      </w:r>
    </w:p>
  </w:footnote>
  <w:footnote w:id="17">
    <w:p w14:paraId="53309984" w14:textId="00580FF7" w:rsidR="00BC094C" w:rsidRPr="00D10F02" w:rsidRDefault="00BC094C" w:rsidP="00D10F02">
      <w:pPr>
        <w:pStyle w:val="FootnoteText"/>
      </w:pPr>
      <w:r w:rsidRPr="008877A0">
        <w:rPr>
          <w:rStyle w:val="FootnoteReference"/>
          <w:sz w:val="20"/>
        </w:rPr>
        <w:footnoteRef/>
      </w:r>
      <w:r w:rsidRPr="008877A0">
        <w:rPr>
          <w:vertAlign w:val="superscript"/>
        </w:rPr>
        <w:t xml:space="preserve"> </w:t>
      </w:r>
      <w:proofErr w:type="spellStart"/>
      <w:r w:rsidRPr="00D10F02">
        <w:t>Colicchia</w:t>
      </w:r>
      <w:proofErr w:type="spellEnd"/>
      <w:r w:rsidRPr="00D10F02">
        <w:t xml:space="preserve">, M., M. </w:t>
      </w:r>
      <w:proofErr w:type="spellStart"/>
      <w:r w:rsidRPr="00D10F02">
        <w:rPr>
          <w:rStyle w:val="name2"/>
          <w:rFonts w:ascii="Times New Roman" w:hAnsi="Times New Roman"/>
          <w:b w:val="0"/>
          <w:bCs w:val="0"/>
          <w:sz w:val="20"/>
          <w:szCs w:val="20"/>
          <w:specVanish w:val="0"/>
        </w:rPr>
        <w:t>Czaplewski</w:t>
      </w:r>
      <w:proofErr w:type="spellEnd"/>
      <w:r w:rsidRPr="00D10F02">
        <w:rPr>
          <w:rStyle w:val="name2"/>
          <w:rFonts w:ascii="Times New Roman" w:hAnsi="Times New Roman"/>
          <w:b w:val="0"/>
          <w:bCs w:val="0"/>
          <w:sz w:val="20"/>
          <w:szCs w:val="20"/>
          <w:specVanish w:val="0"/>
        </w:rPr>
        <w:t xml:space="preserve">, and A. </w:t>
      </w:r>
      <w:proofErr w:type="spellStart"/>
      <w:r w:rsidRPr="00D10F02">
        <w:rPr>
          <w:rStyle w:val="name2"/>
          <w:rFonts w:ascii="Times New Roman" w:hAnsi="Times New Roman"/>
          <w:b w:val="0"/>
          <w:bCs w:val="0"/>
          <w:sz w:val="20"/>
          <w:szCs w:val="20"/>
          <w:specVanish w:val="0"/>
        </w:rPr>
        <w:t>Jaszczak</w:t>
      </w:r>
      <w:proofErr w:type="spellEnd"/>
      <w:r w:rsidRPr="00D10F02">
        <w:rPr>
          <w:rStyle w:val="name2"/>
          <w:rFonts w:ascii="Times New Roman" w:hAnsi="Times New Roman"/>
          <w:b w:val="0"/>
          <w:bCs w:val="0"/>
          <w:sz w:val="20"/>
          <w:szCs w:val="20"/>
          <w:specVanish w:val="0"/>
        </w:rPr>
        <w:t xml:space="preserve">. “Refusal Conversion Incentives and Participation in a Longitudinal Study of Older Adults.” </w:t>
      </w:r>
      <w:r w:rsidRPr="008C7D81">
        <w:rPr>
          <w:rStyle w:val="name2"/>
          <w:rFonts w:ascii="Times New Roman" w:hAnsi="Times New Roman"/>
          <w:b w:val="0"/>
          <w:bCs w:val="0"/>
          <w:i/>
          <w:sz w:val="20"/>
          <w:szCs w:val="20"/>
          <w:specVanish w:val="0"/>
        </w:rPr>
        <w:t>Survey Practice</w:t>
      </w:r>
      <w:r w:rsidRPr="00D10F02">
        <w:rPr>
          <w:rStyle w:val="name2"/>
          <w:rFonts w:ascii="Times New Roman" w:hAnsi="Times New Roman"/>
          <w:b w:val="0"/>
          <w:bCs w:val="0"/>
          <w:sz w:val="20"/>
          <w:szCs w:val="20"/>
          <w:specVanish w:val="0"/>
        </w:rPr>
        <w:t xml:space="preserve">, vol. 5, no. 3, 2012. Available at </w:t>
      </w:r>
      <w:hyperlink r:id="rId2" w:tooltip="Refusal Conversion Incentives and Participation journal article" w:history="1">
        <w:r w:rsidRPr="00F75A66">
          <w:rPr>
            <w:rStyle w:val="Hyperlink"/>
          </w:rPr>
          <w:t>http://surveypractice.org/index.php/SurveyPractice/article/view/22/pdf_1</w:t>
        </w:r>
      </w:hyperlink>
      <w:r w:rsidRPr="00D10F02">
        <w:rPr>
          <w:rStyle w:val="Hyperlink"/>
          <w:color w:val="auto"/>
          <w:u w:val="none"/>
        </w:rPr>
        <w:t>.</w:t>
      </w:r>
      <w:r>
        <w:rPr>
          <w:rStyle w:val="name2"/>
          <w:rFonts w:ascii="Times New Roman" w:hAnsi="Times New Roman"/>
          <w:b w:val="0"/>
          <w:bCs w:val="0"/>
          <w:sz w:val="20"/>
          <w:szCs w:val="20"/>
          <w:specVanish w:val="0"/>
        </w:rPr>
        <w:t xml:space="preserve"> </w:t>
      </w:r>
      <w:r w:rsidRPr="00D10F02">
        <w:t>Accessed January 15, 2015.</w:t>
      </w:r>
    </w:p>
  </w:footnote>
  <w:footnote w:id="18">
    <w:p w14:paraId="0A7E38E5" w14:textId="77777777" w:rsidR="00BC094C" w:rsidRPr="00D272F9" w:rsidRDefault="00BC094C">
      <w:pPr>
        <w:pStyle w:val="FootnoteText"/>
      </w:pPr>
      <w:r w:rsidRPr="00D272F9">
        <w:rPr>
          <w:rStyle w:val="FootnoteReference"/>
        </w:rPr>
        <w:footnoteRef/>
      </w:r>
      <w:r w:rsidRPr="00D272F9">
        <w:t xml:space="preserve"> </w:t>
      </w:r>
      <w:r>
        <w:t>Enrollment rates will be c</w:t>
      </w:r>
      <w:r w:rsidRPr="00D272F9">
        <w:t xml:space="preserve">alculated using </w:t>
      </w:r>
      <w:proofErr w:type="spellStart"/>
      <w:r w:rsidRPr="00D272F9">
        <w:t>Voxiva</w:t>
      </w:r>
      <w:proofErr w:type="spellEnd"/>
      <w:r w:rsidRPr="00D272F9">
        <w:t>-Medicaid linked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0B012" w14:textId="77777777" w:rsidR="00BC094C" w:rsidRDefault="00BC094C" w:rsidP="00D3479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C4C5B" w14:textId="7439185C" w:rsidR="00BC094C" w:rsidRDefault="00BC094C" w:rsidP="00FD146C">
    <w:pPr>
      <w:pStyle w:val="Header"/>
    </w:pPr>
    <w:r>
      <w:t>SUPPORTING STATEMENT: PART 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F7C1" w14:textId="37E636BB" w:rsidR="00BC094C" w:rsidRPr="00FD146C" w:rsidRDefault="00BC094C" w:rsidP="00FD146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D68D4" w14:textId="77777777" w:rsidR="00BC094C" w:rsidRDefault="00BC094C" w:rsidP="00FD146C">
    <w:pPr>
      <w:pStyle w:val="Header"/>
    </w:pPr>
    <w:r>
      <w:t>SUPPORTING STATEMENT: PART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E306FB9A"/>
    <w:lvl w:ilvl="0">
      <w:start w:val="1"/>
      <w:numFmt w:val="bullet"/>
      <w:pStyle w:val="ListBullet"/>
      <w:lvlText w:val=""/>
      <w:lvlJc w:val="left"/>
      <w:pPr>
        <w:tabs>
          <w:tab w:val="num" w:pos="450"/>
        </w:tabs>
        <w:ind w:left="450" w:hanging="360"/>
      </w:pPr>
      <w:rPr>
        <w:rFonts w:ascii="Symbol" w:hAnsi="Symbol" w:hint="default"/>
      </w:rPr>
    </w:lvl>
  </w:abstractNum>
  <w:abstractNum w:abstractNumId="2"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DE9311C"/>
    <w:multiLevelType w:val="hybridMultilevel"/>
    <w:tmpl w:val="D89ECED2"/>
    <w:lvl w:ilvl="0" w:tplc="E17044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91BE7"/>
    <w:multiLevelType w:val="hybridMultilevel"/>
    <w:tmpl w:val="5C98AC30"/>
    <w:lvl w:ilvl="0" w:tplc="4E5EDEE8">
      <w:start w:val="1"/>
      <w:numFmt w:val="bullet"/>
      <w:lvlText w:val="•"/>
      <w:lvlJc w:val="left"/>
      <w:pPr>
        <w:ind w:left="395" w:hanging="79"/>
      </w:pPr>
      <w:rPr>
        <w:rFonts w:ascii="Arial" w:eastAsia="Arial" w:hAnsi="Arial" w:hint="default"/>
        <w:w w:val="101"/>
        <w:sz w:val="13"/>
        <w:szCs w:val="13"/>
      </w:rPr>
    </w:lvl>
    <w:lvl w:ilvl="1" w:tplc="12907DF8">
      <w:start w:val="1"/>
      <w:numFmt w:val="bullet"/>
      <w:lvlText w:val="•"/>
      <w:lvlJc w:val="left"/>
      <w:pPr>
        <w:ind w:left="3269" w:hanging="79"/>
      </w:pPr>
      <w:rPr>
        <w:rFonts w:ascii="Arial" w:eastAsia="Arial" w:hAnsi="Arial" w:hint="default"/>
        <w:w w:val="101"/>
        <w:sz w:val="13"/>
        <w:szCs w:val="13"/>
      </w:rPr>
    </w:lvl>
    <w:lvl w:ilvl="2" w:tplc="F0105F28">
      <w:start w:val="1"/>
      <w:numFmt w:val="bullet"/>
      <w:lvlText w:val="•"/>
      <w:lvlJc w:val="left"/>
      <w:pPr>
        <w:ind w:left="2307" w:hanging="79"/>
      </w:pPr>
      <w:rPr>
        <w:rFonts w:hint="default"/>
      </w:rPr>
    </w:lvl>
    <w:lvl w:ilvl="3" w:tplc="F8BE5256">
      <w:start w:val="1"/>
      <w:numFmt w:val="bullet"/>
      <w:lvlText w:val="•"/>
      <w:lvlJc w:val="left"/>
      <w:pPr>
        <w:ind w:left="1345" w:hanging="79"/>
      </w:pPr>
      <w:rPr>
        <w:rFonts w:hint="default"/>
      </w:rPr>
    </w:lvl>
    <w:lvl w:ilvl="4" w:tplc="32D6B9EC">
      <w:start w:val="1"/>
      <w:numFmt w:val="bullet"/>
      <w:lvlText w:val="•"/>
      <w:lvlJc w:val="left"/>
      <w:pPr>
        <w:ind w:left="383" w:hanging="79"/>
      </w:pPr>
      <w:rPr>
        <w:rFonts w:hint="default"/>
      </w:rPr>
    </w:lvl>
    <w:lvl w:ilvl="5" w:tplc="3B106204">
      <w:start w:val="1"/>
      <w:numFmt w:val="bullet"/>
      <w:lvlText w:val="•"/>
      <w:lvlJc w:val="left"/>
      <w:pPr>
        <w:ind w:left="-579" w:hanging="79"/>
      </w:pPr>
      <w:rPr>
        <w:rFonts w:hint="default"/>
      </w:rPr>
    </w:lvl>
    <w:lvl w:ilvl="6" w:tplc="BFEC6402">
      <w:start w:val="1"/>
      <w:numFmt w:val="bullet"/>
      <w:lvlText w:val="•"/>
      <w:lvlJc w:val="left"/>
      <w:pPr>
        <w:ind w:left="-1542" w:hanging="79"/>
      </w:pPr>
      <w:rPr>
        <w:rFonts w:hint="default"/>
      </w:rPr>
    </w:lvl>
    <w:lvl w:ilvl="7" w:tplc="38EC3672">
      <w:start w:val="1"/>
      <w:numFmt w:val="bullet"/>
      <w:lvlText w:val="•"/>
      <w:lvlJc w:val="left"/>
      <w:pPr>
        <w:ind w:left="-2504" w:hanging="79"/>
      </w:pPr>
      <w:rPr>
        <w:rFonts w:hint="default"/>
      </w:rPr>
    </w:lvl>
    <w:lvl w:ilvl="8" w:tplc="3CECA186">
      <w:start w:val="1"/>
      <w:numFmt w:val="bullet"/>
      <w:lvlText w:val="•"/>
      <w:lvlJc w:val="left"/>
      <w:pPr>
        <w:ind w:left="-3466" w:hanging="79"/>
      </w:pPr>
      <w:rPr>
        <w:rFonts w:hint="default"/>
      </w:rPr>
    </w:lvl>
  </w:abstractNum>
  <w:abstractNum w:abstractNumId="12"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3"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F24"/>
    <w:multiLevelType w:val="hybridMultilevel"/>
    <w:tmpl w:val="6B063F6C"/>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5" w15:restartNumberingAfterBreak="0">
    <w:nsid w:val="3D454D2F"/>
    <w:multiLevelType w:val="hybridMultilevel"/>
    <w:tmpl w:val="097894C6"/>
    <w:lvl w:ilvl="0" w:tplc="FF228352">
      <w:start w:val="1"/>
      <w:numFmt w:val="bullet"/>
      <w:pStyle w:val="Contents"/>
      <w:lvlText w:val="–"/>
      <w:lvlJc w:val="left"/>
      <w:pPr>
        <w:ind w:left="4680" w:hanging="360"/>
      </w:pPr>
      <w:rPr>
        <w:rFonts w:ascii="Arial" w:hAnsi="Aria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6" w15:restartNumberingAfterBreak="0">
    <w:nsid w:val="435F6246"/>
    <w:multiLevelType w:val="hybridMultilevel"/>
    <w:tmpl w:val="E256852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15:restartNumberingAfterBreak="0">
    <w:nsid w:val="4A7363D7"/>
    <w:multiLevelType w:val="hybridMultilevel"/>
    <w:tmpl w:val="AEFC81C4"/>
    <w:lvl w:ilvl="0" w:tplc="A1EA18E2">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EE2663"/>
    <w:multiLevelType w:val="hybridMultilevel"/>
    <w:tmpl w:val="9E8E1CCE"/>
    <w:lvl w:ilvl="0" w:tplc="DE92238C">
      <w:start w:val="1"/>
      <w:numFmt w:val="upperLetter"/>
      <w:lvlText w:val="%1."/>
      <w:lvlJc w:val="left"/>
      <w:pPr>
        <w:ind w:left="568" w:hanging="433"/>
      </w:pPr>
      <w:rPr>
        <w:rFonts w:ascii="Arial Black" w:eastAsia="Arial Black" w:hAnsi="Arial Black" w:hint="default"/>
        <w:b/>
        <w:bCs/>
        <w:spacing w:val="1"/>
        <w:sz w:val="22"/>
        <w:szCs w:val="22"/>
      </w:rPr>
    </w:lvl>
    <w:lvl w:ilvl="1" w:tplc="3782C750">
      <w:start w:val="1"/>
      <w:numFmt w:val="decimal"/>
      <w:lvlText w:val="%2."/>
      <w:lvlJc w:val="left"/>
      <w:pPr>
        <w:ind w:left="568" w:hanging="432"/>
      </w:pPr>
      <w:rPr>
        <w:rFonts w:ascii="Times New Roman" w:eastAsia="Times New Roman" w:hAnsi="Times New Roman" w:hint="default"/>
        <w:b/>
        <w:bCs/>
        <w:sz w:val="24"/>
        <w:szCs w:val="24"/>
      </w:rPr>
    </w:lvl>
    <w:lvl w:ilvl="2" w:tplc="C4DA669A">
      <w:start w:val="1"/>
      <w:numFmt w:val="bullet"/>
      <w:lvlText w:val="•"/>
      <w:lvlJc w:val="left"/>
      <w:pPr>
        <w:ind w:left="3050" w:hanging="79"/>
      </w:pPr>
      <w:rPr>
        <w:rFonts w:ascii="Arial" w:eastAsia="Arial" w:hAnsi="Arial" w:hint="default"/>
        <w:w w:val="101"/>
        <w:sz w:val="13"/>
        <w:szCs w:val="13"/>
      </w:rPr>
    </w:lvl>
    <w:lvl w:ilvl="3" w:tplc="8FE850F4">
      <w:start w:val="1"/>
      <w:numFmt w:val="bullet"/>
      <w:lvlText w:val="•"/>
      <w:lvlJc w:val="left"/>
      <w:pPr>
        <w:ind w:left="3329" w:hanging="79"/>
      </w:pPr>
      <w:rPr>
        <w:rFonts w:hint="default"/>
      </w:rPr>
    </w:lvl>
    <w:lvl w:ilvl="4" w:tplc="23F48C5C">
      <w:start w:val="1"/>
      <w:numFmt w:val="bullet"/>
      <w:lvlText w:val="•"/>
      <w:lvlJc w:val="left"/>
      <w:pPr>
        <w:ind w:left="3607" w:hanging="79"/>
      </w:pPr>
      <w:rPr>
        <w:rFonts w:hint="default"/>
      </w:rPr>
    </w:lvl>
    <w:lvl w:ilvl="5" w:tplc="504E1E9A">
      <w:start w:val="1"/>
      <w:numFmt w:val="bullet"/>
      <w:lvlText w:val="•"/>
      <w:lvlJc w:val="left"/>
      <w:pPr>
        <w:ind w:left="3886" w:hanging="79"/>
      </w:pPr>
      <w:rPr>
        <w:rFonts w:hint="default"/>
      </w:rPr>
    </w:lvl>
    <w:lvl w:ilvl="6" w:tplc="58CE580A">
      <w:start w:val="1"/>
      <w:numFmt w:val="bullet"/>
      <w:lvlText w:val="•"/>
      <w:lvlJc w:val="left"/>
      <w:pPr>
        <w:ind w:left="4165" w:hanging="79"/>
      </w:pPr>
      <w:rPr>
        <w:rFonts w:hint="default"/>
      </w:rPr>
    </w:lvl>
    <w:lvl w:ilvl="7" w:tplc="0666F9E4">
      <w:start w:val="1"/>
      <w:numFmt w:val="bullet"/>
      <w:lvlText w:val="•"/>
      <w:lvlJc w:val="left"/>
      <w:pPr>
        <w:ind w:left="4443" w:hanging="79"/>
      </w:pPr>
      <w:rPr>
        <w:rFonts w:hint="default"/>
      </w:rPr>
    </w:lvl>
    <w:lvl w:ilvl="8" w:tplc="27B21B00">
      <w:start w:val="1"/>
      <w:numFmt w:val="bullet"/>
      <w:lvlText w:val="•"/>
      <w:lvlJc w:val="left"/>
      <w:pPr>
        <w:ind w:left="4722" w:hanging="79"/>
      </w:pPr>
      <w:rPr>
        <w:rFonts w:hint="default"/>
      </w:rPr>
    </w:lvl>
  </w:abstractNum>
  <w:abstractNum w:abstractNumId="25"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8" w15:restartNumberingAfterBreak="0">
    <w:nsid w:val="67BC695B"/>
    <w:multiLevelType w:val="hybridMultilevel"/>
    <w:tmpl w:val="48B47AE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2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4"/>
  </w:num>
  <w:num w:numId="3">
    <w:abstractNumId w:val="30"/>
  </w:num>
  <w:num w:numId="4">
    <w:abstractNumId w:val="21"/>
  </w:num>
  <w:num w:numId="5">
    <w:abstractNumId w:val="1"/>
  </w:num>
  <w:num w:numId="6">
    <w:abstractNumId w:val="14"/>
  </w:num>
  <w:num w:numId="7">
    <w:abstractNumId w:val="19"/>
  </w:num>
  <w:num w:numId="8">
    <w:abstractNumId w:val="16"/>
  </w:num>
  <w:num w:numId="9">
    <w:abstractNumId w:val="28"/>
  </w:num>
  <w:num w:numId="10">
    <w:abstractNumId w:val="20"/>
  </w:num>
  <w:num w:numId="11">
    <w:abstractNumId w:val="32"/>
  </w:num>
  <w:num w:numId="12">
    <w:abstractNumId w:val="7"/>
  </w:num>
  <w:num w:numId="13">
    <w:abstractNumId w:val="31"/>
  </w:num>
  <w:num w:numId="14">
    <w:abstractNumId w:val="26"/>
  </w:num>
  <w:num w:numId="15">
    <w:abstractNumId w:val="15"/>
  </w:num>
  <w:num w:numId="16">
    <w:abstractNumId w:val="9"/>
  </w:num>
  <w:num w:numId="17">
    <w:abstractNumId w:val="33"/>
  </w:num>
  <w:num w:numId="18">
    <w:abstractNumId w:val="0"/>
  </w:num>
  <w:num w:numId="19">
    <w:abstractNumId w:val="13"/>
  </w:num>
  <w:num w:numId="20">
    <w:abstractNumId w:val="22"/>
  </w:num>
  <w:num w:numId="21">
    <w:abstractNumId w:val="5"/>
  </w:num>
  <w:num w:numId="22">
    <w:abstractNumId w:val="23"/>
  </w:num>
  <w:num w:numId="23">
    <w:abstractNumId w:val="3"/>
  </w:num>
  <w:num w:numId="24">
    <w:abstractNumId w:val="17"/>
  </w:num>
  <w:num w:numId="25">
    <w:abstractNumId w:val="29"/>
  </w:num>
  <w:num w:numId="26">
    <w:abstractNumId w:val="6"/>
  </w:num>
  <w:num w:numId="27">
    <w:abstractNumId w:val="2"/>
  </w:num>
  <w:num w:numId="28">
    <w:abstractNumId w:val="10"/>
  </w:num>
  <w:num w:numId="29">
    <w:abstractNumId w:val="18"/>
  </w:num>
  <w:num w:numId="30">
    <w:abstractNumId w:val="27"/>
  </w:num>
  <w:num w:numId="31">
    <w:abstractNumId w:val="25"/>
  </w:num>
  <w:num w:numId="32">
    <w:abstractNumId w:val="4"/>
  </w:num>
  <w:num w:numId="33">
    <w:abstractNumId w:val="19"/>
    <w:lvlOverride w:ilvl="0">
      <w:startOverride w:val="1"/>
    </w:lvlOverride>
  </w:num>
  <w:num w:numId="34">
    <w:abstractNumId w:val="12"/>
  </w:num>
  <w:num w:numId="35">
    <w:abstractNumId w:val="8"/>
  </w:num>
  <w:num w:numId="36">
    <w:abstractNumId w:val="8"/>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linkStyles/>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AA"/>
    <w:rsid w:val="0000581B"/>
    <w:rsid w:val="00021C51"/>
    <w:rsid w:val="000252D7"/>
    <w:rsid w:val="000460CA"/>
    <w:rsid w:val="00046462"/>
    <w:rsid w:val="00050EC2"/>
    <w:rsid w:val="00062262"/>
    <w:rsid w:val="000650BF"/>
    <w:rsid w:val="00066EBB"/>
    <w:rsid w:val="000670D5"/>
    <w:rsid w:val="00084D37"/>
    <w:rsid w:val="000915BA"/>
    <w:rsid w:val="00092CFE"/>
    <w:rsid w:val="000A08DD"/>
    <w:rsid w:val="000B005F"/>
    <w:rsid w:val="000B5205"/>
    <w:rsid w:val="000C2161"/>
    <w:rsid w:val="000C60D1"/>
    <w:rsid w:val="000D0959"/>
    <w:rsid w:val="000D3F16"/>
    <w:rsid w:val="000E0AEB"/>
    <w:rsid w:val="000E4769"/>
    <w:rsid w:val="000F5C3C"/>
    <w:rsid w:val="001113AA"/>
    <w:rsid w:val="001161E8"/>
    <w:rsid w:val="00120E3C"/>
    <w:rsid w:val="001260EE"/>
    <w:rsid w:val="00126AF8"/>
    <w:rsid w:val="00134E8D"/>
    <w:rsid w:val="001355E3"/>
    <w:rsid w:val="0013709D"/>
    <w:rsid w:val="001431BA"/>
    <w:rsid w:val="00143200"/>
    <w:rsid w:val="00143337"/>
    <w:rsid w:val="00144D8A"/>
    <w:rsid w:val="001474F1"/>
    <w:rsid w:val="00147A4D"/>
    <w:rsid w:val="00152CBB"/>
    <w:rsid w:val="00175618"/>
    <w:rsid w:val="00187F1F"/>
    <w:rsid w:val="00187FC1"/>
    <w:rsid w:val="00191DFB"/>
    <w:rsid w:val="0019564B"/>
    <w:rsid w:val="001B49B2"/>
    <w:rsid w:val="001B6EFE"/>
    <w:rsid w:val="001C6DC7"/>
    <w:rsid w:val="001D00EF"/>
    <w:rsid w:val="001D02C3"/>
    <w:rsid w:val="001D0F3C"/>
    <w:rsid w:val="001D12DA"/>
    <w:rsid w:val="001D2CA0"/>
    <w:rsid w:val="001D5D8E"/>
    <w:rsid w:val="001D66CD"/>
    <w:rsid w:val="001F13CA"/>
    <w:rsid w:val="001F2D33"/>
    <w:rsid w:val="001F3426"/>
    <w:rsid w:val="001F7C74"/>
    <w:rsid w:val="00206392"/>
    <w:rsid w:val="00206BAE"/>
    <w:rsid w:val="00206E02"/>
    <w:rsid w:val="00207DD1"/>
    <w:rsid w:val="00211A78"/>
    <w:rsid w:val="002122D9"/>
    <w:rsid w:val="00212B11"/>
    <w:rsid w:val="00213C54"/>
    <w:rsid w:val="002145A8"/>
    <w:rsid w:val="00226631"/>
    <w:rsid w:val="00226A6B"/>
    <w:rsid w:val="002271C7"/>
    <w:rsid w:val="002326AB"/>
    <w:rsid w:val="0025741B"/>
    <w:rsid w:val="00261B73"/>
    <w:rsid w:val="002648EA"/>
    <w:rsid w:val="002659CE"/>
    <w:rsid w:val="00271206"/>
    <w:rsid w:val="0028255D"/>
    <w:rsid w:val="00297F74"/>
    <w:rsid w:val="002B0B90"/>
    <w:rsid w:val="002B3B69"/>
    <w:rsid w:val="002B46F6"/>
    <w:rsid w:val="002C0A8D"/>
    <w:rsid w:val="002C41DB"/>
    <w:rsid w:val="002C54D3"/>
    <w:rsid w:val="002D2D1A"/>
    <w:rsid w:val="002E040C"/>
    <w:rsid w:val="002E1FBB"/>
    <w:rsid w:val="002E5FCC"/>
    <w:rsid w:val="002F0D79"/>
    <w:rsid w:val="002F69E6"/>
    <w:rsid w:val="00302995"/>
    <w:rsid w:val="003079DC"/>
    <w:rsid w:val="003227D0"/>
    <w:rsid w:val="00330F6D"/>
    <w:rsid w:val="003343CA"/>
    <w:rsid w:val="003453AE"/>
    <w:rsid w:val="00347371"/>
    <w:rsid w:val="00364C6B"/>
    <w:rsid w:val="00364DCD"/>
    <w:rsid w:val="003659E6"/>
    <w:rsid w:val="00370BFD"/>
    <w:rsid w:val="00373E0E"/>
    <w:rsid w:val="00387AC1"/>
    <w:rsid w:val="0039187B"/>
    <w:rsid w:val="00392250"/>
    <w:rsid w:val="003A1492"/>
    <w:rsid w:val="003A5A5F"/>
    <w:rsid w:val="003A69AA"/>
    <w:rsid w:val="003B01F9"/>
    <w:rsid w:val="003B44D4"/>
    <w:rsid w:val="003C0B05"/>
    <w:rsid w:val="003C30A0"/>
    <w:rsid w:val="003D24A5"/>
    <w:rsid w:val="003E3E30"/>
    <w:rsid w:val="003F06DD"/>
    <w:rsid w:val="003F0F9C"/>
    <w:rsid w:val="003F708A"/>
    <w:rsid w:val="0040053A"/>
    <w:rsid w:val="0040077D"/>
    <w:rsid w:val="0041635C"/>
    <w:rsid w:val="00420D13"/>
    <w:rsid w:val="004256C7"/>
    <w:rsid w:val="00426139"/>
    <w:rsid w:val="0043020B"/>
    <w:rsid w:val="00434008"/>
    <w:rsid w:val="0044397C"/>
    <w:rsid w:val="0045228E"/>
    <w:rsid w:val="0045236A"/>
    <w:rsid w:val="00455499"/>
    <w:rsid w:val="00457252"/>
    <w:rsid w:val="004644B2"/>
    <w:rsid w:val="004760E9"/>
    <w:rsid w:val="00480633"/>
    <w:rsid w:val="0048092D"/>
    <w:rsid w:val="00481B24"/>
    <w:rsid w:val="00487064"/>
    <w:rsid w:val="00492810"/>
    <w:rsid w:val="00492F5D"/>
    <w:rsid w:val="004A1C37"/>
    <w:rsid w:val="004A2B71"/>
    <w:rsid w:val="004A3B04"/>
    <w:rsid w:val="004A56E4"/>
    <w:rsid w:val="004A577B"/>
    <w:rsid w:val="004B15C5"/>
    <w:rsid w:val="004B31FA"/>
    <w:rsid w:val="004C2C26"/>
    <w:rsid w:val="004C3418"/>
    <w:rsid w:val="004C5D01"/>
    <w:rsid w:val="004D1643"/>
    <w:rsid w:val="004E0147"/>
    <w:rsid w:val="004E7588"/>
    <w:rsid w:val="004F0EAC"/>
    <w:rsid w:val="004F4C8E"/>
    <w:rsid w:val="004F6165"/>
    <w:rsid w:val="004F762E"/>
    <w:rsid w:val="00501976"/>
    <w:rsid w:val="00502D98"/>
    <w:rsid w:val="0050365E"/>
    <w:rsid w:val="00517478"/>
    <w:rsid w:val="00521CF3"/>
    <w:rsid w:val="005353C2"/>
    <w:rsid w:val="005375DA"/>
    <w:rsid w:val="00540105"/>
    <w:rsid w:val="005420C6"/>
    <w:rsid w:val="00546E3F"/>
    <w:rsid w:val="00553720"/>
    <w:rsid w:val="005618C4"/>
    <w:rsid w:val="00563620"/>
    <w:rsid w:val="005A05C8"/>
    <w:rsid w:val="005A3CAF"/>
    <w:rsid w:val="005A3FF6"/>
    <w:rsid w:val="005A6F25"/>
    <w:rsid w:val="005B0656"/>
    <w:rsid w:val="005B0834"/>
    <w:rsid w:val="005B0C58"/>
    <w:rsid w:val="005B124A"/>
    <w:rsid w:val="005C2AD1"/>
    <w:rsid w:val="005E568D"/>
    <w:rsid w:val="005E614C"/>
    <w:rsid w:val="005F164C"/>
    <w:rsid w:val="005F480B"/>
    <w:rsid w:val="005F4C10"/>
    <w:rsid w:val="005F6FBD"/>
    <w:rsid w:val="00602957"/>
    <w:rsid w:val="00624ED1"/>
    <w:rsid w:val="00626FD7"/>
    <w:rsid w:val="00631E9E"/>
    <w:rsid w:val="006378F5"/>
    <w:rsid w:val="00643F6F"/>
    <w:rsid w:val="006466DA"/>
    <w:rsid w:val="006478AB"/>
    <w:rsid w:val="00650F17"/>
    <w:rsid w:val="00655EBD"/>
    <w:rsid w:val="00662D1F"/>
    <w:rsid w:val="00666B13"/>
    <w:rsid w:val="006805EE"/>
    <w:rsid w:val="0068121B"/>
    <w:rsid w:val="00691352"/>
    <w:rsid w:val="00692488"/>
    <w:rsid w:val="00694AA0"/>
    <w:rsid w:val="00695319"/>
    <w:rsid w:val="00697617"/>
    <w:rsid w:val="006A0732"/>
    <w:rsid w:val="006C382C"/>
    <w:rsid w:val="006C405C"/>
    <w:rsid w:val="006C4211"/>
    <w:rsid w:val="006D1343"/>
    <w:rsid w:val="006D2F1C"/>
    <w:rsid w:val="006D6A70"/>
    <w:rsid w:val="006D6BA4"/>
    <w:rsid w:val="006F01AA"/>
    <w:rsid w:val="006F1530"/>
    <w:rsid w:val="006F5FFA"/>
    <w:rsid w:val="00713A26"/>
    <w:rsid w:val="00720F42"/>
    <w:rsid w:val="0072369A"/>
    <w:rsid w:val="00725613"/>
    <w:rsid w:val="0074056B"/>
    <w:rsid w:val="00741425"/>
    <w:rsid w:val="007446B0"/>
    <w:rsid w:val="00753D51"/>
    <w:rsid w:val="00757CBD"/>
    <w:rsid w:val="00764654"/>
    <w:rsid w:val="00770B49"/>
    <w:rsid w:val="0077342E"/>
    <w:rsid w:val="00773CC2"/>
    <w:rsid w:val="007908A0"/>
    <w:rsid w:val="00797826"/>
    <w:rsid w:val="007A00D8"/>
    <w:rsid w:val="007A55E8"/>
    <w:rsid w:val="007A59C9"/>
    <w:rsid w:val="007B0355"/>
    <w:rsid w:val="007B5951"/>
    <w:rsid w:val="007B5EAE"/>
    <w:rsid w:val="007C62A3"/>
    <w:rsid w:val="007D0388"/>
    <w:rsid w:val="007D163B"/>
    <w:rsid w:val="007E1F37"/>
    <w:rsid w:val="007E246F"/>
    <w:rsid w:val="007E35B9"/>
    <w:rsid w:val="007E7C0B"/>
    <w:rsid w:val="007F5C1A"/>
    <w:rsid w:val="007F75CB"/>
    <w:rsid w:val="00800212"/>
    <w:rsid w:val="00802E5C"/>
    <w:rsid w:val="00805C97"/>
    <w:rsid w:val="008061BA"/>
    <w:rsid w:val="008104AD"/>
    <w:rsid w:val="00810B5B"/>
    <w:rsid w:val="00812864"/>
    <w:rsid w:val="00812E69"/>
    <w:rsid w:val="0081492F"/>
    <w:rsid w:val="00831A88"/>
    <w:rsid w:val="00837984"/>
    <w:rsid w:val="0085409E"/>
    <w:rsid w:val="00881445"/>
    <w:rsid w:val="008877A0"/>
    <w:rsid w:val="00890FD9"/>
    <w:rsid w:val="008932CC"/>
    <w:rsid w:val="008B55D2"/>
    <w:rsid w:val="008B6931"/>
    <w:rsid w:val="008B7476"/>
    <w:rsid w:val="008C1DBB"/>
    <w:rsid w:val="008C2A50"/>
    <w:rsid w:val="008C5368"/>
    <w:rsid w:val="008C73ED"/>
    <w:rsid w:val="008C7D18"/>
    <w:rsid w:val="008C7D81"/>
    <w:rsid w:val="008D6C93"/>
    <w:rsid w:val="008E1F1D"/>
    <w:rsid w:val="008E33A0"/>
    <w:rsid w:val="008E45C9"/>
    <w:rsid w:val="008F3308"/>
    <w:rsid w:val="008F33DC"/>
    <w:rsid w:val="008F3BBA"/>
    <w:rsid w:val="00903585"/>
    <w:rsid w:val="009113D7"/>
    <w:rsid w:val="009161B4"/>
    <w:rsid w:val="0093278F"/>
    <w:rsid w:val="00937327"/>
    <w:rsid w:val="009417B0"/>
    <w:rsid w:val="00942E46"/>
    <w:rsid w:val="00943C2A"/>
    <w:rsid w:val="00956259"/>
    <w:rsid w:val="009613BC"/>
    <w:rsid w:val="00970BEF"/>
    <w:rsid w:val="00977964"/>
    <w:rsid w:val="00985F18"/>
    <w:rsid w:val="00986414"/>
    <w:rsid w:val="009A7067"/>
    <w:rsid w:val="009D04DE"/>
    <w:rsid w:val="009D385A"/>
    <w:rsid w:val="009D444F"/>
    <w:rsid w:val="009E1241"/>
    <w:rsid w:val="009E4F4F"/>
    <w:rsid w:val="009F426F"/>
    <w:rsid w:val="00A274DB"/>
    <w:rsid w:val="00A37522"/>
    <w:rsid w:val="00A37E53"/>
    <w:rsid w:val="00A41B3C"/>
    <w:rsid w:val="00A46976"/>
    <w:rsid w:val="00A47DAB"/>
    <w:rsid w:val="00A57306"/>
    <w:rsid w:val="00A662DE"/>
    <w:rsid w:val="00A71F3A"/>
    <w:rsid w:val="00A73701"/>
    <w:rsid w:val="00A7499F"/>
    <w:rsid w:val="00A80426"/>
    <w:rsid w:val="00A81B64"/>
    <w:rsid w:val="00A82CBE"/>
    <w:rsid w:val="00A8752D"/>
    <w:rsid w:val="00A87D36"/>
    <w:rsid w:val="00A94C6B"/>
    <w:rsid w:val="00A960DD"/>
    <w:rsid w:val="00A96AA5"/>
    <w:rsid w:val="00AA4D73"/>
    <w:rsid w:val="00AB1CA2"/>
    <w:rsid w:val="00AB337C"/>
    <w:rsid w:val="00AD44F5"/>
    <w:rsid w:val="00AD5C68"/>
    <w:rsid w:val="00B015FB"/>
    <w:rsid w:val="00B04445"/>
    <w:rsid w:val="00B05B38"/>
    <w:rsid w:val="00B12F7A"/>
    <w:rsid w:val="00B15358"/>
    <w:rsid w:val="00B71B2C"/>
    <w:rsid w:val="00B820AA"/>
    <w:rsid w:val="00B856BF"/>
    <w:rsid w:val="00BA51AC"/>
    <w:rsid w:val="00BA7C5F"/>
    <w:rsid w:val="00BC094C"/>
    <w:rsid w:val="00BC4715"/>
    <w:rsid w:val="00BC5E42"/>
    <w:rsid w:val="00BD6AB0"/>
    <w:rsid w:val="00BD7F25"/>
    <w:rsid w:val="00BE26E1"/>
    <w:rsid w:val="00BE58BB"/>
    <w:rsid w:val="00BE7908"/>
    <w:rsid w:val="00BF25E3"/>
    <w:rsid w:val="00BF6F2B"/>
    <w:rsid w:val="00C0113A"/>
    <w:rsid w:val="00C334FE"/>
    <w:rsid w:val="00C34D4A"/>
    <w:rsid w:val="00C408C4"/>
    <w:rsid w:val="00C42C2E"/>
    <w:rsid w:val="00C47D60"/>
    <w:rsid w:val="00C553AA"/>
    <w:rsid w:val="00C70986"/>
    <w:rsid w:val="00C71F40"/>
    <w:rsid w:val="00C750F5"/>
    <w:rsid w:val="00C80DFD"/>
    <w:rsid w:val="00C86780"/>
    <w:rsid w:val="00C879DD"/>
    <w:rsid w:val="00CA7846"/>
    <w:rsid w:val="00CB36DC"/>
    <w:rsid w:val="00CB52D9"/>
    <w:rsid w:val="00CC4BAD"/>
    <w:rsid w:val="00CD26DE"/>
    <w:rsid w:val="00CD2D40"/>
    <w:rsid w:val="00CE2226"/>
    <w:rsid w:val="00CE7B5F"/>
    <w:rsid w:val="00CF0F2B"/>
    <w:rsid w:val="00CF4DF0"/>
    <w:rsid w:val="00D04909"/>
    <w:rsid w:val="00D04EC2"/>
    <w:rsid w:val="00D05A8D"/>
    <w:rsid w:val="00D05FA0"/>
    <w:rsid w:val="00D10F02"/>
    <w:rsid w:val="00D13D84"/>
    <w:rsid w:val="00D15D99"/>
    <w:rsid w:val="00D21F2E"/>
    <w:rsid w:val="00D272F9"/>
    <w:rsid w:val="00D33B8F"/>
    <w:rsid w:val="00D3479A"/>
    <w:rsid w:val="00D41453"/>
    <w:rsid w:val="00D449E1"/>
    <w:rsid w:val="00D454BD"/>
    <w:rsid w:val="00D507C3"/>
    <w:rsid w:val="00D51B24"/>
    <w:rsid w:val="00D535C4"/>
    <w:rsid w:val="00D5421D"/>
    <w:rsid w:val="00D55AF6"/>
    <w:rsid w:val="00D60780"/>
    <w:rsid w:val="00D6722B"/>
    <w:rsid w:val="00D726C9"/>
    <w:rsid w:val="00D8487D"/>
    <w:rsid w:val="00D975BD"/>
    <w:rsid w:val="00DA5512"/>
    <w:rsid w:val="00DA7F83"/>
    <w:rsid w:val="00DB5A6E"/>
    <w:rsid w:val="00DC1E62"/>
    <w:rsid w:val="00DC25C0"/>
    <w:rsid w:val="00DD006F"/>
    <w:rsid w:val="00DD12FF"/>
    <w:rsid w:val="00DD2867"/>
    <w:rsid w:val="00DD3500"/>
    <w:rsid w:val="00DF3952"/>
    <w:rsid w:val="00DF5D6D"/>
    <w:rsid w:val="00E01CE9"/>
    <w:rsid w:val="00E06042"/>
    <w:rsid w:val="00E213C5"/>
    <w:rsid w:val="00E22ABA"/>
    <w:rsid w:val="00E444E2"/>
    <w:rsid w:val="00E566CE"/>
    <w:rsid w:val="00E700A2"/>
    <w:rsid w:val="00E752C6"/>
    <w:rsid w:val="00E77664"/>
    <w:rsid w:val="00E861BB"/>
    <w:rsid w:val="00E90D54"/>
    <w:rsid w:val="00E953CF"/>
    <w:rsid w:val="00EB3801"/>
    <w:rsid w:val="00EB5B9A"/>
    <w:rsid w:val="00EC2090"/>
    <w:rsid w:val="00EC4EDC"/>
    <w:rsid w:val="00EC7152"/>
    <w:rsid w:val="00ED1D8B"/>
    <w:rsid w:val="00EE40A5"/>
    <w:rsid w:val="00EE7070"/>
    <w:rsid w:val="00EF23D0"/>
    <w:rsid w:val="00EF7C21"/>
    <w:rsid w:val="00EF7CC2"/>
    <w:rsid w:val="00F00FC8"/>
    <w:rsid w:val="00F04338"/>
    <w:rsid w:val="00F06F0D"/>
    <w:rsid w:val="00F16805"/>
    <w:rsid w:val="00F200E9"/>
    <w:rsid w:val="00F34F90"/>
    <w:rsid w:val="00F448DA"/>
    <w:rsid w:val="00F508AC"/>
    <w:rsid w:val="00F530E6"/>
    <w:rsid w:val="00F652E3"/>
    <w:rsid w:val="00F71EE6"/>
    <w:rsid w:val="00F72558"/>
    <w:rsid w:val="00F75A66"/>
    <w:rsid w:val="00F852DD"/>
    <w:rsid w:val="00F91DF4"/>
    <w:rsid w:val="00F9358D"/>
    <w:rsid w:val="00FA34BD"/>
    <w:rsid w:val="00FB3765"/>
    <w:rsid w:val="00FB6010"/>
    <w:rsid w:val="00FC7172"/>
    <w:rsid w:val="00FD146C"/>
    <w:rsid w:val="00FD5118"/>
    <w:rsid w:val="00FD5B58"/>
    <w:rsid w:val="00FE2101"/>
    <w:rsid w:val="00FE57E6"/>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E46D117"/>
  <w15:docId w15:val="{D1E09D50-B6E0-44CD-8F19-17521660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FBB"/>
    <w:pPr>
      <w:widowControl/>
      <w:spacing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2E1FBB"/>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2E1FBB"/>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2E1FBB"/>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2E1FBB"/>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qFormat/>
    <w:rsid w:val="002E1FBB"/>
    <w:pPr>
      <w:keepNext/>
      <w:framePr w:wrap="around" w:vAnchor="text" w:hAnchor="text" w:y="1"/>
      <w:numPr>
        <w:ilvl w:val="4"/>
        <w:numId w:val="34"/>
      </w:numPr>
      <w:tabs>
        <w:tab w:val="left" w:pos="432"/>
      </w:tabs>
      <w:spacing w:after="120" w:line="240" w:lineRule="auto"/>
      <w:ind w:left="432"/>
      <w:outlineLvl w:val="4"/>
    </w:pPr>
    <w:rPr>
      <w:b/>
    </w:rPr>
  </w:style>
  <w:style w:type="paragraph" w:styleId="Heading6">
    <w:name w:val="heading 6"/>
    <w:basedOn w:val="Normal"/>
    <w:next w:val="Normal"/>
    <w:link w:val="Heading6Char"/>
    <w:qFormat/>
    <w:rsid w:val="002E1FBB"/>
    <w:pPr>
      <w:keepNext/>
      <w:numPr>
        <w:ilvl w:val="5"/>
        <w:numId w:val="34"/>
      </w:numPr>
      <w:spacing w:after="120" w:line="240" w:lineRule="auto"/>
      <w:outlineLvl w:val="5"/>
    </w:pPr>
  </w:style>
  <w:style w:type="paragraph" w:styleId="Heading7">
    <w:name w:val="heading 7"/>
    <w:basedOn w:val="Normal"/>
    <w:next w:val="Normal"/>
    <w:link w:val="Heading7Char"/>
    <w:qFormat/>
    <w:rsid w:val="002E1FBB"/>
    <w:pPr>
      <w:keepNext/>
      <w:numPr>
        <w:ilvl w:val="6"/>
        <w:numId w:val="34"/>
      </w:numPr>
      <w:spacing w:after="120" w:line="240" w:lineRule="auto"/>
      <w:outlineLvl w:val="6"/>
    </w:pPr>
  </w:style>
  <w:style w:type="paragraph" w:styleId="Heading8">
    <w:name w:val="heading 8"/>
    <w:basedOn w:val="Normal"/>
    <w:next w:val="Normal"/>
    <w:link w:val="Heading8Char"/>
    <w:qFormat/>
    <w:rsid w:val="002E1FBB"/>
    <w:pPr>
      <w:keepNext/>
      <w:numPr>
        <w:ilvl w:val="7"/>
        <w:numId w:val="34"/>
      </w:numPr>
      <w:spacing w:after="120" w:line="240" w:lineRule="auto"/>
      <w:outlineLvl w:val="7"/>
    </w:pPr>
  </w:style>
  <w:style w:type="paragraph" w:styleId="Heading9">
    <w:name w:val="heading 9"/>
    <w:aliases w:val="Heading 9 (business proposal only)"/>
    <w:basedOn w:val="Normal"/>
    <w:next w:val="Normal"/>
    <w:link w:val="Heading9Char"/>
    <w:rsid w:val="002E1FBB"/>
    <w:pPr>
      <w:keepNext/>
      <w:numPr>
        <w:ilvl w:val="8"/>
        <w:numId w:val="34"/>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2E1FBB"/>
    <w:pPr>
      <w:widowControl/>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2E1FBB"/>
    <w:pPr>
      <w:widowControl/>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2E1FBB"/>
    <w:pPr>
      <w:tabs>
        <w:tab w:val="clear" w:pos="1080"/>
        <w:tab w:val="left" w:pos="1440"/>
      </w:tabs>
      <w:spacing w:after="120"/>
      <w:ind w:left="1440"/>
    </w:pPr>
  </w:style>
  <w:style w:type="paragraph" w:styleId="TOC4">
    <w:name w:val="toc 4"/>
    <w:next w:val="Normal"/>
    <w:autoRedefine/>
    <w:qFormat/>
    <w:rsid w:val="002E1FBB"/>
    <w:pPr>
      <w:widowControl/>
      <w:tabs>
        <w:tab w:val="left" w:pos="2160"/>
        <w:tab w:val="right" w:leader="dot" w:pos="9360"/>
      </w:tabs>
      <w:spacing w:line="240" w:lineRule="exact"/>
      <w:ind w:left="2520" w:hanging="360"/>
    </w:pPr>
    <w:rPr>
      <w:rFonts w:ascii="Arial" w:eastAsia="Times New Roman" w:hAnsi="Arial" w:cs="Times New Roman"/>
      <w:noProof/>
      <w:sz w:val="24"/>
      <w:szCs w:val="20"/>
    </w:rPr>
  </w:style>
  <w:style w:type="paragraph" w:styleId="BodyText">
    <w:name w:val="Body Text"/>
    <w:basedOn w:val="Normal"/>
    <w:uiPriority w:val="1"/>
    <w:qFormat/>
    <w:rsid w:val="003227D0"/>
    <w:pPr>
      <w:spacing w:before="120"/>
      <w:ind w:left="1181"/>
    </w:pPr>
    <w:rPr>
      <w:rFonts w:ascii="Arial" w:eastAsia="Arial" w:hAnsi="Arial"/>
      <w:sz w:val="20"/>
    </w:rPr>
  </w:style>
  <w:style w:type="paragraph" w:styleId="ListParagraph">
    <w:name w:val="List Paragraph"/>
    <w:basedOn w:val="Normal"/>
    <w:uiPriority w:val="34"/>
    <w:qFormat/>
    <w:rsid w:val="002E1FBB"/>
    <w:pPr>
      <w:ind w:left="720"/>
      <w:contextualSpacing/>
    </w:pPr>
  </w:style>
  <w:style w:type="paragraph" w:customStyle="1" w:styleId="TableParagraph">
    <w:name w:val="Table Paragraph"/>
    <w:basedOn w:val="Normal"/>
    <w:uiPriority w:val="1"/>
    <w:qFormat/>
    <w:rsid w:val="003227D0"/>
  </w:style>
  <w:style w:type="paragraph" w:customStyle="1" w:styleId="NormalSS">
    <w:name w:val="NormalSS"/>
    <w:basedOn w:val="Normal"/>
    <w:link w:val="NormalSSChar"/>
    <w:qFormat/>
    <w:rsid w:val="002E1FBB"/>
    <w:pPr>
      <w:spacing w:after="240" w:line="240" w:lineRule="auto"/>
    </w:pPr>
  </w:style>
  <w:style w:type="character" w:customStyle="1" w:styleId="NormalSSChar">
    <w:name w:val="NormalSS Char"/>
    <w:basedOn w:val="DefaultParagraphFont"/>
    <w:link w:val="NormalSS"/>
    <w:rsid w:val="00F00FC8"/>
    <w:rPr>
      <w:rFonts w:ascii="Times New Roman" w:eastAsia="Times New Roman" w:hAnsi="Times New Roman" w:cs="Times New Roman"/>
      <w:sz w:val="24"/>
      <w:szCs w:val="20"/>
    </w:rPr>
  </w:style>
  <w:style w:type="paragraph" w:styleId="Header">
    <w:name w:val="header"/>
    <w:basedOn w:val="Normal"/>
    <w:link w:val="HeaderChar"/>
    <w:qFormat/>
    <w:rsid w:val="002E1FBB"/>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2E1FBB"/>
    <w:rPr>
      <w:rFonts w:ascii="Arial" w:eastAsia="Times New Roman" w:hAnsi="Arial" w:cs="Times New Roman"/>
      <w:caps/>
      <w:sz w:val="16"/>
      <w:szCs w:val="20"/>
    </w:rPr>
  </w:style>
  <w:style w:type="paragraph" w:styleId="Footer">
    <w:name w:val="footer"/>
    <w:basedOn w:val="Normal"/>
    <w:link w:val="FooterChar"/>
    <w:qFormat/>
    <w:rsid w:val="002E1FBB"/>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2E1FBB"/>
    <w:rPr>
      <w:rFonts w:ascii="Arial" w:eastAsia="Times New Roman" w:hAnsi="Arial" w:cs="Times New Roman"/>
      <w:sz w:val="20"/>
      <w:szCs w:val="20"/>
    </w:rPr>
  </w:style>
  <w:style w:type="paragraph" w:customStyle="1" w:styleId="Bullet">
    <w:name w:val="Bullet"/>
    <w:basedOn w:val="Normal"/>
    <w:qFormat/>
    <w:rsid w:val="002E1FBB"/>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2E1FBB"/>
    <w:pPr>
      <w:numPr>
        <w:numId w:val="4"/>
      </w:numPr>
      <w:spacing w:after="240"/>
      <w:ind w:left="432" w:hanging="432"/>
    </w:pPr>
  </w:style>
  <w:style w:type="character" w:styleId="CommentReference">
    <w:name w:val="annotation reference"/>
    <w:basedOn w:val="DefaultParagraphFont"/>
    <w:uiPriority w:val="99"/>
    <w:semiHidden/>
    <w:unhideWhenUsed/>
    <w:rsid w:val="0045236A"/>
    <w:rPr>
      <w:sz w:val="16"/>
      <w:szCs w:val="16"/>
    </w:rPr>
  </w:style>
  <w:style w:type="paragraph" w:styleId="CommentText">
    <w:name w:val="annotation text"/>
    <w:basedOn w:val="Normal"/>
    <w:link w:val="CommentTextChar"/>
    <w:uiPriority w:val="99"/>
    <w:unhideWhenUsed/>
    <w:rsid w:val="0045236A"/>
    <w:rPr>
      <w:sz w:val="20"/>
    </w:rPr>
  </w:style>
  <w:style w:type="character" w:customStyle="1" w:styleId="CommentTextChar">
    <w:name w:val="Comment Text Char"/>
    <w:basedOn w:val="DefaultParagraphFont"/>
    <w:link w:val="CommentText"/>
    <w:uiPriority w:val="99"/>
    <w:rsid w:val="0045236A"/>
    <w:rPr>
      <w:sz w:val="20"/>
      <w:szCs w:val="20"/>
    </w:rPr>
  </w:style>
  <w:style w:type="paragraph" w:styleId="CommentSubject">
    <w:name w:val="annotation subject"/>
    <w:basedOn w:val="CommentText"/>
    <w:next w:val="CommentText"/>
    <w:link w:val="CommentSubjectChar"/>
    <w:uiPriority w:val="99"/>
    <w:semiHidden/>
    <w:unhideWhenUsed/>
    <w:rsid w:val="0045236A"/>
    <w:rPr>
      <w:b/>
      <w:bCs/>
    </w:rPr>
  </w:style>
  <w:style w:type="character" w:customStyle="1" w:styleId="CommentSubjectChar">
    <w:name w:val="Comment Subject Char"/>
    <w:basedOn w:val="CommentTextChar"/>
    <w:link w:val="CommentSubject"/>
    <w:uiPriority w:val="99"/>
    <w:semiHidden/>
    <w:rsid w:val="0045236A"/>
    <w:rPr>
      <w:b/>
      <w:bCs/>
      <w:sz w:val="20"/>
      <w:szCs w:val="20"/>
    </w:rPr>
  </w:style>
  <w:style w:type="paragraph" w:styleId="BalloonText">
    <w:name w:val="Balloon Text"/>
    <w:basedOn w:val="Normal"/>
    <w:link w:val="BalloonTextChar"/>
    <w:uiPriority w:val="99"/>
    <w:semiHidden/>
    <w:unhideWhenUsed/>
    <w:rsid w:val="002E1F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BB"/>
    <w:rPr>
      <w:rFonts w:ascii="Tahoma" w:eastAsia="Times New Roman" w:hAnsi="Tahoma" w:cs="Tahoma"/>
      <w:sz w:val="16"/>
      <w:szCs w:val="16"/>
    </w:rPr>
  </w:style>
  <w:style w:type="paragraph" w:customStyle="1" w:styleId="TableText">
    <w:name w:val="Table Text"/>
    <w:basedOn w:val="Normal"/>
    <w:qFormat/>
    <w:rsid w:val="002E1FBB"/>
    <w:pPr>
      <w:spacing w:line="240" w:lineRule="auto"/>
      <w:ind w:firstLine="0"/>
    </w:pPr>
    <w:rPr>
      <w:rFonts w:ascii="Arial" w:hAnsi="Arial"/>
      <w:sz w:val="18"/>
    </w:rPr>
  </w:style>
  <w:style w:type="paragraph" w:customStyle="1" w:styleId="TableSourceCaption">
    <w:name w:val="Table Source_Caption"/>
    <w:qFormat/>
    <w:rsid w:val="002E1FBB"/>
    <w:pPr>
      <w:widowControl/>
      <w:tabs>
        <w:tab w:val="left" w:pos="792"/>
      </w:tabs>
      <w:spacing w:before="60"/>
      <w:ind w:left="792" w:hanging="792"/>
    </w:pPr>
    <w:rPr>
      <w:rFonts w:ascii="Arial" w:eastAsia="Times New Roman" w:hAnsi="Arial" w:cs="Times New Roman"/>
      <w:sz w:val="18"/>
      <w:szCs w:val="20"/>
    </w:rPr>
  </w:style>
  <w:style w:type="table" w:styleId="TableGrid">
    <w:name w:val="Table Grid"/>
    <w:basedOn w:val="TableNormal"/>
    <w:uiPriority w:val="59"/>
    <w:rsid w:val="002E1FBB"/>
    <w:pPr>
      <w:widowControl/>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478AB"/>
    <w:pPr>
      <w:numPr>
        <w:numId w:val="5"/>
      </w:numPr>
      <w:contextualSpacing/>
    </w:pPr>
  </w:style>
  <w:style w:type="paragraph" w:customStyle="1" w:styleId="MarkforExhibitTitle">
    <w:name w:val="Mark for Exhibit Title"/>
    <w:basedOn w:val="MarkforTableTitle"/>
    <w:next w:val="NormalSS"/>
    <w:qFormat/>
    <w:rsid w:val="002E1FBB"/>
  </w:style>
  <w:style w:type="paragraph" w:customStyle="1" w:styleId="MarkforTableTitle">
    <w:name w:val="Mark for Table Title"/>
    <w:basedOn w:val="Normal"/>
    <w:next w:val="NormalSS"/>
    <w:qFormat/>
    <w:rsid w:val="002E1FBB"/>
    <w:pPr>
      <w:keepNext/>
      <w:spacing w:after="60" w:line="240" w:lineRule="auto"/>
      <w:ind w:firstLine="0"/>
    </w:pPr>
    <w:rPr>
      <w:rFonts w:ascii="Arial Black" w:hAnsi="Arial Black"/>
      <w:sz w:val="22"/>
    </w:rPr>
  </w:style>
  <w:style w:type="paragraph" w:customStyle="1" w:styleId="TableFootnoteCaption">
    <w:name w:val="Table Footnote_Caption"/>
    <w:link w:val="TableFootnoteCaptionChar"/>
    <w:qFormat/>
    <w:rsid w:val="002E1FBB"/>
    <w:pPr>
      <w:widowControl/>
      <w:tabs>
        <w:tab w:val="left" w:pos="1080"/>
      </w:tabs>
      <w:spacing w:before="60"/>
    </w:pPr>
    <w:rPr>
      <w:rFonts w:ascii="Arial" w:eastAsia="Times New Roman" w:hAnsi="Arial" w:cs="Times New Roman"/>
      <w:sz w:val="18"/>
      <w:szCs w:val="20"/>
    </w:rPr>
  </w:style>
  <w:style w:type="paragraph" w:customStyle="1" w:styleId="TableHeaderLeft">
    <w:name w:val="Table Header Left"/>
    <w:basedOn w:val="TableText"/>
    <w:next w:val="TableText"/>
    <w:qFormat/>
    <w:rsid w:val="002E1FBB"/>
    <w:pPr>
      <w:spacing w:before="120" w:after="60"/>
    </w:pPr>
    <w:rPr>
      <w:b/>
      <w:color w:val="FFFFFF" w:themeColor="background1"/>
    </w:rPr>
  </w:style>
  <w:style w:type="paragraph" w:customStyle="1" w:styleId="TableHeaderCenter">
    <w:name w:val="Table Header Center"/>
    <w:basedOn w:val="TableHeaderLeft"/>
    <w:qFormat/>
    <w:rsid w:val="002E1FBB"/>
    <w:pPr>
      <w:jc w:val="center"/>
    </w:pPr>
  </w:style>
  <w:style w:type="character" w:customStyle="1" w:styleId="TableFootnoteCaptionChar">
    <w:name w:val="Table Footnote_Caption Char"/>
    <w:basedOn w:val="DefaultParagraphFont"/>
    <w:link w:val="TableFootnoteCaption"/>
    <w:rsid w:val="006478AB"/>
    <w:rPr>
      <w:rFonts w:ascii="Arial" w:eastAsia="Times New Roman" w:hAnsi="Arial" w:cs="Times New Roman"/>
      <w:sz w:val="18"/>
      <w:szCs w:val="20"/>
    </w:rPr>
  </w:style>
  <w:style w:type="paragraph" w:styleId="FootnoteText">
    <w:name w:val="footnote text"/>
    <w:basedOn w:val="Normal"/>
    <w:link w:val="FootnoteTextChar"/>
    <w:qFormat/>
    <w:rsid w:val="002E1FBB"/>
    <w:pPr>
      <w:spacing w:after="120" w:line="240" w:lineRule="auto"/>
      <w:ind w:firstLine="0"/>
    </w:pPr>
    <w:rPr>
      <w:sz w:val="20"/>
    </w:rPr>
  </w:style>
  <w:style w:type="character" w:customStyle="1" w:styleId="FootnoteTextChar">
    <w:name w:val="Footnote Text Char"/>
    <w:basedOn w:val="DefaultParagraphFont"/>
    <w:link w:val="FootnoteText"/>
    <w:rsid w:val="002E1FBB"/>
    <w:rPr>
      <w:rFonts w:ascii="Times New Roman" w:eastAsia="Times New Roman" w:hAnsi="Times New Roman" w:cs="Times New Roman"/>
      <w:sz w:val="20"/>
      <w:szCs w:val="20"/>
    </w:rPr>
  </w:style>
  <w:style w:type="character" w:styleId="FootnoteReference">
    <w:name w:val="footnote reference"/>
    <w:basedOn w:val="DefaultParagraphFont"/>
    <w:qFormat/>
    <w:rsid w:val="002E1FBB"/>
    <w:rPr>
      <w:rFonts w:ascii="Times New Roman" w:hAnsi="Times New Roman"/>
      <w:color w:val="auto"/>
      <w:spacing w:val="0"/>
      <w:position w:val="0"/>
      <w:sz w:val="24"/>
      <w:u w:color="000080"/>
      <w:effect w:val="none"/>
      <w:vertAlign w:val="superscript"/>
    </w:rPr>
  </w:style>
  <w:style w:type="paragraph" w:customStyle="1" w:styleId="References">
    <w:name w:val="References"/>
    <w:basedOn w:val="Normal"/>
    <w:qFormat/>
    <w:rsid w:val="002E1FBB"/>
    <w:pPr>
      <w:keepLines/>
      <w:spacing w:after="240" w:line="240" w:lineRule="auto"/>
      <w:ind w:left="432" w:hanging="432"/>
    </w:pPr>
  </w:style>
  <w:style w:type="character" w:styleId="Hyperlink">
    <w:name w:val="Hyperlink"/>
    <w:basedOn w:val="DefaultParagraphFont"/>
    <w:uiPriority w:val="99"/>
    <w:unhideWhenUsed/>
    <w:rsid w:val="001D2CA0"/>
    <w:rPr>
      <w:color w:val="0000FF" w:themeColor="hyperlink"/>
      <w:u w:val="single"/>
    </w:rPr>
  </w:style>
  <w:style w:type="character" w:styleId="PageNumber">
    <w:name w:val="page number"/>
    <w:basedOn w:val="DefaultParagraphFont"/>
    <w:semiHidden/>
    <w:qFormat/>
    <w:rsid w:val="002E1FBB"/>
    <w:rPr>
      <w:rFonts w:ascii="Arial" w:hAnsi="Arial"/>
      <w:color w:val="auto"/>
      <w:sz w:val="20"/>
      <w:bdr w:val="none" w:sz="0" w:space="0" w:color="auto"/>
    </w:rPr>
  </w:style>
  <w:style w:type="table" w:customStyle="1" w:styleId="LightList1">
    <w:name w:val="Light List1"/>
    <w:basedOn w:val="TableNormal"/>
    <w:uiPriority w:val="61"/>
    <w:locked/>
    <w:rsid w:val="00206E02"/>
    <w:pPr>
      <w:widowControl/>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name2">
    <w:name w:val="name2"/>
    <w:basedOn w:val="DefaultParagraphFont"/>
    <w:rsid w:val="001D02C3"/>
    <w:rPr>
      <w:rFonts w:ascii="Verdana" w:hAnsi="Verdana" w:hint="default"/>
      <w:b/>
      <w:bCs/>
      <w:vanish w:val="0"/>
      <w:webHidden w:val="0"/>
      <w:sz w:val="18"/>
      <w:szCs w:val="18"/>
      <w:specVanish w:val="0"/>
    </w:rPr>
  </w:style>
  <w:style w:type="table" w:customStyle="1" w:styleId="LightList2">
    <w:name w:val="Light List2"/>
    <w:basedOn w:val="TableNormal"/>
    <w:uiPriority w:val="61"/>
    <w:rsid w:val="004A1C37"/>
    <w:pPr>
      <w:widowControl/>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NumberedBullet">
    <w:name w:val="Numbered Bullet"/>
    <w:basedOn w:val="Normal"/>
    <w:link w:val="NumberedBulletChar"/>
    <w:qFormat/>
    <w:rsid w:val="002E1FBB"/>
    <w:pPr>
      <w:numPr>
        <w:numId w:val="33"/>
      </w:numPr>
      <w:tabs>
        <w:tab w:val="clear" w:pos="792"/>
        <w:tab w:val="left" w:pos="432"/>
      </w:tabs>
      <w:spacing w:after="120" w:line="240" w:lineRule="auto"/>
      <w:ind w:left="432" w:hanging="432"/>
    </w:pPr>
  </w:style>
  <w:style w:type="character" w:customStyle="1" w:styleId="NumberedBulletChar">
    <w:name w:val="Numbered Bullet Char"/>
    <w:basedOn w:val="DefaultParagraphFont"/>
    <w:link w:val="NumberedBullet"/>
    <w:rsid w:val="002E1FBB"/>
    <w:rPr>
      <w:rFonts w:ascii="Times New Roman" w:eastAsia="Times New Roman" w:hAnsi="Times New Roman" w:cs="Times New Roman"/>
      <w:sz w:val="24"/>
      <w:szCs w:val="20"/>
    </w:rPr>
  </w:style>
  <w:style w:type="paragraph" w:customStyle="1" w:styleId="NumberedBulletLastSS">
    <w:name w:val="Numbered Bullet (Last SS)"/>
    <w:basedOn w:val="NumberedBulletLastDS"/>
    <w:next w:val="NormalSS"/>
    <w:qFormat/>
    <w:rsid w:val="002E1FBB"/>
    <w:pPr>
      <w:spacing w:after="240"/>
    </w:pPr>
  </w:style>
  <w:style w:type="paragraph" w:customStyle="1" w:styleId="NormalSS12">
    <w:name w:val="NormalSS 12"/>
    <w:basedOn w:val="NormalSS"/>
    <w:qFormat/>
    <w:rsid w:val="00C80DFD"/>
    <w:pPr>
      <w:tabs>
        <w:tab w:val="left" w:pos="432"/>
      </w:tabs>
      <w:jc w:val="both"/>
    </w:pPr>
    <w:rPr>
      <w:szCs w:val="24"/>
    </w:rPr>
  </w:style>
  <w:style w:type="paragraph" w:customStyle="1" w:styleId="1">
    <w:name w:val="1"/>
    <w:basedOn w:val="TableHeaderCenter"/>
    <w:rsid w:val="005B0C58"/>
    <w:pPr>
      <w:spacing w:before="0" w:after="0"/>
      <w:ind w:left="113" w:right="113"/>
      <w:jc w:val="left"/>
    </w:pPr>
    <w:rPr>
      <w:rFonts w:cs="Arial"/>
      <w:sz w:val="16"/>
      <w:szCs w:val="16"/>
    </w:rPr>
  </w:style>
  <w:style w:type="paragraph" w:styleId="Subtitle">
    <w:name w:val="Subtitle"/>
    <w:basedOn w:val="Normal"/>
    <w:link w:val="SubtitleChar"/>
    <w:uiPriority w:val="11"/>
    <w:qFormat/>
    <w:rsid w:val="00DB5A6E"/>
    <w:rPr>
      <w:b/>
      <w:bCs/>
      <w:smallCaps/>
      <w:szCs w:val="24"/>
    </w:rPr>
  </w:style>
  <w:style w:type="character" w:customStyle="1" w:styleId="SubtitleChar">
    <w:name w:val="Subtitle Char"/>
    <w:basedOn w:val="DefaultParagraphFont"/>
    <w:link w:val="Subtitle"/>
    <w:uiPriority w:val="11"/>
    <w:rsid w:val="00DB5A6E"/>
    <w:rPr>
      <w:rFonts w:ascii="Times New Roman" w:hAnsi="Times New Roman" w:cs="Times New Roman"/>
      <w:b/>
      <w:bCs/>
      <w:smallCaps/>
      <w:sz w:val="24"/>
      <w:szCs w:val="24"/>
    </w:rPr>
  </w:style>
  <w:style w:type="paragraph" w:customStyle="1" w:styleId="MarkforTableHeading">
    <w:name w:val="Mark for Table Heading"/>
    <w:basedOn w:val="Normal"/>
    <w:next w:val="NormalSS"/>
    <w:qFormat/>
    <w:rsid w:val="001161E8"/>
    <w:pPr>
      <w:keepNext/>
      <w:spacing w:after="60"/>
    </w:pPr>
    <w:rPr>
      <w:rFonts w:ascii="Arial Black" w:hAnsi="Arial Black"/>
    </w:rPr>
  </w:style>
  <w:style w:type="table" w:customStyle="1" w:styleId="Table">
    <w:name w:val="Table"/>
    <w:basedOn w:val="TableNormal"/>
    <w:uiPriority w:val="99"/>
    <w:qFormat/>
    <w:locked/>
    <w:rsid w:val="00DF3952"/>
    <w:pPr>
      <w:widowControl/>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Narrow" w:hAnsi="Arial Narrow"/>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paragraph" w:customStyle="1" w:styleId="Bullet1">
    <w:name w:val="Bullet 1"/>
    <w:basedOn w:val="ListParagraph"/>
    <w:qFormat/>
    <w:rsid w:val="0077342E"/>
    <w:pPr>
      <w:numPr>
        <w:numId w:val="10"/>
      </w:numPr>
      <w:tabs>
        <w:tab w:val="num" w:pos="360"/>
      </w:tabs>
      <w:spacing w:before="120" w:line="276" w:lineRule="auto"/>
      <w:ind w:left="720" w:firstLine="0"/>
    </w:pPr>
    <w:rPr>
      <w:szCs w:val="24"/>
    </w:rPr>
  </w:style>
  <w:style w:type="paragraph" w:customStyle="1" w:styleId="Default">
    <w:name w:val="Default"/>
    <w:rsid w:val="008C1DBB"/>
    <w:pPr>
      <w:widowControl/>
      <w:autoSpaceDE w:val="0"/>
      <w:autoSpaceDN w:val="0"/>
      <w:adjustRightInd w:val="0"/>
    </w:pPr>
    <w:rPr>
      <w:rFonts w:ascii="PMODMN+ArialNarrow" w:hAnsi="PMODMN+ArialNarrow" w:cs="PMODMN+ArialNarrow"/>
      <w:color w:val="000000"/>
      <w:sz w:val="24"/>
      <w:szCs w:val="24"/>
    </w:rPr>
  </w:style>
  <w:style w:type="table" w:styleId="LightList">
    <w:name w:val="Light List"/>
    <w:basedOn w:val="TableNormal"/>
    <w:uiPriority w:val="61"/>
    <w:rsid w:val="002E1FBB"/>
    <w:pPr>
      <w:widowControl/>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cknowledgmentnoTOC">
    <w:name w:val="Acknowledgment no TOC"/>
    <w:basedOn w:val="Normal"/>
    <w:next w:val="Normal"/>
    <w:qFormat/>
    <w:rsid w:val="002E1FBB"/>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DS">
    <w:name w:val="Bullet (Last DS)"/>
    <w:basedOn w:val="Bullet"/>
    <w:next w:val="Normal"/>
    <w:qFormat/>
    <w:rsid w:val="002E1FBB"/>
    <w:pPr>
      <w:numPr>
        <w:numId w:val="11"/>
      </w:numPr>
      <w:spacing w:after="320"/>
      <w:ind w:left="432" w:hanging="432"/>
    </w:pPr>
  </w:style>
  <w:style w:type="paragraph" w:customStyle="1" w:styleId="Center">
    <w:name w:val="Center"/>
    <w:basedOn w:val="Normal"/>
    <w:semiHidden/>
    <w:unhideWhenUsed/>
    <w:rsid w:val="002E1FBB"/>
    <w:pPr>
      <w:ind w:firstLine="0"/>
      <w:jc w:val="center"/>
    </w:pPr>
  </w:style>
  <w:style w:type="paragraph" w:customStyle="1" w:styleId="Dash">
    <w:name w:val="Dash"/>
    <w:basedOn w:val="Normal"/>
    <w:qFormat/>
    <w:rsid w:val="002E1FBB"/>
    <w:pPr>
      <w:numPr>
        <w:numId w:val="12"/>
      </w:numPr>
      <w:tabs>
        <w:tab w:val="left" w:pos="288"/>
      </w:tabs>
      <w:spacing w:after="120" w:line="240" w:lineRule="auto"/>
    </w:pPr>
  </w:style>
  <w:style w:type="paragraph" w:customStyle="1" w:styleId="DashLASTSS">
    <w:name w:val="Dash (LAST SS)"/>
    <w:basedOn w:val="Dash"/>
    <w:next w:val="NormalSS"/>
    <w:qFormat/>
    <w:rsid w:val="002E1FBB"/>
    <w:pPr>
      <w:numPr>
        <w:numId w:val="13"/>
      </w:numPr>
      <w:spacing w:after="240"/>
    </w:pPr>
  </w:style>
  <w:style w:type="paragraph" w:customStyle="1" w:styleId="DashLASTDS">
    <w:name w:val="Dash (LAST DS)"/>
    <w:basedOn w:val="Dash"/>
    <w:next w:val="Normal"/>
    <w:qFormat/>
    <w:rsid w:val="002E1FBB"/>
    <w:pPr>
      <w:spacing w:after="320"/>
    </w:pPr>
    <w:rPr>
      <w:szCs w:val="24"/>
    </w:rPr>
  </w:style>
  <w:style w:type="paragraph" w:styleId="DocumentMap">
    <w:name w:val="Document Map"/>
    <w:basedOn w:val="Normal"/>
    <w:link w:val="DocumentMapChar"/>
    <w:semiHidden/>
    <w:unhideWhenUsed/>
    <w:rsid w:val="002E1FB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E1FBB"/>
    <w:rPr>
      <w:rFonts w:asciiTheme="majorHAnsi" w:eastAsia="Times New Roman" w:hAnsiTheme="majorHAnsi" w:cs="Times New Roman"/>
      <w:sz w:val="24"/>
      <w:szCs w:val="20"/>
    </w:rPr>
  </w:style>
  <w:style w:type="character" w:customStyle="1" w:styleId="Heading1Char">
    <w:name w:val="Heading 1 Char"/>
    <w:basedOn w:val="DefaultParagraphFont"/>
    <w:link w:val="Heading1"/>
    <w:rsid w:val="002E1FBB"/>
    <w:rPr>
      <w:rFonts w:ascii="Arial Black" w:eastAsia="Times New Roman" w:hAnsi="Arial Black" w:cs="Times New Roman"/>
      <w:caps/>
      <w:szCs w:val="20"/>
    </w:rPr>
  </w:style>
  <w:style w:type="character" w:customStyle="1" w:styleId="Heading2Char">
    <w:name w:val="Heading 2 Char"/>
    <w:basedOn w:val="DefaultParagraphFont"/>
    <w:link w:val="Heading2"/>
    <w:rsid w:val="002E1FBB"/>
    <w:rPr>
      <w:rFonts w:ascii="Arial Black" w:eastAsia="Times New Roman" w:hAnsi="Arial Black" w:cs="Times New Roman"/>
      <w:caps/>
      <w:szCs w:val="20"/>
    </w:rPr>
  </w:style>
  <w:style w:type="paragraph" w:customStyle="1" w:styleId="Heading2NoTOC">
    <w:name w:val="Heading 2_No TOC"/>
    <w:basedOn w:val="Normal"/>
    <w:next w:val="NormalSS"/>
    <w:qFormat/>
    <w:rsid w:val="009D04DE"/>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2E1FBB"/>
    <w:rPr>
      <w:rFonts w:ascii="Arial Black" w:eastAsia="Times New Roman" w:hAnsi="Arial Black" w:cs="Times New Roman"/>
      <w:szCs w:val="20"/>
    </w:rPr>
  </w:style>
  <w:style w:type="paragraph" w:customStyle="1" w:styleId="Heading3NoTOC">
    <w:name w:val="Heading 3_No TOC"/>
    <w:basedOn w:val="Normal"/>
    <w:next w:val="NormalSS"/>
    <w:qFormat/>
    <w:rsid w:val="002E1FBB"/>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2E1FBB"/>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2E1FB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E1FB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2E1FBB"/>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2E1FB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E1FBB"/>
    <w:rPr>
      <w:rFonts w:ascii="Times New Roman" w:eastAsia="Times New Roman" w:hAnsi="Times New Roman" w:cs="Times New Roman"/>
      <w:sz w:val="24"/>
      <w:szCs w:val="20"/>
    </w:rPr>
  </w:style>
  <w:style w:type="paragraph" w:customStyle="1" w:styleId="MarkforAppendixTitle">
    <w:name w:val="Mark for Appendix Title"/>
    <w:basedOn w:val="Normal"/>
    <w:next w:val="Normal"/>
    <w:qFormat/>
    <w:rsid w:val="002E1FBB"/>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2E1FBB"/>
    <w:pPr>
      <w:spacing w:before="2640" w:after="240" w:line="240" w:lineRule="auto"/>
      <w:ind w:firstLine="0"/>
      <w:jc w:val="center"/>
      <w:outlineLvl w:val="1"/>
    </w:pPr>
    <w:rPr>
      <w:rFonts w:ascii="Arial Black" w:hAnsi="Arial Black"/>
      <w:caps/>
      <w:sz w:val="22"/>
    </w:rPr>
  </w:style>
  <w:style w:type="paragraph" w:customStyle="1" w:styleId="MarkforFigureTitle">
    <w:name w:val="Mark for Figure Title"/>
    <w:basedOn w:val="MarkforTableTitle"/>
    <w:next w:val="NormalSS"/>
    <w:qFormat/>
    <w:rsid w:val="002E1FBB"/>
  </w:style>
  <w:style w:type="numbering" w:customStyle="1" w:styleId="MPROutline">
    <w:name w:val="MPROutline"/>
    <w:uiPriority w:val="99"/>
    <w:locked/>
    <w:rsid w:val="002E1FBB"/>
    <w:pPr>
      <w:numPr>
        <w:numId w:val="14"/>
      </w:numPr>
    </w:pPr>
  </w:style>
  <w:style w:type="character" w:customStyle="1" w:styleId="MTEquationSection">
    <w:name w:val="MTEquationSection"/>
    <w:basedOn w:val="DefaultParagraphFont"/>
    <w:rsid w:val="002E1FBB"/>
    <w:rPr>
      <w:rFonts w:ascii="Arial" w:hAnsi="Arial"/>
      <w:vanish/>
      <w:color w:val="auto"/>
      <w:sz w:val="18"/>
    </w:rPr>
  </w:style>
  <w:style w:type="paragraph" w:customStyle="1" w:styleId="Normalcontinued">
    <w:name w:val="Normal (continued)"/>
    <w:basedOn w:val="Normal"/>
    <w:next w:val="Normal"/>
    <w:qFormat/>
    <w:rsid w:val="002E1FBB"/>
    <w:pPr>
      <w:ind w:firstLine="0"/>
    </w:pPr>
  </w:style>
  <w:style w:type="paragraph" w:customStyle="1" w:styleId="NormalSScontinued">
    <w:name w:val="NormalSS (continued)"/>
    <w:basedOn w:val="NormalSS"/>
    <w:next w:val="NormalSS"/>
    <w:qFormat/>
    <w:rsid w:val="002E1FBB"/>
    <w:pPr>
      <w:ind w:firstLine="0"/>
    </w:pPr>
  </w:style>
  <w:style w:type="paragraph" w:customStyle="1" w:styleId="Outline">
    <w:name w:val="Outline"/>
    <w:basedOn w:val="Normal"/>
    <w:semiHidden/>
    <w:unhideWhenUsed/>
    <w:qFormat/>
    <w:rsid w:val="002E1FBB"/>
    <w:pPr>
      <w:spacing w:after="240" w:line="240" w:lineRule="auto"/>
      <w:ind w:left="720" w:hanging="720"/>
    </w:pPr>
  </w:style>
  <w:style w:type="paragraph" w:styleId="TableofFigures">
    <w:name w:val="table of figures"/>
    <w:basedOn w:val="Normal"/>
    <w:next w:val="Normal"/>
    <w:uiPriority w:val="99"/>
    <w:rsid w:val="002E1FBB"/>
    <w:pPr>
      <w:tabs>
        <w:tab w:val="right" w:leader="dot" w:pos="9360"/>
      </w:tabs>
      <w:spacing w:after="180" w:line="240" w:lineRule="exact"/>
      <w:ind w:left="720" w:right="720" w:hanging="720"/>
    </w:pPr>
    <w:rPr>
      <w:rFonts w:ascii="Arial" w:hAnsi="Arial"/>
      <w:sz w:val="20"/>
    </w:rPr>
  </w:style>
  <w:style w:type="paragraph" w:customStyle="1" w:styleId="TableSignificanceCaption">
    <w:name w:val="Table Significance_Caption"/>
    <w:basedOn w:val="TableFootnoteCaption"/>
    <w:qFormat/>
    <w:rsid w:val="002E1FBB"/>
  </w:style>
  <w:style w:type="paragraph" w:customStyle="1" w:styleId="Tabletext8">
    <w:name w:val="Table text 8"/>
    <w:basedOn w:val="TableText"/>
    <w:qFormat/>
    <w:rsid w:val="002E1FBB"/>
    <w:rPr>
      <w:snapToGrid w:val="0"/>
      <w:sz w:val="16"/>
      <w:szCs w:val="16"/>
    </w:rPr>
  </w:style>
  <w:style w:type="paragraph" w:customStyle="1" w:styleId="TableSpace">
    <w:name w:val="TableSpace"/>
    <w:basedOn w:val="TableSourceCaption"/>
    <w:next w:val="TableFootnoteCaption"/>
    <w:semiHidden/>
    <w:qFormat/>
    <w:rsid w:val="002E1FBB"/>
  </w:style>
  <w:style w:type="paragraph" w:styleId="Title">
    <w:name w:val="Title"/>
    <w:basedOn w:val="Normal"/>
    <w:next w:val="Normal"/>
    <w:link w:val="TitleChar"/>
    <w:rsid w:val="002E1FBB"/>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2E1FBB"/>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1FBB"/>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1FBB"/>
    <w:pPr>
      <w:spacing w:before="0" w:after="160"/>
    </w:pPr>
  </w:style>
  <w:style w:type="paragraph" w:customStyle="1" w:styleId="TitleofDocumentNoPhoto">
    <w:name w:val="Title of Document No Photo"/>
    <w:basedOn w:val="TitleofDocumentHorizontal"/>
    <w:semiHidden/>
    <w:qFormat/>
    <w:rsid w:val="002E1FBB"/>
  </w:style>
  <w:style w:type="paragraph" w:styleId="TOC8">
    <w:name w:val="toc 8"/>
    <w:next w:val="Normal"/>
    <w:autoRedefine/>
    <w:uiPriority w:val="39"/>
    <w:qFormat/>
    <w:rsid w:val="002E1FBB"/>
    <w:pPr>
      <w:widowControl/>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1FBB"/>
    <w:pPr>
      <w:widowControl/>
      <w:spacing w:after="100"/>
    </w:pPr>
    <w:rPr>
      <w:rFonts w:asciiTheme="majorHAnsi" w:eastAsia="Times New Roman" w:hAnsiTheme="majorHAnsi" w:cs="Times New Roman"/>
      <w:noProof/>
      <w:sz w:val="16"/>
      <w:szCs w:val="19"/>
    </w:rPr>
  </w:style>
  <w:style w:type="paragraph" w:customStyle="1" w:styleId="NumberedBulletLastDS">
    <w:name w:val="Numbered Bullet (Last DS)"/>
    <w:basedOn w:val="NumberedBullet"/>
    <w:next w:val="Normal"/>
    <w:qFormat/>
    <w:rsid w:val="002E1FBB"/>
    <w:pPr>
      <w:spacing w:after="320"/>
    </w:pPr>
  </w:style>
  <w:style w:type="paragraph" w:styleId="TOC5">
    <w:name w:val="toc 5"/>
    <w:basedOn w:val="TOC4"/>
    <w:next w:val="Normal"/>
    <w:autoRedefine/>
    <w:uiPriority w:val="39"/>
    <w:unhideWhenUsed/>
    <w:rsid w:val="00B856BF"/>
    <w:pPr>
      <w:tabs>
        <w:tab w:val="left" w:pos="1440"/>
      </w:tabs>
      <w:spacing w:after="60"/>
      <w:ind w:left="1440" w:right="720" w:hanging="288"/>
    </w:pPr>
  </w:style>
  <w:style w:type="paragraph" w:customStyle="1" w:styleId="Contents">
    <w:name w:val="Contents"/>
    <w:basedOn w:val="Normal"/>
    <w:link w:val="ContentsChar"/>
    <w:qFormat/>
    <w:rsid w:val="00B856BF"/>
    <w:pPr>
      <w:numPr>
        <w:numId w:val="15"/>
      </w:numPr>
      <w:tabs>
        <w:tab w:val="right" w:pos="9360"/>
      </w:tabs>
      <w:spacing w:after="240" w:line="252" w:lineRule="auto"/>
      <w:ind w:right="720"/>
      <w:contextualSpacing/>
    </w:pPr>
    <w:rPr>
      <w:rFonts w:ascii="Arial" w:hAnsi="Arial"/>
      <w:color w:val="548DD4" w:themeColor="text2" w:themeTint="99"/>
      <w:sz w:val="20"/>
    </w:rPr>
  </w:style>
  <w:style w:type="character" w:customStyle="1" w:styleId="ContentsChar">
    <w:name w:val="Contents Char"/>
    <w:basedOn w:val="DefaultParagraphFont"/>
    <w:link w:val="Contents"/>
    <w:rsid w:val="00B856BF"/>
    <w:rPr>
      <w:rFonts w:ascii="Arial" w:eastAsia="Times New Roman" w:hAnsi="Arial" w:cs="Times New Roman"/>
      <w:color w:val="548DD4" w:themeColor="text2" w:themeTint="99"/>
      <w:sz w:val="20"/>
      <w:szCs w:val="20"/>
    </w:rPr>
  </w:style>
  <w:style w:type="paragraph" w:customStyle="1" w:styleId="disclosure">
    <w:name w:val="disclosure"/>
    <w:basedOn w:val="Footer"/>
    <w:qFormat/>
    <w:rsid w:val="00B856BF"/>
    <w:pPr>
      <w:tabs>
        <w:tab w:val="center" w:pos="4770"/>
      </w:tabs>
      <w:spacing w:before="120"/>
      <w:jc w:val="center"/>
    </w:pPr>
    <w:rPr>
      <w:sz w:val="17"/>
      <w:szCs w:val="24"/>
    </w:rPr>
  </w:style>
  <w:style w:type="character" w:customStyle="1" w:styleId="Writingassignment">
    <w:name w:val="Writing assignment"/>
    <w:basedOn w:val="DefaultParagraphFont"/>
    <w:uiPriority w:val="1"/>
    <w:qFormat/>
    <w:rsid w:val="00B856BF"/>
    <w:rPr>
      <w:i/>
      <w:color w:val="F79646" w:themeColor="accent6"/>
    </w:rPr>
  </w:style>
  <w:style w:type="table" w:customStyle="1" w:styleId="LightList11">
    <w:name w:val="Light List11"/>
    <w:basedOn w:val="TableNormal"/>
    <w:uiPriority w:val="61"/>
    <w:locked/>
    <w:rsid w:val="00B856BF"/>
    <w:pPr>
      <w:widowControl/>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Emphasis">
    <w:name w:val="Emphasis"/>
    <w:basedOn w:val="DefaultParagraphFont"/>
    <w:uiPriority w:val="20"/>
    <w:qFormat/>
    <w:rsid w:val="00B856BF"/>
    <w:rPr>
      <w:i/>
      <w:iCs/>
    </w:rPr>
  </w:style>
  <w:style w:type="paragraph" w:customStyle="1" w:styleId="Figure">
    <w:name w:val="Figure"/>
    <w:basedOn w:val="NormalSS"/>
    <w:qFormat/>
    <w:rsid w:val="00B856BF"/>
    <w:pPr>
      <w:spacing w:after="0"/>
      <w:ind w:firstLine="0"/>
    </w:pPr>
    <w:rPr>
      <w:noProof/>
    </w:rPr>
  </w:style>
  <w:style w:type="paragraph" w:styleId="PlainText">
    <w:name w:val="Plain Text"/>
    <w:basedOn w:val="Normal"/>
    <w:link w:val="PlainTextChar"/>
    <w:uiPriority w:val="99"/>
    <w:unhideWhenUsed/>
    <w:rsid w:val="00B856BF"/>
    <w:rPr>
      <w:rFonts w:ascii="Consolas" w:hAnsi="Consolas" w:cs="Consolas"/>
      <w:sz w:val="21"/>
      <w:szCs w:val="21"/>
    </w:rPr>
  </w:style>
  <w:style w:type="character" w:customStyle="1" w:styleId="PlainTextChar">
    <w:name w:val="Plain Text Char"/>
    <w:basedOn w:val="DefaultParagraphFont"/>
    <w:link w:val="PlainText"/>
    <w:uiPriority w:val="99"/>
    <w:rsid w:val="00B856BF"/>
    <w:rPr>
      <w:rFonts w:ascii="Consolas" w:eastAsia="Times New Roman" w:hAnsi="Consolas" w:cs="Consolas"/>
      <w:sz w:val="21"/>
      <w:szCs w:val="21"/>
    </w:rPr>
  </w:style>
  <w:style w:type="character" w:styleId="PlaceholderText">
    <w:name w:val="Placeholder Text"/>
    <w:basedOn w:val="DefaultParagraphFont"/>
    <w:uiPriority w:val="99"/>
    <w:semiHidden/>
    <w:rsid w:val="00B856BF"/>
    <w:rPr>
      <w:color w:val="808080"/>
    </w:rPr>
  </w:style>
  <w:style w:type="paragraph" w:styleId="Bibliography">
    <w:name w:val="Bibliography"/>
    <w:basedOn w:val="Normal"/>
    <w:next w:val="Normal"/>
    <w:uiPriority w:val="37"/>
    <w:unhideWhenUsed/>
    <w:rsid w:val="00B856BF"/>
    <w:pPr>
      <w:spacing w:after="240"/>
      <w:ind w:left="720" w:hanging="720"/>
    </w:pPr>
  </w:style>
  <w:style w:type="paragraph" w:styleId="BodyTextIndent">
    <w:name w:val="Body Text Indent"/>
    <w:basedOn w:val="Normal"/>
    <w:link w:val="BodyTextIndentChar"/>
    <w:qFormat/>
    <w:rsid w:val="00B856BF"/>
    <w:pPr>
      <w:spacing w:before="240" w:after="240"/>
      <w:ind w:left="432"/>
      <w:jc w:val="both"/>
    </w:pPr>
  </w:style>
  <w:style w:type="character" w:customStyle="1" w:styleId="BodyTextIndentChar">
    <w:name w:val="Body Text Indent Char"/>
    <w:basedOn w:val="DefaultParagraphFont"/>
    <w:link w:val="BodyTextIndent"/>
    <w:rsid w:val="00B856BF"/>
    <w:rPr>
      <w:rFonts w:ascii="Times New Roman" w:eastAsia="Times New Roman" w:hAnsi="Times New Roman" w:cs="Times New Roman"/>
      <w:sz w:val="24"/>
      <w:szCs w:val="20"/>
    </w:rPr>
  </w:style>
  <w:style w:type="paragraph" w:styleId="Revision">
    <w:name w:val="Revision"/>
    <w:hidden/>
    <w:uiPriority w:val="99"/>
    <w:semiHidden/>
    <w:rsid w:val="00B856BF"/>
    <w:pPr>
      <w:widowControl/>
    </w:pPr>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B856BF"/>
    <w:pPr>
      <w:spacing w:after="200"/>
    </w:pPr>
    <w:rPr>
      <w:b/>
      <w:bCs/>
      <w:color w:val="4F81BD" w:themeColor="accent1"/>
      <w:sz w:val="18"/>
      <w:szCs w:val="18"/>
    </w:rPr>
  </w:style>
  <w:style w:type="paragraph" w:customStyle="1" w:styleId="BulletBlack">
    <w:name w:val="Bullet_Black"/>
    <w:basedOn w:val="Normal"/>
    <w:qFormat/>
    <w:rsid w:val="00B856BF"/>
    <w:pPr>
      <w:numPr>
        <w:numId w:val="16"/>
      </w:numPr>
      <w:tabs>
        <w:tab w:val="left" w:pos="360"/>
      </w:tabs>
      <w:spacing w:after="120"/>
      <w:ind w:left="720" w:right="360" w:hanging="288"/>
      <w:jc w:val="both"/>
    </w:pPr>
    <w:rPr>
      <w:szCs w:val="24"/>
    </w:rPr>
  </w:style>
  <w:style w:type="paragraph" w:customStyle="1" w:styleId="MarkforExhibitHeading">
    <w:name w:val="Mark for Exhibit Heading"/>
    <w:basedOn w:val="Normal"/>
    <w:next w:val="NormalSS"/>
    <w:qFormat/>
    <w:rsid w:val="00B856BF"/>
    <w:pPr>
      <w:keepNext/>
      <w:spacing w:after="60"/>
    </w:pPr>
    <w:rPr>
      <w:rFonts w:ascii="Arial Black" w:hAnsi="Arial Black"/>
    </w:rPr>
  </w:style>
  <w:style w:type="table" w:customStyle="1" w:styleId="TableGrid1">
    <w:name w:val="Table Grid1"/>
    <w:basedOn w:val="TableNormal"/>
    <w:next w:val="TableGrid"/>
    <w:uiPriority w:val="59"/>
    <w:rsid w:val="00B856BF"/>
    <w:pPr>
      <w:widowControl/>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pace0">
    <w:name w:val="Table Space"/>
    <w:basedOn w:val="TableFootnoteCaption"/>
    <w:rsid w:val="00B856BF"/>
    <w:rPr>
      <w:rFonts w:cs="Arial"/>
    </w:rPr>
  </w:style>
  <w:style w:type="character" w:styleId="EndnoteReference">
    <w:name w:val="endnote reference"/>
    <w:basedOn w:val="DefaultParagraphFont"/>
    <w:semiHidden/>
    <w:unhideWhenUsed/>
    <w:rsid w:val="00B856BF"/>
    <w:rPr>
      <w:vertAlign w:val="superscript"/>
    </w:rPr>
  </w:style>
  <w:style w:type="character" w:customStyle="1" w:styleId="apple-converted-space">
    <w:name w:val="apple-converted-space"/>
    <w:basedOn w:val="DefaultParagraphFont"/>
    <w:rsid w:val="00B856BF"/>
  </w:style>
  <w:style w:type="character" w:styleId="FollowedHyperlink">
    <w:name w:val="FollowedHyperlink"/>
    <w:basedOn w:val="DefaultParagraphFont"/>
    <w:semiHidden/>
    <w:unhideWhenUsed/>
    <w:rsid w:val="00B856BF"/>
    <w:rPr>
      <w:color w:val="800080" w:themeColor="followedHyperlink"/>
      <w:u w:val="single"/>
    </w:rPr>
  </w:style>
  <w:style w:type="character" w:customStyle="1" w:styleId="Proposalreference">
    <w:name w:val="Proposal reference"/>
    <w:basedOn w:val="DefaultParagraphFont"/>
    <w:uiPriority w:val="1"/>
    <w:qFormat/>
    <w:rsid w:val="00B856BF"/>
    <w:rPr>
      <w:i/>
      <w:color w:val="1F497D" w:themeColor="text2"/>
    </w:rPr>
  </w:style>
  <w:style w:type="table" w:customStyle="1" w:styleId="LightList21">
    <w:name w:val="Light List21"/>
    <w:basedOn w:val="TableNormal"/>
    <w:uiPriority w:val="61"/>
    <w:locked/>
    <w:rsid w:val="00B856BF"/>
    <w:pPr>
      <w:widowControl/>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eading23">
    <w:name w:val="Heading 23"/>
    <w:basedOn w:val="Normal"/>
    <w:rsid w:val="00B856BF"/>
    <w:pPr>
      <w:keepNext/>
      <w:tabs>
        <w:tab w:val="left" w:pos="432"/>
      </w:tabs>
      <w:spacing w:after="120"/>
      <w:ind w:left="432" w:hanging="432"/>
      <w:outlineLvl w:val="1"/>
    </w:pPr>
    <w:rPr>
      <w:rFonts w:ascii="Arial Black" w:hAnsi="Arial Black"/>
    </w:rPr>
  </w:style>
  <w:style w:type="paragraph" w:customStyle="1" w:styleId="NormalSS9">
    <w:name w:val="NormalSS 9"/>
    <w:basedOn w:val="MarkforAppendixTitle"/>
    <w:rsid w:val="00B856BF"/>
    <w:rPr>
      <w:rFonts w:eastAsia="Calibri"/>
    </w:rPr>
  </w:style>
  <w:style w:type="paragraph" w:customStyle="1" w:styleId="Heading4NoTOC">
    <w:name w:val="Heading 4_No TOC"/>
    <w:basedOn w:val="Heading4"/>
    <w:next w:val="NormalSS"/>
    <w:semiHidden/>
    <w:qFormat/>
    <w:rsid w:val="002E1FBB"/>
    <w:pPr>
      <w:outlineLvl w:val="9"/>
    </w:pPr>
  </w:style>
  <w:style w:type="table" w:customStyle="1" w:styleId="MPRBaseTable">
    <w:name w:val="MPR Base Table"/>
    <w:basedOn w:val="TableNormal"/>
    <w:uiPriority w:val="99"/>
    <w:rsid w:val="002E1FBB"/>
    <w:pPr>
      <w:widowControl/>
      <w:spacing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2E1FBB"/>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2E1FBB"/>
    <w:pPr>
      <w:ind w:left="432" w:hanging="432"/>
      <w:outlineLvl w:val="1"/>
    </w:pPr>
  </w:style>
  <w:style w:type="character" w:customStyle="1" w:styleId="H1TitleChar">
    <w:name w:val="H1_Title Char"/>
    <w:basedOn w:val="DefaultParagraphFont"/>
    <w:link w:val="H1Title"/>
    <w:rsid w:val="002E1FBB"/>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2E1FBB"/>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2E1FBB"/>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2E1FBB"/>
    <w:pPr>
      <w:outlineLvl w:val="9"/>
    </w:pPr>
  </w:style>
  <w:style w:type="character" w:customStyle="1" w:styleId="H3AlphaChar">
    <w:name w:val="H3_Alpha Char"/>
    <w:basedOn w:val="Heading2Char"/>
    <w:link w:val="H3Alpha"/>
    <w:rsid w:val="002E1FBB"/>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2E1FBB"/>
    <w:pPr>
      <w:outlineLvl w:val="3"/>
    </w:pPr>
    <w:rPr>
      <w:rFonts w:ascii="Times New Roman" w:hAnsi="Times New Roman"/>
      <w:b/>
      <w:sz w:val="24"/>
    </w:rPr>
  </w:style>
  <w:style w:type="character" w:customStyle="1" w:styleId="H3AlphaNoTOCChar">
    <w:name w:val="H3_Alpha_No TOC Char"/>
    <w:basedOn w:val="H3AlphaChar"/>
    <w:link w:val="H3AlphaNoTOC"/>
    <w:rsid w:val="002E1FBB"/>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2E1FBB"/>
    <w:pPr>
      <w:outlineLvl w:val="9"/>
    </w:pPr>
  </w:style>
  <w:style w:type="character" w:customStyle="1" w:styleId="H4NumberChar">
    <w:name w:val="H4_Number Char"/>
    <w:basedOn w:val="Heading3Char"/>
    <w:link w:val="H4Number"/>
    <w:rsid w:val="002E1FBB"/>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2E1FBB"/>
    <w:pPr>
      <w:outlineLvl w:val="4"/>
    </w:pPr>
  </w:style>
  <w:style w:type="character" w:customStyle="1" w:styleId="H4NumberNoTOCChar">
    <w:name w:val="H4_Number_No TOC Char"/>
    <w:basedOn w:val="H4NumberChar"/>
    <w:link w:val="H4NumberNoTOC"/>
    <w:rsid w:val="002E1FBB"/>
    <w:rPr>
      <w:rFonts w:ascii="Times New Roman" w:eastAsia="Times New Roman" w:hAnsi="Times New Roman" w:cs="Times New Roman"/>
      <w:b/>
      <w:sz w:val="24"/>
      <w:szCs w:val="20"/>
    </w:rPr>
  </w:style>
  <w:style w:type="character" w:customStyle="1" w:styleId="H5LowerChar">
    <w:name w:val="H5_Lower Char"/>
    <w:basedOn w:val="Heading4Char"/>
    <w:link w:val="H5Lower"/>
    <w:rsid w:val="002E1FBB"/>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810489">
      <w:bodyDiv w:val="1"/>
      <w:marLeft w:val="0"/>
      <w:marRight w:val="0"/>
      <w:marTop w:val="0"/>
      <w:marBottom w:val="0"/>
      <w:divBdr>
        <w:top w:val="none" w:sz="0" w:space="0" w:color="auto"/>
        <w:left w:val="none" w:sz="0" w:space="0" w:color="auto"/>
        <w:bottom w:val="none" w:sz="0" w:space="0" w:color="auto"/>
        <w:right w:val="none" w:sz="0" w:space="0" w:color="auto"/>
      </w:divBdr>
    </w:div>
    <w:div w:id="1869373397">
      <w:bodyDiv w:val="1"/>
      <w:marLeft w:val="0"/>
      <w:marRight w:val="0"/>
      <w:marTop w:val="0"/>
      <w:marBottom w:val="0"/>
      <w:divBdr>
        <w:top w:val="none" w:sz="0" w:space="0" w:color="auto"/>
        <w:left w:val="none" w:sz="0" w:space="0" w:color="auto"/>
        <w:bottom w:val="none" w:sz="0" w:space="0" w:color="auto"/>
        <w:right w:val="none" w:sz="0" w:space="0" w:color="auto"/>
      </w:divBdr>
    </w:div>
    <w:div w:id="197725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urveypractice.org/index.php/SurveyPractice/article/view/22/pdf_1" TargetMode="External"/><Relationship Id="rId1" Type="http://schemas.openxmlformats.org/officeDocument/2006/relationships/hyperlink" Target="http://www.medicaid.gov/medicaid-chip-program-information/by-topics/quality-of-care/downloads/maternity-core-se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D486E-59AB-4723-86B1-132A4AF0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26</TotalTime>
  <Pages>19</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Office of Management and Budget Evaluating a Pilot Mobile Health Program, Supporting Statement Part A</vt:lpstr>
    </vt:vector>
  </TitlesOfParts>
  <Company>Mathematica, Inc.</Company>
  <LinksUpToDate>false</LinksUpToDate>
  <CharactersWithSpaces>41294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 Evaluating a Pilot Mobile Health Program, Supporting Statement Part A</dc:title>
  <dc:subject>OMB</dc:subject>
  <dc:creator>Mathematica Policy Research</dc:creator>
  <cp:keywords>mobile health program, data collection</cp:keywords>
  <cp:lastModifiedBy>Mitch Bryman</cp:lastModifiedBy>
  <cp:revision>4</cp:revision>
  <cp:lastPrinted>2016-03-17T18:51:00Z</cp:lastPrinted>
  <dcterms:created xsi:type="dcterms:W3CDTF">2017-01-20T13:02:00Z</dcterms:created>
  <dcterms:modified xsi:type="dcterms:W3CDTF">2017-01-20T14:09:00Z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2014-03-12T00:00:00Z</vt:filetime>
  </property>
  <property fmtid="{D5CDD505-2E9C-101B-9397-08002B2CF9AE}" pid="3" name="LastSaved">
    <vt:filetime>2014-12-15T00:00:00Z</vt:filetime>
  </property>
</Properties>
</file>