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A204D" w14:textId="49D944E6" w:rsidR="004C56F1" w:rsidRDefault="004C56F1" w:rsidP="004C56F1">
      <w:pPr>
        <w:jc w:val="center"/>
        <w:rPr>
          <w:rFonts w:ascii="Times New Roman Bold" w:hAnsi="Times New Roman Bold"/>
          <w:b/>
          <w:caps/>
        </w:rPr>
      </w:pPr>
      <w:r>
        <w:rPr>
          <w:rFonts w:ascii="Times New Roman Bold" w:hAnsi="Times New Roman Bold"/>
          <w:b/>
          <w:caps/>
        </w:rPr>
        <w:t>Evaluation OF the Substance Abuse and</w:t>
      </w:r>
    </w:p>
    <w:p w14:paraId="0825F0A2" w14:textId="37D70746" w:rsidR="004C56F1" w:rsidRPr="002035C2" w:rsidRDefault="004C56F1" w:rsidP="0003709C">
      <w:pPr>
        <w:spacing w:after="120"/>
        <w:jc w:val="center"/>
        <w:rPr>
          <w:rFonts w:ascii="Times New Roman Bold" w:hAnsi="Times New Roman Bold"/>
          <w:b/>
          <w:caps/>
        </w:rPr>
      </w:pPr>
      <w:r>
        <w:rPr>
          <w:rFonts w:ascii="Times New Roman Bold" w:hAnsi="Times New Roman Bold"/>
          <w:b/>
          <w:caps/>
        </w:rPr>
        <w:t xml:space="preserve"> Mental Health Services administration’s (samhsa’S) </w:t>
      </w:r>
      <w:r w:rsidR="0003709C">
        <w:rPr>
          <w:rFonts w:ascii="Times New Roman Bold" w:hAnsi="Times New Roman Bold"/>
          <w:b/>
          <w:caps/>
        </w:rPr>
        <w:t xml:space="preserve">cooperative agreements to benefit homeless individuals (CABHI) </w:t>
      </w:r>
      <w:r>
        <w:rPr>
          <w:rFonts w:ascii="Times New Roman Bold" w:hAnsi="Times New Roman Bold"/>
          <w:b/>
          <w:caps/>
        </w:rPr>
        <w:t>program</w:t>
      </w:r>
    </w:p>
    <w:p w14:paraId="328D3558" w14:textId="77777777" w:rsidR="004C56F1" w:rsidRPr="00F64D36" w:rsidRDefault="004C56F1" w:rsidP="004C56F1">
      <w:pPr>
        <w:jc w:val="center"/>
        <w:rPr>
          <w:b/>
        </w:rPr>
      </w:pPr>
      <w:r w:rsidRPr="002035C2">
        <w:rPr>
          <w:rFonts w:ascii="Times New Roman Bold" w:hAnsi="Times New Roman Bold"/>
          <w:b/>
          <w:caps/>
        </w:rPr>
        <w:t>Supporting Statement</w:t>
      </w:r>
    </w:p>
    <w:p w14:paraId="6E44372D" w14:textId="77777777" w:rsidR="004C56F1" w:rsidRDefault="004C56F1" w:rsidP="004C56F1"/>
    <w:p w14:paraId="4A059AC1" w14:textId="77777777" w:rsidR="004C56F1" w:rsidRPr="001B1E03" w:rsidRDefault="004C56F1" w:rsidP="004C56F1">
      <w:pPr>
        <w:rPr>
          <w:b/>
        </w:rPr>
      </w:pPr>
      <w:bookmarkStart w:id="0" w:name="_Toc8007688"/>
      <w:bookmarkStart w:id="1" w:name="_Toc88277971"/>
      <w:bookmarkStart w:id="2" w:name="_Toc131564368"/>
      <w:r w:rsidRPr="001B1E03">
        <w:rPr>
          <w:b/>
        </w:rPr>
        <w:t>B.</w:t>
      </w:r>
      <w:r w:rsidRPr="001B1E03">
        <w:rPr>
          <w:b/>
        </w:rPr>
        <w:tab/>
        <w:t>C</w:t>
      </w:r>
      <w:r>
        <w:rPr>
          <w:b/>
        </w:rPr>
        <w:t>OLLECTION OF INFORMATION EMPLOYING STATISTICAL METHO</w:t>
      </w:r>
      <w:bookmarkEnd w:id="0"/>
      <w:bookmarkEnd w:id="1"/>
      <w:bookmarkEnd w:id="2"/>
      <w:r>
        <w:rPr>
          <w:b/>
        </w:rPr>
        <w:t>DS</w:t>
      </w:r>
    </w:p>
    <w:p w14:paraId="540EBD0C" w14:textId="77777777" w:rsidR="004C56F1" w:rsidRDefault="004C56F1" w:rsidP="004C56F1">
      <w:bookmarkStart w:id="3" w:name="_Toc8007689"/>
      <w:bookmarkStart w:id="4" w:name="_Toc88277972"/>
      <w:bookmarkStart w:id="5" w:name="_Toc131564369"/>
    </w:p>
    <w:p w14:paraId="54775484" w14:textId="77777777" w:rsidR="004C56F1" w:rsidRPr="001B1E03" w:rsidRDefault="004C56F1" w:rsidP="004C56F1">
      <w:pPr>
        <w:rPr>
          <w:b/>
        </w:rPr>
      </w:pPr>
      <w:r w:rsidRPr="001B1E03">
        <w:rPr>
          <w:b/>
        </w:rPr>
        <w:t>1.</w:t>
      </w:r>
      <w:r w:rsidRPr="001B1E03">
        <w:rPr>
          <w:b/>
        </w:rPr>
        <w:tab/>
      </w:r>
      <w:bookmarkEnd w:id="3"/>
      <w:r w:rsidRPr="001B1E03">
        <w:rPr>
          <w:b/>
          <w:u w:val="single"/>
        </w:rPr>
        <w:t>Respondent Universe and Sampling Methods</w:t>
      </w:r>
      <w:bookmarkEnd w:id="4"/>
      <w:bookmarkEnd w:id="5"/>
    </w:p>
    <w:p w14:paraId="00F24005" w14:textId="77777777" w:rsidR="004C56F1" w:rsidRDefault="004C56F1" w:rsidP="004C56F1">
      <w:pPr>
        <w:rPr>
          <w:bCs/>
        </w:rPr>
      </w:pPr>
    </w:p>
    <w:p w14:paraId="716D4548" w14:textId="3D1190CB" w:rsidR="004C56F1" w:rsidRDefault="004C56F1" w:rsidP="00401FB4">
      <w:pPr>
        <w:rPr>
          <w:bCs/>
          <w:u w:val="single"/>
        </w:rPr>
      </w:pPr>
      <w:r>
        <w:rPr>
          <w:bCs/>
        </w:rPr>
        <w:t>The following sections provide a description of the respondents and sampling methods for each data collection tool</w:t>
      </w:r>
      <w:r w:rsidR="00ED13A3">
        <w:rPr>
          <w:bCs/>
        </w:rPr>
        <w:t xml:space="preserve"> </w:t>
      </w:r>
      <w:r w:rsidR="0003709C">
        <w:rPr>
          <w:bCs/>
        </w:rPr>
        <w:t xml:space="preserve">included in this request to OMB </w:t>
      </w:r>
      <w:r w:rsidR="00ED13A3">
        <w:rPr>
          <w:bCs/>
        </w:rPr>
        <w:t>for the CABHI Evaluation</w:t>
      </w:r>
      <w:r w:rsidR="00AC2DE0">
        <w:rPr>
          <w:bCs/>
        </w:rPr>
        <w:t xml:space="preserve">.  </w:t>
      </w:r>
      <w:r w:rsidR="0003709C">
        <w:rPr>
          <w:bCs/>
        </w:rPr>
        <w:t>As a reminder, the 2016 CABHI grantees include 3 States, 12 Local Governments, and 15 Communities</w:t>
      </w:r>
      <w:r w:rsidR="00AC2DE0">
        <w:rPr>
          <w:bCs/>
        </w:rPr>
        <w:t xml:space="preserve">.  </w:t>
      </w:r>
      <w:r w:rsidR="0003709C">
        <w:rPr>
          <w:bCs/>
        </w:rPr>
        <w:t>The States a</w:t>
      </w:r>
      <w:bookmarkStart w:id="6" w:name="_GoBack"/>
      <w:bookmarkEnd w:id="6"/>
      <w:r w:rsidR="0003709C">
        <w:rPr>
          <w:bCs/>
        </w:rPr>
        <w:t>lso include 9 State sub-recipients whose role is to provide services, including permanent supportive housing (PSH) and other evidence-based practices (EBPs), to CABHI clients.</w:t>
      </w:r>
    </w:p>
    <w:p w14:paraId="69EFCD51" w14:textId="77777777" w:rsidR="00401FB4" w:rsidRDefault="00401FB4" w:rsidP="00401FB4">
      <w:pPr>
        <w:keepNext/>
        <w:rPr>
          <w:bCs/>
          <w:u w:val="single"/>
        </w:rPr>
      </w:pPr>
    </w:p>
    <w:p w14:paraId="0807DC0A" w14:textId="73FAB992" w:rsidR="004C56F1" w:rsidRPr="008D5D7B" w:rsidRDefault="004C56F1" w:rsidP="004C56F1">
      <w:pPr>
        <w:keepNext/>
        <w:spacing w:after="120"/>
        <w:rPr>
          <w:bCs/>
          <w:u w:val="single"/>
        </w:rPr>
      </w:pPr>
      <w:r>
        <w:rPr>
          <w:bCs/>
          <w:u w:val="single"/>
        </w:rPr>
        <w:t>P</w:t>
      </w:r>
      <w:r w:rsidR="0003709C">
        <w:rPr>
          <w:bCs/>
          <w:u w:val="single"/>
        </w:rPr>
        <w:t>roject Director (P</w:t>
      </w:r>
      <w:r>
        <w:rPr>
          <w:bCs/>
          <w:u w:val="single"/>
        </w:rPr>
        <w:t>D</w:t>
      </w:r>
      <w:r w:rsidR="0003709C">
        <w:rPr>
          <w:bCs/>
          <w:u w:val="single"/>
        </w:rPr>
        <w:t>)</w:t>
      </w:r>
      <w:r>
        <w:rPr>
          <w:bCs/>
          <w:u w:val="single"/>
        </w:rPr>
        <w:t xml:space="preserve"> Interview</w:t>
      </w:r>
      <w:r w:rsidR="00926008">
        <w:rPr>
          <w:bCs/>
          <w:u w:val="single"/>
        </w:rPr>
        <w:t xml:space="preserve"> and Site Visits</w:t>
      </w:r>
    </w:p>
    <w:p w14:paraId="46F98C9C" w14:textId="593AFE59" w:rsidR="00193046" w:rsidRDefault="00926008" w:rsidP="00401FB4">
      <w:pPr>
        <w:rPr>
          <w:bCs/>
        </w:rPr>
      </w:pPr>
      <w:r>
        <w:rPr>
          <w:bCs/>
        </w:rPr>
        <w:t>Using a census approach, t</w:t>
      </w:r>
      <w:r w:rsidR="004C56F1">
        <w:rPr>
          <w:bCs/>
        </w:rPr>
        <w:t xml:space="preserve">he </w:t>
      </w:r>
      <w:r>
        <w:rPr>
          <w:bCs/>
        </w:rPr>
        <w:t xml:space="preserve">target universe for the </w:t>
      </w:r>
      <w:r w:rsidR="00401FB4" w:rsidRPr="00401FB4">
        <w:rPr>
          <w:bCs/>
          <w:i/>
          <w:iCs/>
        </w:rPr>
        <w:t>PD Phone Interview/Web Survey</w:t>
      </w:r>
      <w:r w:rsidR="004C56F1">
        <w:rPr>
          <w:bCs/>
        </w:rPr>
        <w:t xml:space="preserve"> </w:t>
      </w:r>
      <w:r>
        <w:rPr>
          <w:bCs/>
        </w:rPr>
        <w:t xml:space="preserve">is all of the 2016 CABHI grant project directors (n=30) and the State sub-recipient </w:t>
      </w:r>
      <w:r w:rsidR="00CE6E0A">
        <w:rPr>
          <w:bCs/>
        </w:rPr>
        <w:t>coordinators</w:t>
      </w:r>
      <w:r>
        <w:rPr>
          <w:bCs/>
        </w:rPr>
        <w:t xml:space="preserve"> (n=9)</w:t>
      </w:r>
      <w:r w:rsidR="00AC2DE0">
        <w:rPr>
          <w:bCs/>
        </w:rPr>
        <w:t xml:space="preserve">.  </w:t>
      </w:r>
      <w:r>
        <w:rPr>
          <w:bCs/>
        </w:rPr>
        <w:t>All 30 gra</w:t>
      </w:r>
      <w:r w:rsidR="00193046">
        <w:rPr>
          <w:bCs/>
        </w:rPr>
        <w:t xml:space="preserve">nt projects are also expected to participate in the </w:t>
      </w:r>
      <w:r w:rsidR="00B82A93" w:rsidRPr="00B82A93">
        <w:rPr>
          <w:bCs/>
          <w:i/>
          <w:iCs/>
        </w:rPr>
        <w:t>Site V</w:t>
      </w:r>
      <w:r w:rsidR="00193046" w:rsidRPr="00B82A93">
        <w:rPr>
          <w:bCs/>
          <w:i/>
          <w:iCs/>
        </w:rPr>
        <w:t>isits</w:t>
      </w:r>
      <w:r w:rsidR="00AC2DE0">
        <w:rPr>
          <w:bCs/>
        </w:rPr>
        <w:t xml:space="preserve">.  </w:t>
      </w:r>
      <w:r w:rsidR="00193046">
        <w:rPr>
          <w:bCs/>
        </w:rPr>
        <w:t xml:space="preserve">Respondents vary across the </w:t>
      </w:r>
      <w:r w:rsidR="0003709C">
        <w:rPr>
          <w:bCs/>
        </w:rPr>
        <w:t xml:space="preserve">site visit </w:t>
      </w:r>
      <w:r w:rsidR="00193046">
        <w:rPr>
          <w:bCs/>
        </w:rPr>
        <w:t>interviews, as follows:</w:t>
      </w:r>
    </w:p>
    <w:p w14:paraId="3FE20F16" w14:textId="77777777" w:rsidR="00B82A93" w:rsidRDefault="00B82A93" w:rsidP="00B82A93">
      <w:pPr>
        <w:rPr>
          <w:bCs/>
        </w:rPr>
      </w:pPr>
    </w:p>
    <w:p w14:paraId="44BFD3C7" w14:textId="0E295F86" w:rsidR="00193046" w:rsidRPr="00B82A93" w:rsidRDefault="00193046" w:rsidP="00CE6E0A">
      <w:pPr>
        <w:pStyle w:val="ListParagraph"/>
        <w:numPr>
          <w:ilvl w:val="0"/>
          <w:numId w:val="23"/>
        </w:numPr>
        <w:rPr>
          <w:bCs/>
        </w:rPr>
      </w:pPr>
      <w:r w:rsidRPr="00B82A93">
        <w:rPr>
          <w:bCs/>
          <w:u w:val="single"/>
        </w:rPr>
        <w:t>Opening Session/Project Director Interview</w:t>
      </w:r>
      <w:r w:rsidR="00AC2DE0">
        <w:rPr>
          <w:bCs/>
        </w:rPr>
        <w:t xml:space="preserve">:  </w:t>
      </w:r>
      <w:r w:rsidRPr="00B82A93">
        <w:rPr>
          <w:bCs/>
        </w:rPr>
        <w:t xml:space="preserve">project directors, project coordinators, project managers, </w:t>
      </w:r>
      <w:r w:rsidR="00CE6E0A">
        <w:rPr>
          <w:bCs/>
        </w:rPr>
        <w:t xml:space="preserve">State sub-recipient coordinators, </w:t>
      </w:r>
      <w:r w:rsidRPr="00B82A93">
        <w:rPr>
          <w:bCs/>
        </w:rPr>
        <w:t>and other administrative-level staff as selected by the grant project director.</w:t>
      </w:r>
    </w:p>
    <w:p w14:paraId="240FD5EB" w14:textId="6140ED0F" w:rsidR="00193046" w:rsidRPr="00B82A93" w:rsidRDefault="00193046" w:rsidP="00B82A93">
      <w:pPr>
        <w:pStyle w:val="ListParagraph"/>
        <w:numPr>
          <w:ilvl w:val="0"/>
          <w:numId w:val="23"/>
        </w:numPr>
        <w:rPr>
          <w:bCs/>
        </w:rPr>
      </w:pPr>
      <w:r w:rsidRPr="00B82A93">
        <w:rPr>
          <w:bCs/>
          <w:u w:val="single"/>
        </w:rPr>
        <w:t>Case Management, Treatment, and Housing Staff Interview</w:t>
      </w:r>
      <w:r w:rsidR="00AC2DE0">
        <w:rPr>
          <w:bCs/>
        </w:rPr>
        <w:t xml:space="preserve">:  </w:t>
      </w:r>
      <w:r w:rsidRPr="00B82A93">
        <w:rPr>
          <w:bCs/>
        </w:rPr>
        <w:t>staff providing services to clients, such as outreach specialists, case managers, behavioral health counselors, housing specialists, benefits specialists, peer support specialists, etc.</w:t>
      </w:r>
    </w:p>
    <w:p w14:paraId="5B207BE1" w14:textId="4EDAA8E9" w:rsidR="00193046" w:rsidRPr="00B82A93" w:rsidRDefault="00193046" w:rsidP="00B82A93">
      <w:pPr>
        <w:pStyle w:val="ListParagraph"/>
        <w:numPr>
          <w:ilvl w:val="0"/>
          <w:numId w:val="23"/>
        </w:numPr>
        <w:rPr>
          <w:bCs/>
        </w:rPr>
      </w:pPr>
      <w:r w:rsidRPr="00B82A93">
        <w:rPr>
          <w:bCs/>
          <w:u w:val="single"/>
        </w:rPr>
        <w:t>Stakeholder Interview</w:t>
      </w:r>
      <w:r w:rsidR="00AC2DE0">
        <w:rPr>
          <w:bCs/>
        </w:rPr>
        <w:t xml:space="preserve">:  </w:t>
      </w:r>
      <w:r w:rsidRPr="00B82A93">
        <w:rPr>
          <w:bCs/>
        </w:rPr>
        <w:t>project partner staff and other key project stakeholders.</w:t>
      </w:r>
    </w:p>
    <w:p w14:paraId="38E325D6" w14:textId="4491E856" w:rsidR="00193046" w:rsidRPr="00B82A93" w:rsidRDefault="00193046" w:rsidP="00D6667D">
      <w:pPr>
        <w:pStyle w:val="ListParagraph"/>
        <w:numPr>
          <w:ilvl w:val="0"/>
          <w:numId w:val="23"/>
        </w:numPr>
        <w:rPr>
          <w:bCs/>
        </w:rPr>
      </w:pPr>
      <w:r w:rsidRPr="00B82A93">
        <w:rPr>
          <w:bCs/>
          <w:u w:val="single"/>
        </w:rPr>
        <w:t xml:space="preserve">Client </w:t>
      </w:r>
      <w:r w:rsidR="00D6667D">
        <w:rPr>
          <w:bCs/>
          <w:u w:val="single"/>
        </w:rPr>
        <w:t>Focus Group</w:t>
      </w:r>
      <w:r w:rsidR="00AC2DE0">
        <w:rPr>
          <w:bCs/>
        </w:rPr>
        <w:t xml:space="preserve">:  </w:t>
      </w:r>
      <w:r w:rsidRPr="00B82A93">
        <w:rPr>
          <w:bCs/>
        </w:rPr>
        <w:t>project participants.</w:t>
      </w:r>
    </w:p>
    <w:p w14:paraId="246EDD76" w14:textId="6CBC0362" w:rsidR="00193046" w:rsidRPr="00B82A93" w:rsidRDefault="00193046" w:rsidP="00B82A93">
      <w:pPr>
        <w:pStyle w:val="ListParagraph"/>
        <w:numPr>
          <w:ilvl w:val="0"/>
          <w:numId w:val="23"/>
        </w:numPr>
        <w:rPr>
          <w:bCs/>
        </w:rPr>
      </w:pPr>
      <w:r w:rsidRPr="00B82A93">
        <w:rPr>
          <w:bCs/>
          <w:u w:val="single"/>
        </w:rPr>
        <w:t>Evaluator Interview</w:t>
      </w:r>
      <w:r w:rsidR="00AC2DE0">
        <w:rPr>
          <w:bCs/>
        </w:rPr>
        <w:t xml:space="preserve">:  </w:t>
      </w:r>
      <w:r w:rsidRPr="00B82A93">
        <w:rPr>
          <w:bCs/>
        </w:rPr>
        <w:t>project evaluators.</w:t>
      </w:r>
    </w:p>
    <w:p w14:paraId="411E0CF0" w14:textId="7A7FA4C9" w:rsidR="00193046" w:rsidRPr="00B82A93" w:rsidRDefault="00193046" w:rsidP="00B82A93">
      <w:pPr>
        <w:pStyle w:val="ListParagraph"/>
        <w:numPr>
          <w:ilvl w:val="0"/>
          <w:numId w:val="23"/>
        </w:numPr>
        <w:rPr>
          <w:bCs/>
        </w:rPr>
      </w:pPr>
      <w:r w:rsidRPr="00B82A93">
        <w:rPr>
          <w:bCs/>
          <w:u w:val="single"/>
        </w:rPr>
        <w:t>Cost Interview</w:t>
      </w:r>
      <w:r w:rsidR="00AC2DE0">
        <w:rPr>
          <w:bCs/>
        </w:rPr>
        <w:t xml:space="preserve">:  </w:t>
      </w:r>
      <w:r w:rsidRPr="00B82A93">
        <w:rPr>
          <w:bCs/>
        </w:rPr>
        <w:t>project directors and staff who are knowledgeable about project finances, such as finance directors, financial managers, etc.</w:t>
      </w:r>
    </w:p>
    <w:p w14:paraId="742A668D" w14:textId="77777777" w:rsidR="009B49FA" w:rsidRDefault="009B49FA" w:rsidP="009B49FA">
      <w:pPr>
        <w:rPr>
          <w:bCs/>
        </w:rPr>
      </w:pPr>
    </w:p>
    <w:p w14:paraId="41248598" w14:textId="77777777" w:rsidR="009B49FA" w:rsidRPr="004C1431" w:rsidRDefault="009B49FA" w:rsidP="00401FB4">
      <w:pPr>
        <w:spacing w:after="120"/>
        <w:rPr>
          <w:bCs/>
          <w:u w:val="single"/>
        </w:rPr>
      </w:pPr>
      <w:r w:rsidRPr="004C1431">
        <w:rPr>
          <w:bCs/>
          <w:u w:val="single"/>
        </w:rPr>
        <w:t>EBP Self-Assessment</w:t>
      </w:r>
    </w:p>
    <w:p w14:paraId="2D0B77CF" w14:textId="5A3D4078" w:rsidR="004C1431" w:rsidRDefault="008159F8" w:rsidP="00ED13A3">
      <w:pPr>
        <w:rPr>
          <w:bCs/>
        </w:rPr>
      </w:pPr>
      <w:r>
        <w:rPr>
          <w:bCs/>
        </w:rPr>
        <w:t>T</w:t>
      </w:r>
      <w:r w:rsidR="00D6667D">
        <w:rPr>
          <w:bCs/>
        </w:rPr>
        <w:t xml:space="preserve">he </w:t>
      </w:r>
      <w:r w:rsidR="00D6667D">
        <w:rPr>
          <w:bCs/>
          <w:i/>
          <w:iCs/>
        </w:rPr>
        <w:t>EBP Self-Assessment</w:t>
      </w:r>
      <w:r>
        <w:rPr>
          <w:bCs/>
          <w:i/>
          <w:iCs/>
        </w:rPr>
        <w:t xml:space="preserve"> – Part 1</w:t>
      </w:r>
      <w:r>
        <w:rPr>
          <w:bCs/>
        </w:rPr>
        <w:t xml:space="preserve"> target universe is all </w:t>
      </w:r>
      <w:r w:rsidR="0003709C">
        <w:rPr>
          <w:bCs/>
        </w:rPr>
        <w:t xml:space="preserve">2016 CABHI </w:t>
      </w:r>
      <w:r w:rsidR="00D6667D">
        <w:rPr>
          <w:bCs/>
        </w:rPr>
        <w:t xml:space="preserve">grant projects that are </w:t>
      </w:r>
      <w:r>
        <w:rPr>
          <w:bCs/>
        </w:rPr>
        <w:t>implementing at least one EBP</w:t>
      </w:r>
      <w:r w:rsidR="00AC2DE0">
        <w:rPr>
          <w:bCs/>
        </w:rPr>
        <w:t xml:space="preserve">.  </w:t>
      </w:r>
      <w:r>
        <w:rPr>
          <w:bCs/>
        </w:rPr>
        <w:t>As the provision of CABHI services through an EBP is a grant requirement, it is expected that all State sub-recipients (n=9), Local Governments (n=12), and Communities (n=15) will be recruited to complete the Part 1 survey</w:t>
      </w:r>
      <w:r w:rsidR="00AC2DE0">
        <w:rPr>
          <w:bCs/>
        </w:rPr>
        <w:t xml:space="preserve">.  </w:t>
      </w:r>
    </w:p>
    <w:p w14:paraId="1B66BE22" w14:textId="77777777" w:rsidR="004C1431" w:rsidRDefault="004C1431" w:rsidP="00ED13A3">
      <w:pPr>
        <w:rPr>
          <w:bCs/>
        </w:rPr>
      </w:pPr>
    </w:p>
    <w:p w14:paraId="78C1A205" w14:textId="014AD7CE" w:rsidR="008159F8" w:rsidRDefault="008159F8" w:rsidP="004C1431">
      <w:pPr>
        <w:rPr>
          <w:bCs/>
        </w:rPr>
      </w:pPr>
      <w:r>
        <w:rPr>
          <w:bCs/>
        </w:rPr>
        <w:t xml:space="preserve">The target universe for the </w:t>
      </w:r>
      <w:r w:rsidRPr="008159F8">
        <w:rPr>
          <w:bCs/>
          <w:i/>
          <w:iCs/>
        </w:rPr>
        <w:t>EBP Self-Assessment</w:t>
      </w:r>
      <w:r>
        <w:rPr>
          <w:bCs/>
          <w:i/>
          <w:iCs/>
        </w:rPr>
        <w:t xml:space="preserve"> –</w:t>
      </w:r>
      <w:r w:rsidRPr="008159F8">
        <w:rPr>
          <w:bCs/>
          <w:i/>
          <w:iCs/>
        </w:rPr>
        <w:t xml:space="preserve"> Part 2</w:t>
      </w:r>
      <w:r>
        <w:rPr>
          <w:bCs/>
        </w:rPr>
        <w:t xml:space="preserve"> is all grant projects that are implementing </w:t>
      </w:r>
      <w:r w:rsidRPr="008159F8">
        <w:rPr>
          <w:bCs/>
        </w:rPr>
        <w:t xml:space="preserve">at least one of the </w:t>
      </w:r>
      <w:r>
        <w:rPr>
          <w:bCs/>
        </w:rPr>
        <w:t>6</w:t>
      </w:r>
      <w:r w:rsidRPr="008159F8">
        <w:rPr>
          <w:bCs/>
        </w:rPr>
        <w:t xml:space="preserve"> EBPs selected for an in-depth assessment</w:t>
      </w:r>
      <w:r>
        <w:rPr>
          <w:bCs/>
        </w:rPr>
        <w:t xml:space="preserve"> (</w:t>
      </w:r>
      <w:r w:rsidR="004C1431">
        <w:rPr>
          <w:bCs/>
        </w:rPr>
        <w:t xml:space="preserve">i.e., </w:t>
      </w:r>
      <w:r w:rsidRPr="008159F8">
        <w:rPr>
          <w:bCs/>
        </w:rPr>
        <w:t>Assertive Community Treatment, Integrated Dual Disorders Treatment, Illness Management and Recovery, Supported Employment, Critical Time Intervention, and SSI/SSDI Outreach, Access, and Recovery</w:t>
      </w:r>
      <w:r>
        <w:rPr>
          <w:bCs/>
        </w:rPr>
        <w:t>)</w:t>
      </w:r>
      <w:r w:rsidR="00AC2DE0">
        <w:rPr>
          <w:bCs/>
        </w:rPr>
        <w:t xml:space="preserve">.  </w:t>
      </w:r>
      <w:r w:rsidR="00ED13A3">
        <w:rPr>
          <w:bCs/>
        </w:rPr>
        <w:t xml:space="preserve">The selected EBPs that are the focus of the Part 2 survey are commonly used with homeless populations and historically have high usage rates among SAMHSA’s homeless grant </w:t>
      </w:r>
      <w:r w:rsidR="00ED13A3">
        <w:rPr>
          <w:bCs/>
        </w:rPr>
        <w:lastRenderedPageBreak/>
        <w:t>program grantees</w:t>
      </w:r>
      <w:r w:rsidR="00AC2DE0">
        <w:rPr>
          <w:bCs/>
        </w:rPr>
        <w:t xml:space="preserve">.  </w:t>
      </w:r>
      <w:r w:rsidR="00ED13A3">
        <w:rPr>
          <w:bCs/>
        </w:rPr>
        <w:t xml:space="preserve">Therefore, there is a high likelihood that </w:t>
      </w:r>
      <w:r w:rsidR="004C1431">
        <w:rPr>
          <w:bCs/>
        </w:rPr>
        <w:t xml:space="preserve">each </w:t>
      </w:r>
      <w:r w:rsidR="004C1431" w:rsidRPr="004C1431">
        <w:rPr>
          <w:bCs/>
        </w:rPr>
        <w:t>State sub-recipient (n=9), Local Government (n=12)</w:t>
      </w:r>
      <w:r w:rsidR="004C1431">
        <w:rPr>
          <w:bCs/>
        </w:rPr>
        <w:t>, and Community</w:t>
      </w:r>
      <w:r w:rsidR="004C1431" w:rsidRPr="004C1431">
        <w:rPr>
          <w:bCs/>
        </w:rPr>
        <w:t xml:space="preserve"> (n=15)</w:t>
      </w:r>
      <w:r w:rsidR="00ED13A3">
        <w:rPr>
          <w:bCs/>
        </w:rPr>
        <w:t xml:space="preserve"> will implement at least one of the selected EBPs and will be recruited to complete the Part 2 survey.</w:t>
      </w:r>
    </w:p>
    <w:p w14:paraId="33991414" w14:textId="77777777" w:rsidR="004C1431" w:rsidRDefault="004C1431" w:rsidP="00ED13A3">
      <w:pPr>
        <w:rPr>
          <w:bCs/>
        </w:rPr>
      </w:pPr>
    </w:p>
    <w:p w14:paraId="12A42008" w14:textId="677951A2" w:rsidR="004C1431" w:rsidRDefault="004C1431" w:rsidP="004C1431">
      <w:pPr>
        <w:rPr>
          <w:bCs/>
        </w:rPr>
      </w:pPr>
      <w:r w:rsidRPr="009B49FA">
        <w:rPr>
          <w:bCs/>
        </w:rPr>
        <w:t xml:space="preserve">Respondents </w:t>
      </w:r>
      <w:r>
        <w:rPr>
          <w:bCs/>
        </w:rPr>
        <w:t xml:space="preserve">to both parts of the </w:t>
      </w:r>
      <w:r w:rsidRPr="004C1431">
        <w:rPr>
          <w:bCs/>
          <w:i/>
          <w:iCs/>
        </w:rPr>
        <w:t>EBP Self-Assessment</w:t>
      </w:r>
      <w:r>
        <w:rPr>
          <w:bCs/>
        </w:rPr>
        <w:t xml:space="preserve"> </w:t>
      </w:r>
      <w:r w:rsidRPr="009B49FA">
        <w:rPr>
          <w:bCs/>
        </w:rPr>
        <w:t>will include grant project directors</w:t>
      </w:r>
      <w:r>
        <w:rPr>
          <w:bCs/>
        </w:rPr>
        <w:t>, State sub-recipient coordinators,</w:t>
      </w:r>
      <w:r w:rsidRPr="009B49FA">
        <w:rPr>
          <w:bCs/>
        </w:rPr>
        <w:t xml:space="preserve"> or a key staff member knowledgeable about the EBPs being implemented by the project, as designated by the grant project director.</w:t>
      </w:r>
    </w:p>
    <w:p w14:paraId="44D2D0C2" w14:textId="77777777" w:rsidR="00ED13A3" w:rsidRDefault="00ED13A3" w:rsidP="00ED13A3">
      <w:pPr>
        <w:rPr>
          <w:bCs/>
        </w:rPr>
      </w:pPr>
    </w:p>
    <w:p w14:paraId="3D5B5F2F" w14:textId="755F697C" w:rsidR="004C1431" w:rsidRPr="004C1431" w:rsidRDefault="004C1431" w:rsidP="00401FB4">
      <w:pPr>
        <w:spacing w:after="120"/>
        <w:rPr>
          <w:bCs/>
          <w:u w:val="single"/>
        </w:rPr>
      </w:pPr>
      <w:r w:rsidRPr="004C1431">
        <w:rPr>
          <w:bCs/>
          <w:u w:val="single"/>
        </w:rPr>
        <w:t>PSH Self-Assessment</w:t>
      </w:r>
    </w:p>
    <w:p w14:paraId="40D1591D" w14:textId="13E7CEF6" w:rsidR="00D6667D" w:rsidRDefault="009C2F4B" w:rsidP="00090C7C">
      <w:pPr>
        <w:rPr>
          <w:bCs/>
        </w:rPr>
      </w:pPr>
      <w:r>
        <w:rPr>
          <w:bCs/>
        </w:rPr>
        <w:t xml:space="preserve">The target universe for </w:t>
      </w:r>
      <w:r w:rsidR="00D6667D">
        <w:rPr>
          <w:bCs/>
        </w:rPr>
        <w:t xml:space="preserve">the </w:t>
      </w:r>
      <w:r w:rsidR="00D6667D">
        <w:rPr>
          <w:bCs/>
          <w:i/>
          <w:iCs/>
        </w:rPr>
        <w:t>PSH Self-Assessment</w:t>
      </w:r>
      <w:r>
        <w:rPr>
          <w:bCs/>
        </w:rPr>
        <w:t xml:space="preserve"> is</w:t>
      </w:r>
      <w:r w:rsidR="0003709C">
        <w:rPr>
          <w:bCs/>
        </w:rPr>
        <w:t xml:space="preserve"> all of the 2016 CABHI grant projects that are using the PSH model</w:t>
      </w:r>
      <w:r w:rsidR="00AC2DE0">
        <w:rPr>
          <w:bCs/>
        </w:rPr>
        <w:t xml:space="preserve">.  </w:t>
      </w:r>
      <w:r w:rsidR="004C1431">
        <w:rPr>
          <w:bCs/>
        </w:rPr>
        <w:t xml:space="preserve">All grant projects are expected to connect clients to permanent housing and provide supportive services; therefore, it is expected that </w:t>
      </w:r>
      <w:r w:rsidR="00C4142D">
        <w:rPr>
          <w:bCs/>
        </w:rPr>
        <w:t xml:space="preserve">all </w:t>
      </w:r>
      <w:r w:rsidR="00090C7C" w:rsidRPr="00090C7C">
        <w:rPr>
          <w:bCs/>
        </w:rPr>
        <w:t xml:space="preserve">State sub-recipients (n=9), Local Governments (n=12), and Communities (n=15) will be recruited to complete the </w:t>
      </w:r>
      <w:r w:rsidR="00090C7C">
        <w:rPr>
          <w:bCs/>
        </w:rPr>
        <w:t>PSH</w:t>
      </w:r>
      <w:r w:rsidR="00090C7C" w:rsidRPr="00090C7C">
        <w:rPr>
          <w:bCs/>
        </w:rPr>
        <w:t xml:space="preserve"> survey</w:t>
      </w:r>
      <w:r w:rsidR="00AC2DE0">
        <w:rPr>
          <w:bCs/>
        </w:rPr>
        <w:t xml:space="preserve">.  </w:t>
      </w:r>
      <w:r w:rsidR="00090C7C" w:rsidRPr="00090C7C">
        <w:rPr>
          <w:bCs/>
        </w:rPr>
        <w:t xml:space="preserve">Respondents to the </w:t>
      </w:r>
      <w:r w:rsidR="00090C7C">
        <w:rPr>
          <w:bCs/>
          <w:i/>
          <w:iCs/>
        </w:rPr>
        <w:t>PSH</w:t>
      </w:r>
      <w:r w:rsidR="00090C7C" w:rsidRPr="00090C7C">
        <w:rPr>
          <w:bCs/>
          <w:i/>
          <w:iCs/>
        </w:rPr>
        <w:t xml:space="preserve"> Self-Assessment</w:t>
      </w:r>
      <w:r w:rsidR="00090C7C" w:rsidRPr="00090C7C">
        <w:rPr>
          <w:bCs/>
        </w:rPr>
        <w:t xml:space="preserve"> will include grant project directors, State sub-recipient coordinators, or a key staff member knowledgeable about the </w:t>
      </w:r>
      <w:r w:rsidR="00090C7C">
        <w:rPr>
          <w:bCs/>
        </w:rPr>
        <w:t>PSH model</w:t>
      </w:r>
      <w:r w:rsidR="00090C7C" w:rsidRPr="00090C7C">
        <w:rPr>
          <w:bCs/>
        </w:rPr>
        <w:t xml:space="preserve"> being implemented by the project, as designated by the grant project director.</w:t>
      </w:r>
    </w:p>
    <w:p w14:paraId="2804106F" w14:textId="77777777" w:rsidR="00090C7C" w:rsidRPr="00D6667D" w:rsidRDefault="00090C7C" w:rsidP="00090C7C">
      <w:pPr>
        <w:rPr>
          <w:bCs/>
        </w:rPr>
      </w:pPr>
    </w:p>
    <w:p w14:paraId="30911478" w14:textId="29CD82DF" w:rsidR="004C56F1" w:rsidRDefault="00B82A93" w:rsidP="00D6667D">
      <w:pPr>
        <w:rPr>
          <w:bCs/>
        </w:rPr>
      </w:pPr>
      <w:r>
        <w:rPr>
          <w:bCs/>
        </w:rPr>
        <w:t xml:space="preserve">Using a census approach for these data collection </w:t>
      </w:r>
      <w:r w:rsidR="00AC2DE0">
        <w:rPr>
          <w:bCs/>
        </w:rPr>
        <w:t>activities</w:t>
      </w:r>
      <w:r w:rsidRPr="00B82A93">
        <w:rPr>
          <w:bCs/>
        </w:rPr>
        <w:t xml:space="preserve"> is necessary due to the heterogeneous nature of the </w:t>
      </w:r>
      <w:r>
        <w:rPr>
          <w:bCs/>
        </w:rPr>
        <w:t>CABHI projects</w:t>
      </w:r>
      <w:r w:rsidR="00AC2DE0">
        <w:rPr>
          <w:bCs/>
        </w:rPr>
        <w:t xml:space="preserve">.  </w:t>
      </w:r>
      <w:r w:rsidRPr="00B82A93">
        <w:rPr>
          <w:bCs/>
        </w:rPr>
        <w:t>Th</w:t>
      </w:r>
      <w:r>
        <w:rPr>
          <w:bCs/>
        </w:rPr>
        <w:t>ey</w:t>
      </w:r>
      <w:r w:rsidRPr="00B82A93">
        <w:rPr>
          <w:bCs/>
        </w:rPr>
        <w:t xml:space="preserve"> encompass a wide variety of organizational types and structures that are implementing a range of interventions with various outcome goals</w:t>
      </w:r>
      <w:r w:rsidR="00AC2DE0">
        <w:rPr>
          <w:bCs/>
        </w:rPr>
        <w:t xml:space="preserve">.  </w:t>
      </w:r>
      <w:r w:rsidRPr="00B82A93">
        <w:rPr>
          <w:bCs/>
        </w:rPr>
        <w:t>The variety between the pro</w:t>
      </w:r>
      <w:r>
        <w:rPr>
          <w:bCs/>
        </w:rPr>
        <w:t>jects</w:t>
      </w:r>
      <w:r w:rsidRPr="00B82A93">
        <w:rPr>
          <w:bCs/>
        </w:rPr>
        <w:t xml:space="preserve"> makes it critical to the evaluation to capture the details of each pro</w:t>
      </w:r>
      <w:r>
        <w:rPr>
          <w:bCs/>
        </w:rPr>
        <w:t>ject</w:t>
      </w:r>
      <w:r w:rsidRPr="00B82A93">
        <w:rPr>
          <w:bCs/>
        </w:rPr>
        <w:t xml:space="preserve"> to be able to answer the evaluation questions and assess which pro</w:t>
      </w:r>
      <w:r>
        <w:rPr>
          <w:bCs/>
        </w:rPr>
        <w:t>ject</w:t>
      </w:r>
      <w:r w:rsidRPr="00B82A93">
        <w:rPr>
          <w:bCs/>
        </w:rPr>
        <w:t xml:space="preserve"> characteristics and mix of interventions are associated with better outcomes for </w:t>
      </w:r>
      <w:r>
        <w:rPr>
          <w:bCs/>
        </w:rPr>
        <w:t>the targeted populations</w:t>
      </w:r>
      <w:r w:rsidR="00AC2DE0">
        <w:rPr>
          <w:bCs/>
        </w:rPr>
        <w:t xml:space="preserve">.  </w:t>
      </w:r>
      <w:r w:rsidRPr="00B82A93">
        <w:rPr>
          <w:bCs/>
        </w:rPr>
        <w:t xml:space="preserve">Additionally, SAMHSA </w:t>
      </w:r>
      <w:r>
        <w:rPr>
          <w:bCs/>
        </w:rPr>
        <w:t>will use these data to monitor project performance and provide annual updates on progress</w:t>
      </w:r>
      <w:r w:rsidRPr="00B82A93">
        <w:rPr>
          <w:bCs/>
        </w:rPr>
        <w:t>.</w:t>
      </w:r>
    </w:p>
    <w:p w14:paraId="48CB1935" w14:textId="77777777" w:rsidR="004C56F1" w:rsidRDefault="004C56F1" w:rsidP="004C56F1">
      <w:pPr>
        <w:rPr>
          <w:bCs/>
        </w:rPr>
      </w:pPr>
    </w:p>
    <w:p w14:paraId="56DCDCD4" w14:textId="77777777" w:rsidR="004C56F1" w:rsidRPr="001B1E03" w:rsidRDefault="004C56F1" w:rsidP="004C56F1">
      <w:pPr>
        <w:rPr>
          <w:b/>
        </w:rPr>
      </w:pPr>
      <w:r w:rsidRPr="0095575B">
        <w:rPr>
          <w:b/>
        </w:rPr>
        <w:t>2.</w:t>
      </w:r>
      <w:r w:rsidRPr="0095575B">
        <w:rPr>
          <w:b/>
        </w:rPr>
        <w:tab/>
      </w:r>
      <w:r w:rsidRPr="00BD44FB">
        <w:rPr>
          <w:b/>
          <w:u w:val="single"/>
        </w:rPr>
        <w:t>Information Collection Procedures</w:t>
      </w:r>
    </w:p>
    <w:p w14:paraId="7210A4B4" w14:textId="77777777" w:rsidR="004C56F1" w:rsidRDefault="004C56F1" w:rsidP="004C56F1">
      <w:pPr>
        <w:rPr>
          <w:bCs/>
        </w:rPr>
      </w:pPr>
    </w:p>
    <w:p w14:paraId="35846227" w14:textId="5A46616B" w:rsidR="00C82FDB" w:rsidRDefault="00C82FDB" w:rsidP="008838F6">
      <w:pPr>
        <w:rPr>
          <w:bCs/>
        </w:rPr>
      </w:pPr>
      <w:r>
        <w:rPr>
          <w:bCs/>
        </w:rPr>
        <w:t>The CABHI E</w:t>
      </w:r>
      <w:r w:rsidRPr="00C82FDB">
        <w:rPr>
          <w:bCs/>
        </w:rPr>
        <w:t>valuation data collection will be centrali</w:t>
      </w:r>
      <w:r>
        <w:rPr>
          <w:bCs/>
        </w:rPr>
        <w:t>zed and coordinated through the</w:t>
      </w:r>
      <w:r w:rsidRPr="00C82FDB">
        <w:rPr>
          <w:bCs/>
        </w:rPr>
        <w:t xml:space="preserve"> data collection team leader and </w:t>
      </w:r>
      <w:r>
        <w:rPr>
          <w:bCs/>
        </w:rPr>
        <w:t xml:space="preserve">an evaluation </w:t>
      </w:r>
      <w:r w:rsidR="008838F6">
        <w:rPr>
          <w:bCs/>
        </w:rPr>
        <w:t xml:space="preserve">training and </w:t>
      </w:r>
      <w:r>
        <w:rPr>
          <w:bCs/>
        </w:rPr>
        <w:t>technical assistance (</w:t>
      </w:r>
      <w:r w:rsidR="008838F6">
        <w:rPr>
          <w:bCs/>
        </w:rPr>
        <w:t>ET</w:t>
      </w:r>
      <w:r>
        <w:rPr>
          <w:bCs/>
        </w:rPr>
        <w:t>TA)</w:t>
      </w:r>
      <w:r w:rsidR="008838F6">
        <w:rPr>
          <w:bCs/>
        </w:rPr>
        <w:t xml:space="preserve"> liaison team</w:t>
      </w:r>
      <w:r w:rsidRPr="00C82FDB">
        <w:rPr>
          <w:bCs/>
        </w:rPr>
        <w:t xml:space="preserve"> assigned to each grant</w:t>
      </w:r>
      <w:r w:rsidR="008838F6">
        <w:rPr>
          <w:bCs/>
        </w:rPr>
        <w:t xml:space="preserve"> project</w:t>
      </w:r>
      <w:r w:rsidR="00AC2DE0">
        <w:rPr>
          <w:bCs/>
        </w:rPr>
        <w:t xml:space="preserve">.  </w:t>
      </w:r>
      <w:r w:rsidRPr="00C82FDB">
        <w:rPr>
          <w:bCs/>
        </w:rPr>
        <w:t xml:space="preserve">This </w:t>
      </w:r>
      <w:r w:rsidR="008838F6">
        <w:rPr>
          <w:bCs/>
        </w:rPr>
        <w:t xml:space="preserve">ETTA </w:t>
      </w:r>
      <w:r w:rsidRPr="00C82FDB">
        <w:rPr>
          <w:bCs/>
        </w:rPr>
        <w:t>liaison</w:t>
      </w:r>
      <w:r w:rsidR="008838F6">
        <w:rPr>
          <w:bCs/>
        </w:rPr>
        <w:t xml:space="preserve"> team</w:t>
      </w:r>
      <w:r w:rsidRPr="00C82FDB">
        <w:rPr>
          <w:bCs/>
        </w:rPr>
        <w:t xml:space="preserve"> will be the primary point of contact </w:t>
      </w:r>
      <w:r w:rsidR="002B618C">
        <w:rPr>
          <w:bCs/>
        </w:rPr>
        <w:t xml:space="preserve">to each grantee </w:t>
      </w:r>
      <w:r w:rsidR="00AC2DE0">
        <w:rPr>
          <w:bCs/>
        </w:rPr>
        <w:t xml:space="preserve">concerning </w:t>
      </w:r>
      <w:r w:rsidR="00AC2DE0" w:rsidRPr="00C82FDB">
        <w:rPr>
          <w:bCs/>
        </w:rPr>
        <w:t>questions</w:t>
      </w:r>
      <w:r w:rsidRPr="00C82FDB">
        <w:rPr>
          <w:bCs/>
        </w:rPr>
        <w:t xml:space="preserve"> about data collection, reporting, and feedback</w:t>
      </w:r>
      <w:r w:rsidR="00AC2DE0">
        <w:rPr>
          <w:bCs/>
        </w:rPr>
        <w:t xml:space="preserve">.  </w:t>
      </w:r>
      <w:r w:rsidRPr="00C82FDB">
        <w:rPr>
          <w:bCs/>
        </w:rPr>
        <w:t>Furthermore, these liaisons will help collect data</w:t>
      </w:r>
      <w:r w:rsidR="00AC2DE0">
        <w:rPr>
          <w:bCs/>
        </w:rPr>
        <w:t xml:space="preserve">.  </w:t>
      </w:r>
      <w:r w:rsidRPr="00C82FDB">
        <w:rPr>
          <w:bCs/>
        </w:rPr>
        <w:t xml:space="preserve">For example, all </w:t>
      </w:r>
      <w:r w:rsidR="008838F6">
        <w:rPr>
          <w:bCs/>
        </w:rPr>
        <w:t>PD telephone</w:t>
      </w:r>
      <w:r w:rsidRPr="00C82FDB">
        <w:rPr>
          <w:bCs/>
        </w:rPr>
        <w:t xml:space="preserve"> interviews will be conducted by the </w:t>
      </w:r>
      <w:r w:rsidR="008838F6">
        <w:rPr>
          <w:bCs/>
        </w:rPr>
        <w:t>ETTA</w:t>
      </w:r>
      <w:r w:rsidRPr="00C82FDB">
        <w:rPr>
          <w:bCs/>
        </w:rPr>
        <w:t xml:space="preserve"> liaison assigned to that individual grant</w:t>
      </w:r>
      <w:r w:rsidR="008838F6">
        <w:rPr>
          <w:bCs/>
        </w:rPr>
        <w:t xml:space="preserve"> project</w:t>
      </w:r>
      <w:r w:rsidRPr="00C82FDB">
        <w:rPr>
          <w:bCs/>
        </w:rPr>
        <w:t>.</w:t>
      </w:r>
    </w:p>
    <w:p w14:paraId="32B653A7" w14:textId="77777777" w:rsidR="00C82FDB" w:rsidRDefault="00C82FDB" w:rsidP="004C56F1">
      <w:pPr>
        <w:rPr>
          <w:bCs/>
        </w:rPr>
      </w:pPr>
    </w:p>
    <w:p w14:paraId="038B789E" w14:textId="773C80A1" w:rsidR="004C56F1" w:rsidRPr="00062802" w:rsidRDefault="004C56F1" w:rsidP="004C56F1">
      <w:pPr>
        <w:spacing w:after="120"/>
        <w:rPr>
          <w:bCs/>
          <w:u w:val="single"/>
        </w:rPr>
      </w:pPr>
      <w:r>
        <w:rPr>
          <w:bCs/>
          <w:u w:val="single"/>
        </w:rPr>
        <w:t xml:space="preserve">PD </w:t>
      </w:r>
      <w:r w:rsidR="008838F6">
        <w:rPr>
          <w:bCs/>
          <w:u w:val="single"/>
        </w:rPr>
        <w:t xml:space="preserve">Telephone </w:t>
      </w:r>
      <w:r>
        <w:rPr>
          <w:bCs/>
          <w:u w:val="single"/>
        </w:rPr>
        <w:t>Interview</w:t>
      </w:r>
    </w:p>
    <w:p w14:paraId="4F774D7E" w14:textId="59141BAA" w:rsidR="008838F6" w:rsidRPr="008838F6" w:rsidRDefault="008838F6" w:rsidP="008838F6">
      <w:r>
        <w:t xml:space="preserve">Grant project directors and State sub-recipient coordinators </w:t>
      </w:r>
      <w:r w:rsidRPr="008838F6">
        <w:t>will be contacted by the</w:t>
      </w:r>
      <w:r>
        <w:t>ir ETTA liaison team</w:t>
      </w:r>
      <w:r w:rsidRPr="008838F6">
        <w:t xml:space="preserve"> via email with telephone follow-up to set</w:t>
      </w:r>
      <w:r w:rsidR="002B618C">
        <w:t xml:space="preserve"> </w:t>
      </w:r>
      <w:r w:rsidRPr="008838F6">
        <w:t>up a mutually convenient time for the</w:t>
      </w:r>
      <w:r>
        <w:t xml:space="preserve"> PD telephone</w:t>
      </w:r>
      <w:r w:rsidRPr="008838F6">
        <w:t xml:space="preserve"> interview during regularly scheduled business hours</w:t>
      </w:r>
      <w:r w:rsidR="00AC2DE0">
        <w:t xml:space="preserve">.  </w:t>
      </w:r>
      <w:r w:rsidRPr="008838F6">
        <w:t>Before conducting the telephone interviews, the evaluation team will review grant applications (submitted to SAMHSA by each grantee and given to the evaluation team by SAMHSA) and other documents (e.g., progress reports) that detail the characteristics of the pro</w:t>
      </w:r>
      <w:r>
        <w:t>ject</w:t>
      </w:r>
      <w:r w:rsidR="00AC2DE0">
        <w:t xml:space="preserve">.  </w:t>
      </w:r>
      <w:r w:rsidR="002B618C">
        <w:t>The liaison staff will</w:t>
      </w:r>
      <w:r w:rsidRPr="008838F6">
        <w:t xml:space="preserve"> abstract information relevant to the evaluation (e.g., project structure, interventions)</w:t>
      </w:r>
      <w:r w:rsidR="002B618C">
        <w:t xml:space="preserve"> to become</w:t>
      </w:r>
      <w:r w:rsidRPr="008838F6">
        <w:t xml:space="preserve"> </w:t>
      </w:r>
      <w:r w:rsidR="002B618C" w:rsidRPr="008838F6">
        <w:t>familiar with the grant</w:t>
      </w:r>
      <w:r w:rsidR="002B618C">
        <w:t xml:space="preserve"> project</w:t>
      </w:r>
      <w:r w:rsidR="002B618C" w:rsidRPr="008838F6">
        <w:t xml:space="preserve"> </w:t>
      </w:r>
      <w:r w:rsidR="002B618C">
        <w:t xml:space="preserve">prior to </w:t>
      </w:r>
      <w:r w:rsidRPr="008838F6">
        <w:t>conducting the interview</w:t>
      </w:r>
      <w:r>
        <w:t>s</w:t>
      </w:r>
      <w:r w:rsidR="00AC2DE0">
        <w:t xml:space="preserve">.  </w:t>
      </w:r>
      <w:r w:rsidRPr="008838F6">
        <w:t>This pre</w:t>
      </w:r>
      <w:r w:rsidR="00AC2DE0">
        <w:t>-</w:t>
      </w:r>
      <w:r w:rsidRPr="008838F6">
        <w:t>abstracted information will be used to prepopulate some interview questions to reduce respondent burden</w:t>
      </w:r>
      <w:r w:rsidR="00AC2DE0">
        <w:t xml:space="preserve">.  </w:t>
      </w:r>
      <w:r w:rsidRPr="008838F6">
        <w:t xml:space="preserve">For instance, a list of the </w:t>
      </w:r>
      <w:r>
        <w:lastRenderedPageBreak/>
        <w:t>project partners</w:t>
      </w:r>
      <w:r w:rsidRPr="008838F6">
        <w:t xml:space="preserve"> and </w:t>
      </w:r>
      <w:r>
        <w:t>target population</w:t>
      </w:r>
      <w:r w:rsidRPr="008838F6">
        <w:t xml:space="preserve"> will be prepopulated and confirmed or updated with the respondent, as opposed to asking the respondent to generate the list while on the telephone</w:t>
      </w:r>
      <w:r w:rsidR="00AC2DE0">
        <w:t xml:space="preserve">.  </w:t>
      </w:r>
    </w:p>
    <w:p w14:paraId="45373DB2" w14:textId="77777777" w:rsidR="008838F6" w:rsidRDefault="008838F6" w:rsidP="008838F6"/>
    <w:p w14:paraId="2EE4ABC6" w14:textId="3BB03193" w:rsidR="008838F6" w:rsidRDefault="008838F6" w:rsidP="00401FB4">
      <w:r w:rsidRPr="008838F6">
        <w:t xml:space="preserve">Once the interview is scheduled, the </w:t>
      </w:r>
      <w:r>
        <w:t>ETTA liaison team</w:t>
      </w:r>
      <w:r w:rsidRPr="008838F6">
        <w:t xml:space="preserve"> will provide the </w:t>
      </w:r>
      <w:r>
        <w:t>respondent</w:t>
      </w:r>
      <w:r w:rsidRPr="008838F6">
        <w:t xml:space="preserve"> with an electronic version of the consent form </w:t>
      </w:r>
      <w:r>
        <w:t xml:space="preserve">and the instrument </w:t>
      </w:r>
      <w:r w:rsidRPr="008838F6">
        <w:t>and a toll-free, passcode-protected telephone conference number</w:t>
      </w:r>
      <w:r w:rsidR="00AC2DE0">
        <w:t xml:space="preserve">.  </w:t>
      </w:r>
      <w:r w:rsidRPr="008838F6">
        <w:t>Before beginning the telephone interview</w:t>
      </w:r>
      <w:r w:rsidRPr="008838F6">
        <w:rPr>
          <w:i/>
          <w:iCs/>
        </w:rPr>
        <w:t>,</w:t>
      </w:r>
      <w:r w:rsidRPr="008838F6">
        <w:t xml:space="preserve"> consent will be requested to record the interview to confirm, if needed, the accuracy of noted responses</w:t>
      </w:r>
      <w:r w:rsidR="00AC2DE0">
        <w:t xml:space="preserve">.  </w:t>
      </w:r>
      <w:r>
        <w:t>The</w:t>
      </w:r>
      <w:r w:rsidRPr="008838F6">
        <w:t xml:space="preserve"> senior </w:t>
      </w:r>
      <w:r>
        <w:t>evaluator</w:t>
      </w:r>
      <w:r w:rsidRPr="008838F6">
        <w:t xml:space="preserve"> from the </w:t>
      </w:r>
      <w:r>
        <w:t>project’s ETTA liaison team</w:t>
      </w:r>
      <w:r w:rsidRPr="008838F6">
        <w:t xml:space="preserve"> will lead the respondent through the interview while </w:t>
      </w:r>
      <w:r>
        <w:t>a</w:t>
      </w:r>
      <w:r w:rsidRPr="008838F6">
        <w:t xml:space="preserve"> junior evaluator will record responses and take notes</w:t>
      </w:r>
      <w:r w:rsidR="00AC2DE0">
        <w:t xml:space="preserve">.  </w:t>
      </w:r>
      <w:r w:rsidRPr="008838F6">
        <w:t>After the interview, the interviewer and note taker will review the responses for accuracy</w:t>
      </w:r>
      <w:r w:rsidR="00AC2DE0">
        <w:t xml:space="preserve">.  </w:t>
      </w:r>
      <w:r w:rsidRPr="008838F6">
        <w:t>Any areas of discrepancy will be validated with the recording (if consented by the respondent); once the responses are considered final, the recording will be deleted</w:t>
      </w:r>
      <w:r w:rsidR="00AC2DE0">
        <w:t xml:space="preserve">.  </w:t>
      </w:r>
      <w:r w:rsidRPr="008838F6">
        <w:t>An electronic version of the telephone interview will be maintained on a password protected, secure</w:t>
      </w:r>
      <w:r w:rsidR="00401FB4">
        <w:t xml:space="preserve"> server accessible only to the CABHI </w:t>
      </w:r>
      <w:r w:rsidRPr="008838F6">
        <w:t>evaluation team</w:t>
      </w:r>
      <w:r w:rsidR="00AC2DE0">
        <w:t xml:space="preserve">.  </w:t>
      </w:r>
      <w:r w:rsidRPr="008838F6">
        <w:t>After the interview, the interviewer will send an email thanking the respondent for his or her participation.</w:t>
      </w:r>
    </w:p>
    <w:p w14:paraId="3823C69E" w14:textId="77777777" w:rsidR="00960C01" w:rsidRPr="008838F6" w:rsidRDefault="00960C01" w:rsidP="008838F6"/>
    <w:p w14:paraId="27541C95" w14:textId="45411F48" w:rsidR="008838F6" w:rsidRDefault="008838F6" w:rsidP="004F5DD8">
      <w:r w:rsidRPr="008838F6">
        <w:t xml:space="preserve">A procedures manual </w:t>
      </w:r>
      <w:r w:rsidR="004F5DD8">
        <w:t>has been</w:t>
      </w:r>
      <w:r w:rsidRPr="008838F6">
        <w:t xml:space="preserve"> developed for the administration of the telephone interviews and training will be provided to all interviewers and </w:t>
      </w:r>
      <w:r w:rsidR="00AC2DE0" w:rsidRPr="008838F6">
        <w:t>note takers</w:t>
      </w:r>
      <w:r w:rsidRPr="008838F6">
        <w:t xml:space="preserve"> to walk through interview procedures and questions.</w:t>
      </w:r>
    </w:p>
    <w:p w14:paraId="2D9BD0AD" w14:textId="77777777" w:rsidR="004C56F1" w:rsidRPr="008838F6" w:rsidRDefault="004C56F1" w:rsidP="004C56F1">
      <w:pPr>
        <w:rPr>
          <w:bCs/>
        </w:rPr>
      </w:pPr>
    </w:p>
    <w:p w14:paraId="4DA1544A" w14:textId="77777777" w:rsidR="004C56F1" w:rsidRPr="00C631EB" w:rsidRDefault="004C56F1" w:rsidP="004C56F1">
      <w:pPr>
        <w:spacing w:after="120"/>
        <w:rPr>
          <w:rFonts w:eastAsia="Calibri"/>
          <w:u w:val="single"/>
        </w:rPr>
      </w:pPr>
      <w:r w:rsidRPr="00C631EB">
        <w:rPr>
          <w:rFonts w:eastAsia="Calibri"/>
          <w:u w:val="single"/>
        </w:rPr>
        <w:t>Site Visit Guides</w:t>
      </w:r>
    </w:p>
    <w:p w14:paraId="412B73BF" w14:textId="28856DEF" w:rsidR="004C56F1" w:rsidRPr="00C631EB" w:rsidRDefault="00960C01" w:rsidP="00960C01">
      <w:pPr>
        <w:rPr>
          <w:rFonts w:eastAsia="Calibri"/>
        </w:rPr>
      </w:pPr>
      <w:r>
        <w:rPr>
          <w:rFonts w:eastAsia="Calibri"/>
        </w:rPr>
        <w:t>To schedule a site visit, the ETTA liaison team will</w:t>
      </w:r>
      <w:r w:rsidR="004C56F1" w:rsidRPr="00C631EB">
        <w:rPr>
          <w:rFonts w:eastAsia="Calibri"/>
        </w:rPr>
        <w:t xml:space="preserve"> </w:t>
      </w:r>
      <w:r>
        <w:rPr>
          <w:rFonts w:eastAsia="Calibri"/>
        </w:rPr>
        <w:t xml:space="preserve">send an </w:t>
      </w:r>
      <w:r w:rsidR="004C56F1" w:rsidRPr="00C631EB">
        <w:rPr>
          <w:rFonts w:eastAsia="Calibri"/>
        </w:rPr>
        <w:t xml:space="preserve">email </w:t>
      </w:r>
      <w:r>
        <w:rPr>
          <w:rFonts w:eastAsia="Calibri"/>
        </w:rPr>
        <w:t xml:space="preserve">to </w:t>
      </w:r>
      <w:r w:rsidR="004C56F1" w:rsidRPr="00C631EB">
        <w:rPr>
          <w:rFonts w:eastAsia="Calibri"/>
        </w:rPr>
        <w:t xml:space="preserve">the </w:t>
      </w:r>
      <w:r>
        <w:rPr>
          <w:rFonts w:eastAsia="Calibri"/>
        </w:rPr>
        <w:t xml:space="preserve">grant </w:t>
      </w:r>
      <w:r w:rsidR="004C56F1" w:rsidRPr="00C631EB">
        <w:rPr>
          <w:rFonts w:eastAsia="Calibri"/>
        </w:rPr>
        <w:t>project director to arrange a pre-site visit call</w:t>
      </w:r>
      <w:r w:rsidR="00AC2DE0">
        <w:rPr>
          <w:rFonts w:eastAsia="Calibri"/>
        </w:rPr>
        <w:t xml:space="preserve">.  </w:t>
      </w:r>
      <w:r>
        <w:rPr>
          <w:rFonts w:eastAsia="Calibri"/>
        </w:rPr>
        <w:t>Other project staff (e.g., the project evaluator) will be included in the call a</w:t>
      </w:r>
      <w:r w:rsidR="004C56F1" w:rsidRPr="00C631EB">
        <w:rPr>
          <w:rFonts w:eastAsia="Calibri"/>
        </w:rPr>
        <w:t>t the</w:t>
      </w:r>
      <w:r w:rsidR="004C56F1">
        <w:rPr>
          <w:rFonts w:eastAsia="Calibri"/>
        </w:rPr>
        <w:t xml:space="preserve"> grant</w:t>
      </w:r>
      <w:r w:rsidR="004C56F1" w:rsidRPr="00C631EB">
        <w:rPr>
          <w:rFonts w:eastAsia="Calibri"/>
        </w:rPr>
        <w:t xml:space="preserve"> </w:t>
      </w:r>
      <w:r w:rsidR="004C56F1">
        <w:rPr>
          <w:rFonts w:eastAsia="Calibri"/>
        </w:rPr>
        <w:t>p</w:t>
      </w:r>
      <w:r w:rsidR="004C56F1" w:rsidRPr="00C631EB">
        <w:rPr>
          <w:rFonts w:eastAsia="Calibri"/>
        </w:rPr>
        <w:t xml:space="preserve">roject </w:t>
      </w:r>
      <w:r w:rsidR="004C56F1">
        <w:rPr>
          <w:rFonts w:eastAsia="Calibri"/>
        </w:rPr>
        <w:t>d</w:t>
      </w:r>
      <w:r w:rsidR="004C56F1" w:rsidRPr="00C631EB">
        <w:rPr>
          <w:rFonts w:eastAsia="Calibri"/>
        </w:rPr>
        <w:t>irector’s discretion</w:t>
      </w:r>
      <w:r w:rsidR="00AC2DE0">
        <w:rPr>
          <w:rFonts w:eastAsia="Calibri"/>
        </w:rPr>
        <w:t xml:space="preserve">.  </w:t>
      </w:r>
      <w:r w:rsidR="004C56F1" w:rsidRPr="00C631EB">
        <w:rPr>
          <w:rFonts w:eastAsia="Calibri"/>
        </w:rPr>
        <w:t xml:space="preserve">To provide sufficient information prior to the call, the </w:t>
      </w:r>
      <w:r w:rsidR="002B618C">
        <w:rPr>
          <w:rFonts w:eastAsia="Calibri"/>
        </w:rPr>
        <w:t xml:space="preserve">ETTA liaison team </w:t>
      </w:r>
      <w:r w:rsidR="004C56F1" w:rsidRPr="00C631EB">
        <w:rPr>
          <w:rFonts w:eastAsia="Calibri"/>
        </w:rPr>
        <w:t xml:space="preserve">will send the </w:t>
      </w:r>
      <w:r w:rsidR="004C56F1">
        <w:rPr>
          <w:rFonts w:eastAsia="Calibri"/>
        </w:rPr>
        <w:t>p</w:t>
      </w:r>
      <w:r w:rsidR="004C56F1" w:rsidRPr="00C631EB">
        <w:rPr>
          <w:rFonts w:eastAsia="Calibri"/>
        </w:rPr>
        <w:t xml:space="preserve">roject </w:t>
      </w:r>
      <w:r w:rsidR="004C56F1">
        <w:rPr>
          <w:rFonts w:eastAsia="Calibri"/>
        </w:rPr>
        <w:t>d</w:t>
      </w:r>
      <w:r w:rsidR="004C56F1" w:rsidRPr="00C631EB">
        <w:rPr>
          <w:rFonts w:eastAsia="Calibri"/>
        </w:rPr>
        <w:t xml:space="preserve">irector the </w:t>
      </w:r>
      <w:r w:rsidR="004C56F1" w:rsidRPr="00C631EB">
        <w:rPr>
          <w:rFonts w:eastAsia="Calibri"/>
          <w:i/>
          <w:iCs/>
        </w:rPr>
        <w:t>Site Visit Guides</w:t>
      </w:r>
      <w:r w:rsidR="004C56F1" w:rsidRPr="00C631EB">
        <w:rPr>
          <w:rFonts w:eastAsia="Calibri"/>
        </w:rPr>
        <w:t xml:space="preserve"> topics</w:t>
      </w:r>
      <w:r>
        <w:rPr>
          <w:rFonts w:eastAsia="Calibri"/>
        </w:rPr>
        <w:t xml:space="preserve"> list</w:t>
      </w:r>
      <w:r w:rsidR="004C56F1" w:rsidRPr="00C631EB">
        <w:rPr>
          <w:rFonts w:eastAsia="Calibri"/>
        </w:rPr>
        <w:t xml:space="preserve"> and potential respondents</w:t>
      </w:r>
      <w:r w:rsidR="004C56F1">
        <w:rPr>
          <w:rFonts w:eastAsia="Calibri"/>
        </w:rPr>
        <w:t xml:space="preserve"> for each interview</w:t>
      </w:r>
      <w:r w:rsidR="00AC2DE0">
        <w:rPr>
          <w:rFonts w:eastAsia="Calibri"/>
        </w:rPr>
        <w:t xml:space="preserve">.  </w:t>
      </w:r>
      <w:r w:rsidR="004C56F1" w:rsidRPr="00C631EB">
        <w:rPr>
          <w:rFonts w:eastAsia="Calibri"/>
        </w:rPr>
        <w:t>During the call</w:t>
      </w:r>
      <w:r w:rsidR="004C56F1">
        <w:rPr>
          <w:rFonts w:eastAsia="Calibri"/>
        </w:rPr>
        <w:t>,</w:t>
      </w:r>
      <w:r w:rsidR="004C56F1" w:rsidRPr="00C631EB">
        <w:rPr>
          <w:rFonts w:eastAsia="Calibri"/>
        </w:rPr>
        <w:t xml:space="preserve"> a date for the site visit </w:t>
      </w:r>
      <w:r w:rsidR="004C56F1">
        <w:rPr>
          <w:rFonts w:eastAsia="Calibri"/>
        </w:rPr>
        <w:t>will be</w:t>
      </w:r>
      <w:r w:rsidR="004C56F1" w:rsidRPr="00C631EB">
        <w:rPr>
          <w:rFonts w:eastAsia="Calibri"/>
        </w:rPr>
        <w:t xml:space="preserve"> set and</w:t>
      </w:r>
      <w:r w:rsidR="004C56F1">
        <w:rPr>
          <w:rFonts w:eastAsia="Calibri"/>
        </w:rPr>
        <w:t xml:space="preserve"> an agenda</w:t>
      </w:r>
      <w:r w:rsidR="004C56F1" w:rsidRPr="00C631EB">
        <w:rPr>
          <w:rFonts w:eastAsia="Calibri"/>
        </w:rPr>
        <w:t xml:space="preserve"> </w:t>
      </w:r>
      <w:r w:rsidR="004C56F1">
        <w:rPr>
          <w:rFonts w:eastAsia="Calibri"/>
        </w:rPr>
        <w:t>will be</w:t>
      </w:r>
      <w:r w:rsidR="004C56F1" w:rsidRPr="00C631EB">
        <w:rPr>
          <w:rFonts w:eastAsia="Calibri"/>
        </w:rPr>
        <w:t xml:space="preserve"> developed</w:t>
      </w:r>
      <w:r w:rsidR="00AC2DE0">
        <w:rPr>
          <w:rFonts w:eastAsia="Calibri"/>
        </w:rPr>
        <w:t xml:space="preserve">.  </w:t>
      </w:r>
      <w:r w:rsidR="004C56F1" w:rsidRPr="00C631EB">
        <w:rPr>
          <w:rFonts w:eastAsia="Calibri"/>
        </w:rPr>
        <w:t>If needed</w:t>
      </w:r>
      <w:r w:rsidR="004C56F1">
        <w:rPr>
          <w:rFonts w:eastAsia="Calibri"/>
        </w:rPr>
        <w:t>,</w:t>
      </w:r>
      <w:r w:rsidR="004C56F1" w:rsidRPr="00C631EB">
        <w:rPr>
          <w:rFonts w:eastAsia="Calibri"/>
        </w:rPr>
        <w:t xml:space="preserve"> site visit logistics </w:t>
      </w:r>
      <w:r w:rsidR="004C56F1">
        <w:rPr>
          <w:rFonts w:eastAsia="Calibri"/>
        </w:rPr>
        <w:t>will be</w:t>
      </w:r>
      <w:r w:rsidR="004C56F1" w:rsidRPr="00C631EB">
        <w:rPr>
          <w:rFonts w:eastAsia="Calibri"/>
        </w:rPr>
        <w:t xml:space="preserve"> finalized through additional calls and via email</w:t>
      </w:r>
      <w:r w:rsidR="00AC2DE0">
        <w:rPr>
          <w:rFonts w:eastAsia="Calibri"/>
        </w:rPr>
        <w:t xml:space="preserve">.  </w:t>
      </w:r>
      <w:r w:rsidR="004C56F1" w:rsidRPr="00C631EB">
        <w:rPr>
          <w:rFonts w:eastAsia="Calibri"/>
        </w:rPr>
        <w:t xml:space="preserve">Prior to the site visit, the </w:t>
      </w:r>
      <w:r>
        <w:rPr>
          <w:rFonts w:eastAsia="Calibri"/>
        </w:rPr>
        <w:t>ETTA liaison</w:t>
      </w:r>
      <w:r w:rsidR="004C56F1" w:rsidRPr="00C631EB">
        <w:rPr>
          <w:rFonts w:eastAsia="Calibri"/>
        </w:rPr>
        <w:t xml:space="preserve"> team will send </w:t>
      </w:r>
      <w:r>
        <w:rPr>
          <w:rFonts w:eastAsia="Calibri"/>
        </w:rPr>
        <w:t xml:space="preserve">the grant project director the following </w:t>
      </w:r>
      <w:r w:rsidR="004C56F1" w:rsidRPr="00C631EB">
        <w:rPr>
          <w:rFonts w:eastAsia="Calibri"/>
        </w:rPr>
        <w:t>additional documents</w:t>
      </w:r>
      <w:r w:rsidR="00AC2DE0">
        <w:rPr>
          <w:rFonts w:eastAsia="Calibri"/>
        </w:rPr>
        <w:t xml:space="preserve">:  </w:t>
      </w:r>
      <w:r w:rsidR="004C56F1" w:rsidRPr="00C631EB">
        <w:rPr>
          <w:rFonts w:eastAsia="Calibri"/>
        </w:rPr>
        <w:t xml:space="preserve">1) the finalized agenda and logistics information (e.g., </w:t>
      </w:r>
      <w:r w:rsidR="004C56F1">
        <w:rPr>
          <w:rFonts w:eastAsia="Calibri"/>
        </w:rPr>
        <w:t xml:space="preserve">site visitors’ </w:t>
      </w:r>
      <w:r w:rsidR="004C56F1" w:rsidRPr="00C631EB">
        <w:rPr>
          <w:rFonts w:eastAsia="Calibri"/>
        </w:rPr>
        <w:t xml:space="preserve">hotel and contact information, contact information for </w:t>
      </w:r>
      <w:r w:rsidR="004C56F1">
        <w:rPr>
          <w:rFonts w:eastAsia="Calibri"/>
        </w:rPr>
        <w:t xml:space="preserve">the </w:t>
      </w:r>
      <w:r w:rsidR="004C56F1" w:rsidRPr="00C631EB">
        <w:rPr>
          <w:rFonts w:eastAsia="Calibri"/>
        </w:rPr>
        <w:t xml:space="preserve">primary </w:t>
      </w:r>
      <w:r w:rsidR="004C56F1">
        <w:rPr>
          <w:rFonts w:eastAsia="Calibri"/>
        </w:rPr>
        <w:t xml:space="preserve">grantee </w:t>
      </w:r>
      <w:r w:rsidR="004C56F1" w:rsidRPr="00C631EB">
        <w:rPr>
          <w:rFonts w:eastAsia="Calibri"/>
        </w:rPr>
        <w:t>site contact)</w:t>
      </w:r>
      <w:r w:rsidR="004C56F1">
        <w:rPr>
          <w:rFonts w:eastAsia="Calibri"/>
        </w:rPr>
        <w:t>,</w:t>
      </w:r>
      <w:r>
        <w:rPr>
          <w:rFonts w:eastAsia="Calibri"/>
        </w:rPr>
        <w:t xml:space="preserve"> and</w:t>
      </w:r>
      <w:r w:rsidR="004C56F1" w:rsidRPr="00C631EB">
        <w:rPr>
          <w:rFonts w:eastAsia="Calibri"/>
        </w:rPr>
        <w:t xml:space="preserve"> </w:t>
      </w:r>
      <w:r>
        <w:rPr>
          <w:rFonts w:eastAsia="Calibri"/>
        </w:rPr>
        <w:t>2</w:t>
      </w:r>
      <w:r w:rsidR="004C56F1" w:rsidRPr="00C631EB">
        <w:rPr>
          <w:rFonts w:eastAsia="Calibri"/>
        </w:rPr>
        <w:t xml:space="preserve">) a draft Client Flow Chart developed by the evaluation team from the </w:t>
      </w:r>
      <w:r w:rsidR="004C56F1">
        <w:rPr>
          <w:rFonts w:eastAsia="Calibri"/>
        </w:rPr>
        <w:t>review of the grant application</w:t>
      </w:r>
      <w:r w:rsidR="004C56F1">
        <w:rPr>
          <w:rFonts w:eastAsia="Calibri"/>
          <w:i/>
          <w:iCs/>
        </w:rPr>
        <w:t xml:space="preserve"> </w:t>
      </w:r>
      <w:r w:rsidR="004C56F1">
        <w:rPr>
          <w:rFonts w:eastAsia="Calibri"/>
        </w:rPr>
        <w:t>to be</w:t>
      </w:r>
      <w:r w:rsidR="004C56F1" w:rsidRPr="00C631EB">
        <w:rPr>
          <w:rFonts w:eastAsia="Calibri"/>
        </w:rPr>
        <w:t xml:space="preserve"> review</w:t>
      </w:r>
      <w:r w:rsidR="004C56F1">
        <w:rPr>
          <w:rFonts w:eastAsia="Calibri"/>
        </w:rPr>
        <w:t>ed</w:t>
      </w:r>
      <w:r w:rsidR="004C56F1" w:rsidRPr="00C631EB">
        <w:rPr>
          <w:rFonts w:eastAsia="Calibri"/>
        </w:rPr>
        <w:t xml:space="preserve"> and discuss</w:t>
      </w:r>
      <w:r w:rsidR="004C56F1">
        <w:rPr>
          <w:rFonts w:eastAsia="Calibri"/>
        </w:rPr>
        <w:t>ed</w:t>
      </w:r>
      <w:r w:rsidR="004C56F1" w:rsidRPr="00C631EB">
        <w:rPr>
          <w:rFonts w:eastAsia="Calibri"/>
        </w:rPr>
        <w:t xml:space="preserve"> during the Opening Session </w:t>
      </w:r>
      <w:r w:rsidR="004C56F1">
        <w:rPr>
          <w:rFonts w:eastAsia="Calibri"/>
        </w:rPr>
        <w:t>of</w:t>
      </w:r>
      <w:r w:rsidR="004C56F1" w:rsidRPr="00C631EB">
        <w:rPr>
          <w:rFonts w:eastAsia="Calibri"/>
        </w:rPr>
        <w:t xml:space="preserve"> the site visit</w:t>
      </w:r>
      <w:r w:rsidR="00AC2DE0">
        <w:rPr>
          <w:rFonts w:eastAsia="Calibri"/>
        </w:rPr>
        <w:t xml:space="preserve">.  </w:t>
      </w:r>
    </w:p>
    <w:p w14:paraId="3B045090" w14:textId="77777777" w:rsidR="004C56F1" w:rsidRPr="00C631EB" w:rsidRDefault="004C56F1" w:rsidP="004C56F1">
      <w:pPr>
        <w:rPr>
          <w:rFonts w:eastAsia="Calibri"/>
        </w:rPr>
      </w:pPr>
    </w:p>
    <w:p w14:paraId="2F93668D" w14:textId="244AE1E9" w:rsidR="004C56F1" w:rsidRDefault="004C56F1" w:rsidP="00401FB4">
      <w:pPr>
        <w:rPr>
          <w:bCs/>
        </w:rPr>
      </w:pPr>
      <w:r w:rsidRPr="00C631EB">
        <w:rPr>
          <w:rFonts w:eastAsia="Calibri"/>
        </w:rPr>
        <w:t xml:space="preserve">Each participant will be provided </w:t>
      </w:r>
      <w:r w:rsidR="002B618C">
        <w:rPr>
          <w:rFonts w:eastAsia="Calibri"/>
        </w:rPr>
        <w:t xml:space="preserve">with </w:t>
      </w:r>
      <w:r w:rsidRPr="00C631EB">
        <w:rPr>
          <w:rFonts w:eastAsia="Calibri"/>
        </w:rPr>
        <w:t>a written consent form prior to beginning their participation and procedures, including audio recording, will be verbally explained in addition to the participants</w:t>
      </w:r>
      <w:r>
        <w:rPr>
          <w:rFonts w:eastAsia="Calibri"/>
        </w:rPr>
        <w:t>’</w:t>
      </w:r>
      <w:r w:rsidRPr="00C631EB">
        <w:rPr>
          <w:rFonts w:eastAsia="Calibri"/>
        </w:rPr>
        <w:t xml:space="preserve"> </w:t>
      </w:r>
      <w:r>
        <w:rPr>
          <w:rFonts w:eastAsia="Calibri"/>
        </w:rPr>
        <w:t xml:space="preserve">own </w:t>
      </w:r>
      <w:r w:rsidRPr="00C631EB">
        <w:rPr>
          <w:rFonts w:eastAsia="Calibri"/>
        </w:rPr>
        <w:t>review</w:t>
      </w:r>
      <w:r>
        <w:rPr>
          <w:rFonts w:eastAsia="Calibri"/>
        </w:rPr>
        <w:t xml:space="preserve"> of</w:t>
      </w:r>
      <w:r w:rsidRPr="00C631EB">
        <w:rPr>
          <w:rFonts w:eastAsia="Calibri"/>
        </w:rPr>
        <w:t xml:space="preserve"> the consent</w:t>
      </w:r>
      <w:r w:rsidR="00AC2DE0">
        <w:rPr>
          <w:rFonts w:eastAsia="Calibri"/>
        </w:rPr>
        <w:t xml:space="preserve">.  </w:t>
      </w:r>
      <w:r w:rsidRPr="00C631EB">
        <w:rPr>
          <w:rFonts w:eastAsia="Calibri"/>
        </w:rPr>
        <w:t>Each individual and group discussion will be digitally recorded (if the interviewee consents) and written notes will be taken on a laptop computer</w:t>
      </w:r>
      <w:r w:rsidR="00AC2DE0">
        <w:rPr>
          <w:rFonts w:eastAsia="Calibri"/>
        </w:rPr>
        <w:t xml:space="preserve">.  </w:t>
      </w:r>
      <w:r w:rsidRPr="00C631EB">
        <w:rPr>
          <w:rFonts w:eastAsia="Calibri"/>
        </w:rPr>
        <w:t xml:space="preserve">The recordings will be </w:t>
      </w:r>
      <w:r w:rsidR="00401FB4">
        <w:rPr>
          <w:rFonts w:eastAsia="Calibri"/>
        </w:rPr>
        <w:t>summarized</w:t>
      </w:r>
      <w:r w:rsidRPr="00C631EB">
        <w:rPr>
          <w:rFonts w:eastAsia="Calibri"/>
        </w:rPr>
        <w:t xml:space="preserve"> and the recording </w:t>
      </w:r>
      <w:r>
        <w:rPr>
          <w:rFonts w:eastAsia="Calibri"/>
        </w:rPr>
        <w:t xml:space="preserve">will be </w:t>
      </w:r>
      <w:r w:rsidRPr="00C631EB">
        <w:rPr>
          <w:rFonts w:eastAsia="Calibri"/>
        </w:rPr>
        <w:t xml:space="preserve">deleted once the </w:t>
      </w:r>
      <w:r w:rsidR="00401FB4">
        <w:rPr>
          <w:rFonts w:eastAsia="Calibri"/>
        </w:rPr>
        <w:t>summary notes are</w:t>
      </w:r>
      <w:r w:rsidRPr="00C631EB">
        <w:rPr>
          <w:rFonts w:eastAsia="Calibri"/>
        </w:rPr>
        <w:t xml:space="preserve"> finalized</w:t>
      </w:r>
      <w:r w:rsidR="00AC2DE0">
        <w:rPr>
          <w:rFonts w:eastAsia="Calibri"/>
        </w:rPr>
        <w:t xml:space="preserve">.  </w:t>
      </w:r>
      <w:r w:rsidR="00401FB4">
        <w:rPr>
          <w:rFonts w:eastAsia="Calibri"/>
        </w:rPr>
        <w:t>Summary notes</w:t>
      </w:r>
      <w:r w:rsidRPr="00C631EB">
        <w:rPr>
          <w:rFonts w:eastAsia="Calibri"/>
        </w:rPr>
        <w:t xml:space="preserve"> will be </w:t>
      </w:r>
      <w:r w:rsidRPr="00D72C1C">
        <w:rPr>
          <w:rFonts w:eastAsia="Calibri"/>
        </w:rPr>
        <w:t>ent</w:t>
      </w:r>
      <w:r>
        <w:rPr>
          <w:rFonts w:eastAsia="Calibri"/>
        </w:rPr>
        <w:t xml:space="preserve">ered into an Atlas.ti database and </w:t>
      </w:r>
      <w:r w:rsidR="00401FB4">
        <w:rPr>
          <w:rFonts w:eastAsia="Calibri"/>
        </w:rPr>
        <w:t>used for qualitative analysis and</w:t>
      </w:r>
      <w:r w:rsidRPr="00C631EB">
        <w:rPr>
          <w:rFonts w:eastAsia="Calibri"/>
        </w:rPr>
        <w:t xml:space="preserve"> will also be used to write a brief summary of the site visit </w:t>
      </w:r>
      <w:r w:rsidR="00401FB4">
        <w:rPr>
          <w:rFonts w:eastAsia="Calibri"/>
        </w:rPr>
        <w:t>that will</w:t>
      </w:r>
      <w:r>
        <w:rPr>
          <w:rFonts w:eastAsia="Calibri"/>
        </w:rPr>
        <w:t xml:space="preserve"> be</w:t>
      </w:r>
      <w:r w:rsidRPr="00C631EB">
        <w:rPr>
          <w:rFonts w:eastAsia="Calibri"/>
        </w:rPr>
        <w:t xml:space="preserve"> submit</w:t>
      </w:r>
      <w:r>
        <w:rPr>
          <w:rFonts w:eastAsia="Calibri"/>
        </w:rPr>
        <w:t>ted</w:t>
      </w:r>
      <w:r w:rsidRPr="00C631EB">
        <w:rPr>
          <w:rFonts w:eastAsia="Calibri"/>
        </w:rPr>
        <w:t xml:space="preserve"> to SAMHSA</w:t>
      </w:r>
      <w:r w:rsidR="00AC2DE0">
        <w:rPr>
          <w:rFonts w:eastAsia="Calibri"/>
        </w:rPr>
        <w:t xml:space="preserve">.  </w:t>
      </w:r>
    </w:p>
    <w:p w14:paraId="263E0E7A" w14:textId="77777777" w:rsidR="00F443A8" w:rsidRDefault="00F443A8" w:rsidP="004C56F1">
      <w:pPr>
        <w:rPr>
          <w:bCs/>
        </w:rPr>
      </w:pPr>
    </w:p>
    <w:p w14:paraId="5B106A80" w14:textId="391BCF3B" w:rsidR="00F443A8" w:rsidRDefault="00F443A8" w:rsidP="004F5DD8">
      <w:r w:rsidRPr="008838F6">
        <w:t xml:space="preserve">A procedures manual </w:t>
      </w:r>
      <w:r w:rsidR="004F5DD8">
        <w:t>has been</w:t>
      </w:r>
      <w:r w:rsidRPr="008838F6">
        <w:t xml:space="preserve"> developed for the </w:t>
      </w:r>
      <w:r w:rsidR="004F5DD8">
        <w:t>site visits</w:t>
      </w:r>
      <w:r w:rsidRPr="008838F6">
        <w:t xml:space="preserve"> and training will be provided to all interviewers and </w:t>
      </w:r>
      <w:r w:rsidR="00AC2DE0" w:rsidRPr="008838F6">
        <w:t>note takers</w:t>
      </w:r>
      <w:r w:rsidRPr="008838F6">
        <w:t xml:space="preserve"> to </w:t>
      </w:r>
      <w:r w:rsidR="002B618C">
        <w:t xml:space="preserve">ensure consistent use of </w:t>
      </w:r>
      <w:r w:rsidR="00AC2DE0">
        <w:t xml:space="preserve">standard </w:t>
      </w:r>
      <w:r w:rsidR="00AC2DE0" w:rsidRPr="008838F6">
        <w:t>interview</w:t>
      </w:r>
      <w:r w:rsidRPr="008838F6">
        <w:t xml:space="preserve"> procedures and questions.</w:t>
      </w:r>
    </w:p>
    <w:p w14:paraId="44D1F894" w14:textId="77777777" w:rsidR="004C56F1" w:rsidRDefault="004C56F1" w:rsidP="004C56F1">
      <w:pPr>
        <w:rPr>
          <w:bCs/>
        </w:rPr>
      </w:pPr>
    </w:p>
    <w:p w14:paraId="463A18F0" w14:textId="0EE410C7" w:rsidR="004C56F1" w:rsidRPr="00F03DA0" w:rsidRDefault="00F443A8" w:rsidP="00F443A8">
      <w:pPr>
        <w:keepNext/>
        <w:spacing w:after="120"/>
        <w:rPr>
          <w:u w:val="single"/>
        </w:rPr>
      </w:pPr>
      <w:r>
        <w:rPr>
          <w:u w:val="single"/>
        </w:rPr>
        <w:lastRenderedPageBreak/>
        <w:t>Web-Based Surveys</w:t>
      </w:r>
    </w:p>
    <w:p w14:paraId="493A0F95" w14:textId="32A6BC9A" w:rsidR="004C56F1" w:rsidRPr="001B2A39" w:rsidRDefault="00F443A8" w:rsidP="004F5DD8">
      <w:pPr>
        <w:rPr>
          <w:rFonts w:eastAsia="Calibri"/>
        </w:rPr>
      </w:pPr>
      <w:r>
        <w:rPr>
          <w:rFonts w:eastAsia="Calibri"/>
        </w:rPr>
        <w:t xml:space="preserve">The administration of the </w:t>
      </w:r>
      <w:r w:rsidR="004C56F1">
        <w:rPr>
          <w:rFonts w:eastAsia="Calibri"/>
          <w:i/>
          <w:iCs/>
        </w:rPr>
        <w:t>PD Interview</w:t>
      </w:r>
      <w:r>
        <w:rPr>
          <w:rFonts w:eastAsia="Calibri"/>
        </w:rPr>
        <w:t xml:space="preserve"> web component, </w:t>
      </w:r>
      <w:r>
        <w:rPr>
          <w:rFonts w:eastAsia="Calibri"/>
          <w:i/>
          <w:iCs/>
        </w:rPr>
        <w:t>EBP Self-Assessment,</w:t>
      </w:r>
      <w:r>
        <w:rPr>
          <w:rFonts w:eastAsia="Calibri"/>
        </w:rPr>
        <w:t xml:space="preserve"> and</w:t>
      </w:r>
      <w:r>
        <w:rPr>
          <w:rFonts w:eastAsia="Calibri"/>
          <w:i/>
          <w:iCs/>
        </w:rPr>
        <w:t xml:space="preserve"> PSH Self-Assessment</w:t>
      </w:r>
      <w:r w:rsidR="004C56F1" w:rsidRPr="00C07BE6">
        <w:rPr>
          <w:rFonts w:eastAsia="Calibri"/>
        </w:rPr>
        <w:t xml:space="preserve"> </w:t>
      </w:r>
      <w:r>
        <w:rPr>
          <w:rFonts w:eastAsia="Calibri"/>
        </w:rPr>
        <w:t xml:space="preserve">will </w:t>
      </w:r>
      <w:r w:rsidR="004F5DD8">
        <w:rPr>
          <w:rFonts w:eastAsia="Calibri"/>
        </w:rPr>
        <w:t>adhere to t</w:t>
      </w:r>
      <w:r>
        <w:rPr>
          <w:rFonts w:eastAsia="Calibri"/>
        </w:rPr>
        <w:t>he</w:t>
      </w:r>
      <w:r w:rsidR="004F5DD8">
        <w:rPr>
          <w:rFonts w:eastAsia="Calibri"/>
        </w:rPr>
        <w:t xml:space="preserve"> following</w:t>
      </w:r>
      <w:r>
        <w:rPr>
          <w:rFonts w:eastAsia="Calibri"/>
        </w:rPr>
        <w:t xml:space="preserve"> procedures</w:t>
      </w:r>
      <w:r w:rsidR="00AC2DE0">
        <w:rPr>
          <w:rFonts w:eastAsia="Calibri"/>
        </w:rPr>
        <w:t xml:space="preserve">.  </w:t>
      </w:r>
      <w:r w:rsidRPr="00F443A8">
        <w:rPr>
          <w:rFonts w:eastAsia="Calibri"/>
        </w:rPr>
        <w:t>Emails will be sent to the designated respondents to inform them that data collection has started</w:t>
      </w:r>
      <w:r w:rsidR="00AC2DE0">
        <w:rPr>
          <w:rFonts w:eastAsia="Calibri"/>
        </w:rPr>
        <w:t xml:space="preserve">.  </w:t>
      </w:r>
      <w:r w:rsidRPr="00F443A8">
        <w:rPr>
          <w:rFonts w:eastAsia="Calibri"/>
        </w:rPr>
        <w:t xml:space="preserve">A link to enter the </w:t>
      </w:r>
      <w:r>
        <w:rPr>
          <w:rFonts w:eastAsia="Calibri"/>
        </w:rPr>
        <w:t>W</w:t>
      </w:r>
      <w:r w:rsidRPr="00F443A8">
        <w:rPr>
          <w:rFonts w:eastAsia="Calibri"/>
        </w:rPr>
        <w:t>eb-based survey will be included in the email, as well as information on the background, purpose, types of questions</w:t>
      </w:r>
      <w:r>
        <w:rPr>
          <w:rFonts w:eastAsia="Calibri"/>
        </w:rPr>
        <w:t>,</w:t>
      </w:r>
      <w:r w:rsidRPr="00F443A8">
        <w:rPr>
          <w:rFonts w:eastAsia="Calibri"/>
        </w:rPr>
        <w:t xml:space="preserve"> and length of the survey</w:t>
      </w:r>
      <w:r w:rsidR="00AC2DE0">
        <w:rPr>
          <w:rFonts w:eastAsia="Calibri"/>
        </w:rPr>
        <w:t xml:space="preserve">.  </w:t>
      </w:r>
      <w:r>
        <w:rPr>
          <w:rFonts w:eastAsia="Calibri"/>
        </w:rPr>
        <w:t xml:space="preserve">When the survey is first accessed, </w:t>
      </w:r>
      <w:r w:rsidRPr="00F443A8">
        <w:rPr>
          <w:rFonts w:eastAsia="Calibri"/>
        </w:rPr>
        <w:t>the consent form will appear and the respondent will not be able proceed until the consent form is completed</w:t>
      </w:r>
      <w:r w:rsidR="00AC2DE0">
        <w:rPr>
          <w:rFonts w:eastAsia="Calibri"/>
        </w:rPr>
        <w:t xml:space="preserve">.  </w:t>
      </w:r>
      <w:r w:rsidRPr="00F443A8">
        <w:rPr>
          <w:rFonts w:eastAsia="Calibri"/>
        </w:rPr>
        <w:t>If the respondent declines, a log off message will appear; if consent</w:t>
      </w:r>
      <w:r>
        <w:rPr>
          <w:rFonts w:eastAsia="Calibri"/>
        </w:rPr>
        <w:t xml:space="preserve"> is provided</w:t>
      </w:r>
      <w:r w:rsidRPr="00F443A8">
        <w:rPr>
          <w:rFonts w:eastAsia="Calibri"/>
        </w:rPr>
        <w:t>, the survey will begin</w:t>
      </w:r>
      <w:r w:rsidR="00AC2DE0">
        <w:rPr>
          <w:rFonts w:eastAsia="Calibri"/>
        </w:rPr>
        <w:t xml:space="preserve">.  </w:t>
      </w:r>
      <w:r w:rsidRPr="00F443A8">
        <w:rPr>
          <w:rFonts w:eastAsia="Calibri"/>
        </w:rPr>
        <w:t>When respondents complete the survey a “thank you” email will be sent automatically</w:t>
      </w:r>
      <w:r w:rsidR="00AC2DE0">
        <w:rPr>
          <w:rFonts w:eastAsia="Calibri"/>
        </w:rPr>
        <w:t xml:space="preserve">.  </w:t>
      </w:r>
      <w:r w:rsidRPr="00F443A8">
        <w:rPr>
          <w:rFonts w:eastAsia="Calibri"/>
        </w:rPr>
        <w:t>Nonresponders will be sent predefined, automated weekly emails as needed, to remind them to complete their survey</w:t>
      </w:r>
      <w:r w:rsidR="00AC2DE0">
        <w:rPr>
          <w:rFonts w:eastAsia="Calibri"/>
        </w:rPr>
        <w:t xml:space="preserve">.  </w:t>
      </w:r>
      <w:r w:rsidRPr="00F443A8">
        <w:rPr>
          <w:rFonts w:eastAsia="Calibri"/>
        </w:rPr>
        <w:t>If the survey is not completed within 3</w:t>
      </w:r>
      <w:r>
        <w:rPr>
          <w:rFonts w:eastAsia="Calibri"/>
        </w:rPr>
        <w:t xml:space="preserve"> </w:t>
      </w:r>
      <w:r w:rsidRPr="00F443A8">
        <w:rPr>
          <w:rFonts w:eastAsia="Calibri"/>
        </w:rPr>
        <w:t xml:space="preserve">weeks, the </w:t>
      </w:r>
      <w:r>
        <w:rPr>
          <w:rFonts w:eastAsia="Calibri"/>
        </w:rPr>
        <w:t>respondent</w:t>
      </w:r>
      <w:r w:rsidRPr="00F443A8">
        <w:rPr>
          <w:rFonts w:eastAsia="Calibri"/>
        </w:rPr>
        <w:t xml:space="preserve"> will be contacted via telephone by the assigned liaison</w:t>
      </w:r>
      <w:r w:rsidR="00AC2DE0">
        <w:rPr>
          <w:rFonts w:eastAsia="Calibri"/>
        </w:rPr>
        <w:t xml:space="preserve">.  </w:t>
      </w:r>
    </w:p>
    <w:p w14:paraId="53749966" w14:textId="77777777" w:rsidR="004C56F1" w:rsidRDefault="004C56F1" w:rsidP="004C56F1">
      <w:pPr>
        <w:rPr>
          <w:bCs/>
        </w:rPr>
      </w:pPr>
    </w:p>
    <w:p w14:paraId="3B2DC8D4" w14:textId="77777777" w:rsidR="004C56F1" w:rsidRPr="00241701" w:rsidRDefault="004C56F1" w:rsidP="004C56F1">
      <w:pPr>
        <w:keepNext/>
        <w:rPr>
          <w:b/>
        </w:rPr>
      </w:pPr>
      <w:r w:rsidRPr="00241701">
        <w:rPr>
          <w:b/>
        </w:rPr>
        <w:t>3.</w:t>
      </w:r>
      <w:r w:rsidRPr="00241701">
        <w:rPr>
          <w:b/>
        </w:rPr>
        <w:tab/>
      </w:r>
      <w:r w:rsidRPr="00F64949">
        <w:rPr>
          <w:b/>
          <w:u w:val="single"/>
        </w:rPr>
        <w:t>Methods to Maximize Response Rates</w:t>
      </w:r>
    </w:p>
    <w:p w14:paraId="667E40A2" w14:textId="77777777" w:rsidR="004C56F1" w:rsidRDefault="004C56F1" w:rsidP="004C56F1">
      <w:pPr>
        <w:keepNext/>
        <w:rPr>
          <w:bCs/>
        </w:rPr>
      </w:pPr>
    </w:p>
    <w:p w14:paraId="177E6371" w14:textId="4AC07CE5" w:rsidR="0074153E" w:rsidRDefault="00752917" w:rsidP="0074153E">
      <w:pPr>
        <w:rPr>
          <w:bCs/>
        </w:rPr>
      </w:pPr>
      <w:r w:rsidRPr="00752917">
        <w:rPr>
          <w:bCs/>
        </w:rPr>
        <w:t>Grant</w:t>
      </w:r>
      <w:r w:rsidR="0074153E">
        <w:rPr>
          <w:bCs/>
        </w:rPr>
        <w:t xml:space="preserve"> projects</w:t>
      </w:r>
      <w:r w:rsidRPr="00752917">
        <w:rPr>
          <w:bCs/>
        </w:rPr>
        <w:t xml:space="preserve"> are required to participate in all </w:t>
      </w:r>
      <w:r>
        <w:rPr>
          <w:bCs/>
        </w:rPr>
        <w:t>CABHI</w:t>
      </w:r>
      <w:r w:rsidRPr="00752917">
        <w:rPr>
          <w:bCs/>
        </w:rPr>
        <w:t xml:space="preserve"> evaluation activities by the terms and conditions of the </w:t>
      </w:r>
      <w:r>
        <w:rPr>
          <w:bCs/>
        </w:rPr>
        <w:t>CABHI</w:t>
      </w:r>
      <w:r w:rsidRPr="00752917">
        <w:rPr>
          <w:bCs/>
        </w:rPr>
        <w:t xml:space="preserve"> grant award</w:t>
      </w:r>
      <w:r w:rsidR="00AC2DE0">
        <w:rPr>
          <w:bCs/>
        </w:rPr>
        <w:t xml:space="preserve">.  </w:t>
      </w:r>
      <w:r w:rsidRPr="00752917">
        <w:rPr>
          <w:bCs/>
        </w:rPr>
        <w:t xml:space="preserve">The </w:t>
      </w:r>
      <w:r w:rsidR="0074153E">
        <w:rPr>
          <w:bCs/>
        </w:rPr>
        <w:t>CABHI</w:t>
      </w:r>
      <w:r w:rsidRPr="00752917">
        <w:rPr>
          <w:bCs/>
        </w:rPr>
        <w:t xml:space="preserve"> evaluation team will employ a number of strategies to help ensure grant</w:t>
      </w:r>
      <w:r w:rsidR="0074153E">
        <w:rPr>
          <w:bCs/>
        </w:rPr>
        <w:t xml:space="preserve"> projects</w:t>
      </w:r>
      <w:r w:rsidRPr="00752917">
        <w:rPr>
          <w:bCs/>
        </w:rPr>
        <w:t xml:space="preserve"> participate with a 100% response rate</w:t>
      </w:r>
      <w:r w:rsidR="00AC2DE0">
        <w:rPr>
          <w:bCs/>
        </w:rPr>
        <w:t xml:space="preserve">.  </w:t>
      </w:r>
    </w:p>
    <w:p w14:paraId="7CF2774B" w14:textId="77777777" w:rsidR="0074153E" w:rsidRDefault="0074153E" w:rsidP="0074153E">
      <w:pPr>
        <w:rPr>
          <w:bCs/>
        </w:rPr>
      </w:pPr>
    </w:p>
    <w:p w14:paraId="01104C8B" w14:textId="11C9A125" w:rsidR="00793A0F" w:rsidRDefault="0074153E" w:rsidP="00176A09">
      <w:pPr>
        <w:rPr>
          <w:bCs/>
        </w:rPr>
      </w:pPr>
      <w:r>
        <w:rPr>
          <w:bCs/>
        </w:rPr>
        <w:t>Grant projects will be assigned an ETTA liaison team that will serve as the primary point of contact for the evaluation</w:t>
      </w:r>
      <w:r w:rsidR="00AC2DE0">
        <w:rPr>
          <w:bCs/>
        </w:rPr>
        <w:t xml:space="preserve">.  </w:t>
      </w:r>
      <w:r>
        <w:rPr>
          <w:bCs/>
        </w:rPr>
        <w:t>These teams will provide TA not only to assist the projects with their participation in the CABHI evaluation, but also with their own local evaluations</w:t>
      </w:r>
      <w:r w:rsidR="002B618C">
        <w:rPr>
          <w:bCs/>
        </w:rPr>
        <w:t>, if desired</w:t>
      </w:r>
      <w:r w:rsidR="00AC2DE0">
        <w:rPr>
          <w:bCs/>
        </w:rPr>
        <w:t xml:space="preserve">.  </w:t>
      </w:r>
      <w:r w:rsidR="00176A09">
        <w:rPr>
          <w:bCs/>
        </w:rPr>
        <w:t xml:space="preserve">The CABHI ETTA process will include monthly check-in calls with the grant projects to </w:t>
      </w:r>
      <w:r w:rsidR="00176A09">
        <w:t>answer any questions about evaluation activities, problem solve issues, or connect projects to additional resources</w:t>
      </w:r>
      <w:r w:rsidR="00AC2DE0">
        <w:t xml:space="preserve">.  </w:t>
      </w:r>
      <w:r w:rsidR="00176A09">
        <w:t>These communications will allow the CABHI evaluation team to build a strong relationship with the grant projects and provide an opportunity to notify the projects when a data collection activity is starting, explain the purpose, answer questions, and provide reminders to nonresponders</w:t>
      </w:r>
      <w:r w:rsidR="00AC2DE0">
        <w:t xml:space="preserve">.  </w:t>
      </w:r>
      <w:r w:rsidR="00176A09">
        <w:rPr>
          <w:bCs/>
        </w:rPr>
        <w:t>Additionally, the CABHI evaluation team will conduct webinars to introduce the evaluation and provided detailed overviews of each data collection activity as they are rolled out</w:t>
      </w:r>
      <w:r w:rsidR="00AC2DE0">
        <w:rPr>
          <w:bCs/>
        </w:rPr>
        <w:t xml:space="preserve">.  </w:t>
      </w:r>
    </w:p>
    <w:p w14:paraId="0018B2BE" w14:textId="77777777" w:rsidR="00793A0F" w:rsidRDefault="00793A0F" w:rsidP="00176A09">
      <w:pPr>
        <w:rPr>
          <w:bCs/>
        </w:rPr>
      </w:pPr>
    </w:p>
    <w:p w14:paraId="59CF53D8" w14:textId="13080559" w:rsidR="00793A0F" w:rsidRDefault="00793A0F" w:rsidP="00B72FBE">
      <w:pPr>
        <w:rPr>
          <w:bCs/>
        </w:rPr>
      </w:pPr>
      <w:r>
        <w:rPr>
          <w:bCs/>
        </w:rPr>
        <w:t>The CABHI evaluation team will work with the grant projects</w:t>
      </w:r>
      <w:r w:rsidR="00176A09">
        <w:rPr>
          <w:bCs/>
        </w:rPr>
        <w:t xml:space="preserve"> to schedule </w:t>
      </w:r>
      <w:r>
        <w:rPr>
          <w:bCs/>
        </w:rPr>
        <w:t>telephone interviews</w:t>
      </w:r>
      <w:r w:rsidR="00176A09">
        <w:rPr>
          <w:bCs/>
        </w:rPr>
        <w:t xml:space="preserve"> and </w:t>
      </w:r>
      <w:r>
        <w:rPr>
          <w:bCs/>
        </w:rPr>
        <w:t>s</w:t>
      </w:r>
      <w:r w:rsidR="00176A09">
        <w:rPr>
          <w:bCs/>
        </w:rPr>
        <w:t xml:space="preserve">ite </w:t>
      </w:r>
      <w:r>
        <w:rPr>
          <w:bCs/>
        </w:rPr>
        <w:t>v</w:t>
      </w:r>
      <w:r w:rsidR="00176A09">
        <w:rPr>
          <w:bCs/>
        </w:rPr>
        <w:t xml:space="preserve">isits at </w:t>
      </w:r>
      <w:r>
        <w:rPr>
          <w:bCs/>
        </w:rPr>
        <w:t xml:space="preserve">the </w:t>
      </w:r>
      <w:r w:rsidR="002B618C">
        <w:rPr>
          <w:bCs/>
        </w:rPr>
        <w:t xml:space="preserve">time </w:t>
      </w:r>
      <w:r>
        <w:rPr>
          <w:bCs/>
        </w:rPr>
        <w:t xml:space="preserve">most </w:t>
      </w:r>
      <w:r w:rsidR="00176A09">
        <w:rPr>
          <w:bCs/>
        </w:rPr>
        <w:t>convenient</w:t>
      </w:r>
      <w:r>
        <w:rPr>
          <w:bCs/>
        </w:rPr>
        <w:t xml:space="preserve"> for the respondents</w:t>
      </w:r>
      <w:r w:rsidR="00AC2DE0">
        <w:rPr>
          <w:bCs/>
        </w:rPr>
        <w:t xml:space="preserve">.  </w:t>
      </w:r>
      <w:r>
        <w:rPr>
          <w:bCs/>
        </w:rPr>
        <w:t>Respondents will be provided</w:t>
      </w:r>
      <w:r w:rsidR="00176A09">
        <w:rPr>
          <w:bCs/>
        </w:rPr>
        <w:t xml:space="preserve"> </w:t>
      </w:r>
      <w:r w:rsidR="004C56F1">
        <w:rPr>
          <w:bCs/>
        </w:rPr>
        <w:t xml:space="preserve">the interview topics </w:t>
      </w:r>
      <w:r>
        <w:rPr>
          <w:bCs/>
        </w:rPr>
        <w:t xml:space="preserve">in advance of the call or the visit </w:t>
      </w:r>
      <w:r w:rsidR="004C56F1">
        <w:rPr>
          <w:bCs/>
        </w:rPr>
        <w:t>so they will be knowled</w:t>
      </w:r>
      <w:r>
        <w:rPr>
          <w:bCs/>
        </w:rPr>
        <w:t>ge</w:t>
      </w:r>
      <w:r w:rsidR="004C56F1">
        <w:rPr>
          <w:bCs/>
        </w:rPr>
        <w:t>able about the type of information to be collected</w:t>
      </w:r>
      <w:r w:rsidR="00AC2DE0">
        <w:rPr>
          <w:bCs/>
        </w:rPr>
        <w:t xml:space="preserve">.  </w:t>
      </w:r>
      <w:r>
        <w:rPr>
          <w:bCs/>
        </w:rPr>
        <w:t>For all data collection activities, reminder emails will be sent to non-responders on a weekly basis following the initial email invitation to participate</w:t>
      </w:r>
      <w:r w:rsidR="00AC2DE0">
        <w:rPr>
          <w:bCs/>
        </w:rPr>
        <w:t xml:space="preserve">.  </w:t>
      </w:r>
      <w:r w:rsidR="008B6E1B">
        <w:rPr>
          <w:bCs/>
        </w:rPr>
        <w:t xml:space="preserve">After three email reminders, the ETTA liaison teams will </w:t>
      </w:r>
      <w:r>
        <w:rPr>
          <w:bCs/>
        </w:rPr>
        <w:t>follow</w:t>
      </w:r>
      <w:r w:rsidR="008B6E1B">
        <w:rPr>
          <w:bCs/>
        </w:rPr>
        <w:t xml:space="preserve"> up with the grant project</w:t>
      </w:r>
      <w:r>
        <w:rPr>
          <w:bCs/>
        </w:rPr>
        <w:t xml:space="preserve"> by </w:t>
      </w:r>
      <w:r w:rsidR="00B72FBE">
        <w:rPr>
          <w:bCs/>
        </w:rPr>
        <w:t>tele</w:t>
      </w:r>
      <w:r>
        <w:rPr>
          <w:bCs/>
        </w:rPr>
        <w:t>phone</w:t>
      </w:r>
      <w:r w:rsidR="00AC2DE0">
        <w:rPr>
          <w:bCs/>
        </w:rPr>
        <w:t xml:space="preserve">.  </w:t>
      </w:r>
      <w:r w:rsidRPr="00793A0F">
        <w:rPr>
          <w:bCs/>
        </w:rPr>
        <w:t>If needed—although the evaluation team does not anticipate that it will be necessary—the follow-up reminder emails will include the grant</w:t>
      </w:r>
      <w:r>
        <w:rPr>
          <w:bCs/>
        </w:rPr>
        <w:t xml:space="preserve"> project</w:t>
      </w:r>
      <w:r w:rsidRPr="00793A0F">
        <w:rPr>
          <w:bCs/>
        </w:rPr>
        <w:t xml:space="preserve">’s </w:t>
      </w:r>
      <w:r w:rsidR="00B72FBE">
        <w:rPr>
          <w:bCs/>
        </w:rPr>
        <w:t>government project officer</w:t>
      </w:r>
      <w:r w:rsidRPr="00793A0F">
        <w:rPr>
          <w:bCs/>
        </w:rPr>
        <w:t>.</w:t>
      </w:r>
    </w:p>
    <w:p w14:paraId="70A8E0CE" w14:textId="77777777" w:rsidR="008B6E1B" w:rsidRDefault="008B6E1B" w:rsidP="008B6E1B">
      <w:pPr>
        <w:rPr>
          <w:bCs/>
        </w:rPr>
      </w:pPr>
    </w:p>
    <w:p w14:paraId="19C536E0" w14:textId="211A56C3" w:rsidR="008B6E1B" w:rsidRDefault="008B6E1B" w:rsidP="008B6E1B">
      <w:pPr>
        <w:rPr>
          <w:bCs/>
        </w:rPr>
      </w:pPr>
      <w:r>
        <w:rPr>
          <w:bCs/>
        </w:rPr>
        <w:t xml:space="preserve">The CABHI evaluation team will do all that is possible to support the grant projects in their participation in the evaluation, such as staggering </w:t>
      </w:r>
      <w:r w:rsidR="002B618C">
        <w:rPr>
          <w:bCs/>
        </w:rPr>
        <w:t xml:space="preserve">timing of different elements of </w:t>
      </w:r>
      <w:r>
        <w:rPr>
          <w:bCs/>
        </w:rPr>
        <w:t xml:space="preserve">data collection so that grant projects do not feel as though they are being asked to do too much all at once, </w:t>
      </w:r>
      <w:r w:rsidR="00B72FBE">
        <w:rPr>
          <w:bCs/>
        </w:rPr>
        <w:t xml:space="preserve">or </w:t>
      </w:r>
      <w:r>
        <w:rPr>
          <w:bCs/>
        </w:rPr>
        <w:t>providing an alternative way to com</w:t>
      </w:r>
      <w:r w:rsidR="00B72FBE">
        <w:rPr>
          <w:bCs/>
        </w:rPr>
        <w:t>plete the Web-based surveys</w:t>
      </w:r>
      <w:r>
        <w:rPr>
          <w:bCs/>
        </w:rPr>
        <w:t>.</w:t>
      </w:r>
    </w:p>
    <w:p w14:paraId="347A4DA1" w14:textId="77777777" w:rsidR="00793A0F" w:rsidRDefault="00793A0F" w:rsidP="00793A0F">
      <w:pPr>
        <w:rPr>
          <w:bCs/>
        </w:rPr>
      </w:pPr>
    </w:p>
    <w:p w14:paraId="220D00B5" w14:textId="77777777" w:rsidR="004C56F1" w:rsidRDefault="004C56F1" w:rsidP="005C23B6">
      <w:pPr>
        <w:keepNext/>
        <w:rPr>
          <w:b/>
          <w:u w:val="single"/>
        </w:rPr>
      </w:pPr>
      <w:r w:rsidRPr="005E67F7">
        <w:rPr>
          <w:b/>
        </w:rPr>
        <w:lastRenderedPageBreak/>
        <w:t>4.</w:t>
      </w:r>
      <w:r w:rsidRPr="005E67F7">
        <w:rPr>
          <w:b/>
        </w:rPr>
        <w:tab/>
      </w:r>
      <w:r w:rsidRPr="005E67F7">
        <w:rPr>
          <w:b/>
          <w:u w:val="single"/>
        </w:rPr>
        <w:t>Test of Procedures</w:t>
      </w:r>
    </w:p>
    <w:p w14:paraId="67E0D1F4" w14:textId="77777777" w:rsidR="004C56F1" w:rsidRDefault="004C56F1" w:rsidP="005C23B6">
      <w:pPr>
        <w:keepNext/>
        <w:rPr>
          <w:b/>
          <w:u w:val="single"/>
        </w:rPr>
      </w:pPr>
    </w:p>
    <w:p w14:paraId="1E0CE29D" w14:textId="37C2EC9B" w:rsidR="005C23B6" w:rsidRDefault="008035D3" w:rsidP="005C23B6">
      <w:pPr>
        <w:rPr>
          <w:bCs/>
        </w:rPr>
      </w:pPr>
      <w:r>
        <w:rPr>
          <w:bCs/>
        </w:rPr>
        <w:t>As previously described, t</w:t>
      </w:r>
      <w:r w:rsidR="004C56F1" w:rsidRPr="00783F18">
        <w:rPr>
          <w:bCs/>
        </w:rPr>
        <w:t xml:space="preserve">he </w:t>
      </w:r>
      <w:r w:rsidR="005C23B6" w:rsidRPr="005C23B6">
        <w:rPr>
          <w:bCs/>
          <w:i/>
          <w:iCs/>
        </w:rPr>
        <w:t>PD Phone Interview/Web Survey</w:t>
      </w:r>
      <w:r>
        <w:rPr>
          <w:bCs/>
        </w:rPr>
        <w:t>,</w:t>
      </w:r>
      <w:r w:rsidR="004C56F1" w:rsidRPr="00783F18">
        <w:rPr>
          <w:bCs/>
          <w:i/>
          <w:iCs/>
        </w:rPr>
        <w:t xml:space="preserve"> Site Visit Guides</w:t>
      </w:r>
      <w:r>
        <w:rPr>
          <w:bCs/>
          <w:i/>
          <w:iCs/>
        </w:rPr>
        <w:t>, EBP Self-</w:t>
      </w:r>
      <w:r w:rsidR="00AC2DE0">
        <w:rPr>
          <w:bCs/>
          <w:i/>
          <w:iCs/>
        </w:rPr>
        <w:t>Assessment</w:t>
      </w:r>
      <w:r>
        <w:rPr>
          <w:bCs/>
          <w:i/>
          <w:iCs/>
        </w:rPr>
        <w:t xml:space="preserve">, </w:t>
      </w:r>
      <w:r>
        <w:rPr>
          <w:bCs/>
        </w:rPr>
        <w:t xml:space="preserve">and </w:t>
      </w:r>
      <w:r>
        <w:rPr>
          <w:bCs/>
          <w:i/>
          <w:iCs/>
        </w:rPr>
        <w:t>PSH Self-Assessment</w:t>
      </w:r>
      <w:r w:rsidR="004C56F1" w:rsidRPr="00783F18" w:rsidDel="00F90A7F">
        <w:rPr>
          <w:bCs/>
          <w:i/>
          <w:iCs/>
        </w:rPr>
        <w:t xml:space="preserve"> </w:t>
      </w:r>
      <w:r w:rsidR="004C56F1" w:rsidRPr="00783F18">
        <w:rPr>
          <w:bCs/>
        </w:rPr>
        <w:t xml:space="preserve">were developed and </w:t>
      </w:r>
      <w:r>
        <w:rPr>
          <w:bCs/>
        </w:rPr>
        <w:t xml:space="preserve">successfully </w:t>
      </w:r>
      <w:r w:rsidR="004C56F1" w:rsidRPr="00783F18">
        <w:rPr>
          <w:bCs/>
        </w:rPr>
        <w:t>implemented</w:t>
      </w:r>
      <w:r>
        <w:rPr>
          <w:bCs/>
        </w:rPr>
        <w:t xml:space="preserve"> for SAMHSA’s evaluation of the 2009-2012 GBHI, SSH, and CABHI cohorts</w:t>
      </w:r>
      <w:r w:rsidR="00AC2DE0">
        <w:rPr>
          <w:bCs/>
        </w:rPr>
        <w:t xml:space="preserve">.  </w:t>
      </w:r>
      <w:r>
        <w:rPr>
          <w:bCs/>
        </w:rPr>
        <w:t xml:space="preserve">The evaluation team identified that parts of the </w:t>
      </w:r>
      <w:r>
        <w:rPr>
          <w:bCs/>
          <w:i/>
          <w:iCs/>
        </w:rPr>
        <w:t>PD Interview</w:t>
      </w:r>
      <w:r>
        <w:rPr>
          <w:bCs/>
        </w:rPr>
        <w:t xml:space="preserve"> are better suited for self-admini</w:t>
      </w:r>
      <w:r w:rsidR="003E6A3F">
        <w:rPr>
          <w:bCs/>
        </w:rPr>
        <w:t>s</w:t>
      </w:r>
      <w:r>
        <w:rPr>
          <w:bCs/>
        </w:rPr>
        <w:t>tration through a Web survey</w:t>
      </w:r>
      <w:r w:rsidR="00AC2DE0">
        <w:rPr>
          <w:bCs/>
        </w:rPr>
        <w:t xml:space="preserve">.  </w:t>
      </w:r>
      <w:r>
        <w:rPr>
          <w:bCs/>
        </w:rPr>
        <w:t>Th</w:t>
      </w:r>
      <w:r w:rsidR="003E6A3F">
        <w:rPr>
          <w:bCs/>
        </w:rPr>
        <w:t>e PD instrument has been revised to reflect this</w:t>
      </w:r>
      <w:r>
        <w:rPr>
          <w:bCs/>
        </w:rPr>
        <w:t xml:space="preserve"> change; no other procedural changes are needed</w:t>
      </w:r>
      <w:r w:rsidR="00AC2DE0">
        <w:rPr>
          <w:bCs/>
        </w:rPr>
        <w:t xml:space="preserve">.  </w:t>
      </w:r>
      <w:r w:rsidR="003E6A3F">
        <w:rPr>
          <w:bCs/>
        </w:rPr>
        <w:t>Additionally, the burden estimates from</w:t>
      </w:r>
      <w:r>
        <w:rPr>
          <w:bCs/>
        </w:rPr>
        <w:t xml:space="preserve"> </w:t>
      </w:r>
      <w:r w:rsidR="003E6A3F">
        <w:rPr>
          <w:bCs/>
        </w:rPr>
        <w:t>the previous evaluation were accurate, except for the Opening Session/Project Director Interview held during the site visits, which has been reduced slightly from 2.7 hours to 2.5 hours</w:t>
      </w:r>
      <w:r w:rsidR="00AC2DE0">
        <w:rPr>
          <w:bCs/>
        </w:rPr>
        <w:t xml:space="preserve">.  </w:t>
      </w:r>
    </w:p>
    <w:p w14:paraId="11ADD663" w14:textId="6F5E50D6" w:rsidR="004C56F1" w:rsidRDefault="004C56F1" w:rsidP="005C23B6">
      <w:pPr>
        <w:rPr>
          <w:bCs/>
        </w:rPr>
      </w:pPr>
      <w:r>
        <w:rPr>
          <w:bCs/>
        </w:rPr>
        <w:t xml:space="preserve">  </w:t>
      </w:r>
    </w:p>
    <w:p w14:paraId="55064830" w14:textId="77777777" w:rsidR="004C56F1" w:rsidRPr="00241701" w:rsidRDefault="004C56F1" w:rsidP="004C56F1">
      <w:pPr>
        <w:keepNext/>
        <w:rPr>
          <w:b/>
        </w:rPr>
      </w:pPr>
      <w:r w:rsidRPr="00241701">
        <w:rPr>
          <w:b/>
        </w:rPr>
        <w:t>5.</w:t>
      </w:r>
      <w:r w:rsidRPr="00241701">
        <w:rPr>
          <w:b/>
        </w:rPr>
        <w:tab/>
      </w:r>
      <w:r w:rsidRPr="00241701">
        <w:rPr>
          <w:b/>
          <w:u w:val="single"/>
        </w:rPr>
        <w:t>Statistical Consultants</w:t>
      </w:r>
    </w:p>
    <w:p w14:paraId="6D0C4A6D" w14:textId="77777777" w:rsidR="004C56F1" w:rsidRDefault="004C56F1" w:rsidP="004C56F1">
      <w:pPr>
        <w:keepNext/>
        <w:rPr>
          <w:bCs/>
        </w:rPr>
      </w:pPr>
    </w:p>
    <w:p w14:paraId="0B903482" w14:textId="41F412E5" w:rsidR="004C56F1" w:rsidRDefault="004C56F1" w:rsidP="005C23B6">
      <w:r w:rsidRPr="008C607D">
        <w:t xml:space="preserve">As noted in </w:t>
      </w:r>
      <w:r w:rsidRPr="002554AE">
        <w:rPr>
          <w:b/>
          <w:bCs/>
          <w:i/>
          <w:iCs/>
        </w:rPr>
        <w:t>Section A.8</w:t>
      </w:r>
      <w:r w:rsidRPr="008C607D">
        <w:t xml:space="preserve">, </w:t>
      </w:r>
      <w:r>
        <w:t>SAMHSA</w:t>
      </w:r>
      <w:r w:rsidRPr="008C607D">
        <w:t xml:space="preserve"> consulted extensively </w:t>
      </w:r>
      <w:r w:rsidR="002554AE">
        <w:t xml:space="preserve">throughout the previous evaluation </w:t>
      </w:r>
      <w:r w:rsidRPr="008C607D">
        <w:t>with an expert panel</w:t>
      </w:r>
      <w:r w:rsidR="002554AE">
        <w:t>, many of whom will continue to provide consultation on an expert panel for the CABHI Evaluation</w:t>
      </w:r>
      <w:r w:rsidR="00AC2DE0">
        <w:t xml:space="preserve">.  </w:t>
      </w:r>
      <w:r w:rsidRPr="008C607D">
        <w:t xml:space="preserve">In addition, </w:t>
      </w:r>
      <w:r>
        <w:t>the contractor team is comprised of several experts who will be directly involved in data collection and statistical analysis</w:t>
      </w:r>
      <w:r w:rsidR="00AC2DE0">
        <w:t xml:space="preserve">.  </w:t>
      </w:r>
      <w:r w:rsidR="002554AE" w:rsidRPr="002554AE">
        <w:t>Also, SAMHSA advisors will be consulted throughout the evaluation on various statistical aspects of the design, methodological issues, and data analysis</w:t>
      </w:r>
      <w:r w:rsidR="00AC2DE0">
        <w:t xml:space="preserve">.  </w:t>
      </w:r>
      <w:r w:rsidR="002554AE">
        <w:rPr>
          <w:b/>
          <w:bCs/>
        </w:rPr>
        <w:t xml:space="preserve">Table </w:t>
      </w:r>
      <w:r w:rsidR="005C23B6">
        <w:rPr>
          <w:b/>
          <w:bCs/>
        </w:rPr>
        <w:t>1</w:t>
      </w:r>
      <w:r w:rsidRPr="008C607D">
        <w:t xml:space="preserve"> provides details of these </w:t>
      </w:r>
      <w:r>
        <w:t xml:space="preserve">team members and </w:t>
      </w:r>
      <w:r w:rsidRPr="008C607D">
        <w:t>advisors</w:t>
      </w:r>
      <w:r w:rsidR="00AC2DE0">
        <w:t xml:space="preserve">.  </w:t>
      </w:r>
    </w:p>
    <w:p w14:paraId="363B0AE9" w14:textId="77777777" w:rsidR="004C56F1" w:rsidRDefault="004C56F1" w:rsidP="004C56F1"/>
    <w:p w14:paraId="121E6284" w14:textId="64FA3481" w:rsidR="004C56F1" w:rsidRPr="004C2F68" w:rsidRDefault="004C56F1" w:rsidP="005C23B6">
      <w:pPr>
        <w:keepNext/>
        <w:rPr>
          <w:b/>
          <w:bCs/>
        </w:rPr>
      </w:pPr>
      <w:r>
        <w:rPr>
          <w:bCs/>
        </w:rPr>
        <w:t xml:space="preserve">   </w:t>
      </w:r>
      <w:bookmarkStart w:id="7" w:name="_Toc93987698"/>
      <w:bookmarkStart w:id="8" w:name="_Toc131566262"/>
      <w:r w:rsidR="00422F19">
        <w:rPr>
          <w:b/>
          <w:bCs/>
        </w:rPr>
        <w:t xml:space="preserve">Table </w:t>
      </w:r>
      <w:r w:rsidR="005C23B6">
        <w:rPr>
          <w:b/>
          <w:bCs/>
        </w:rPr>
        <w:t>1</w:t>
      </w:r>
      <w:r w:rsidR="00AC2DE0">
        <w:rPr>
          <w:b/>
          <w:bCs/>
        </w:rPr>
        <w:t xml:space="preserve">.  </w:t>
      </w:r>
      <w:bookmarkEnd w:id="7"/>
      <w:bookmarkEnd w:id="8"/>
      <w:r w:rsidR="003D3D6A">
        <w:rPr>
          <w:b/>
          <w:bCs/>
        </w:rPr>
        <w:t>Statistical Consultants for the CABHI Evaluation</w:t>
      </w:r>
    </w:p>
    <w:tbl>
      <w:tblPr>
        <w:tblW w:w="9648" w:type="dxa"/>
        <w:tblInd w:w="86" w:type="dxa"/>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524"/>
        <w:gridCol w:w="3510"/>
        <w:gridCol w:w="3614"/>
      </w:tblGrid>
      <w:tr w:rsidR="005C23B6" w:rsidRPr="005C23B6" w14:paraId="7495475F" w14:textId="77777777" w:rsidTr="005C23B6">
        <w:trPr>
          <w:cantSplit/>
          <w:tblHeader/>
        </w:trPr>
        <w:tc>
          <w:tcPr>
            <w:tcW w:w="2524" w:type="dxa"/>
            <w:shd w:val="clear" w:color="auto" w:fill="595959" w:themeFill="text1" w:themeFillTint="A6"/>
            <w:vAlign w:val="bottom"/>
          </w:tcPr>
          <w:p w14:paraId="32B61B93" w14:textId="77777777" w:rsidR="004C56F1" w:rsidRPr="005C23B6" w:rsidRDefault="004C56F1" w:rsidP="001B5895">
            <w:pPr>
              <w:keepNext/>
              <w:rPr>
                <w:color w:val="FFFFFF" w:themeColor="background1"/>
                <w:sz w:val="22"/>
                <w:szCs w:val="22"/>
              </w:rPr>
            </w:pPr>
            <w:r w:rsidRPr="005C23B6">
              <w:rPr>
                <w:b/>
                <w:bCs/>
                <w:color w:val="FFFFFF" w:themeColor="background1"/>
                <w:sz w:val="22"/>
                <w:szCs w:val="22"/>
              </w:rPr>
              <w:t>Expert</w:t>
            </w:r>
          </w:p>
        </w:tc>
        <w:tc>
          <w:tcPr>
            <w:tcW w:w="3510" w:type="dxa"/>
            <w:shd w:val="clear" w:color="auto" w:fill="595959" w:themeFill="text1" w:themeFillTint="A6"/>
            <w:vAlign w:val="bottom"/>
          </w:tcPr>
          <w:p w14:paraId="0F4CA408" w14:textId="77777777" w:rsidR="004C56F1" w:rsidRPr="005C23B6" w:rsidRDefault="004C56F1" w:rsidP="001B5895">
            <w:pPr>
              <w:keepNext/>
              <w:rPr>
                <w:color w:val="FFFFFF" w:themeColor="background1"/>
                <w:sz w:val="22"/>
                <w:szCs w:val="22"/>
              </w:rPr>
            </w:pPr>
            <w:r w:rsidRPr="005C23B6">
              <w:rPr>
                <w:b/>
                <w:bCs/>
                <w:color w:val="FFFFFF" w:themeColor="background1"/>
                <w:sz w:val="22"/>
                <w:szCs w:val="22"/>
              </w:rPr>
              <w:t>Affiliation</w:t>
            </w:r>
          </w:p>
        </w:tc>
        <w:tc>
          <w:tcPr>
            <w:tcW w:w="3614" w:type="dxa"/>
            <w:shd w:val="clear" w:color="auto" w:fill="595959" w:themeFill="text1" w:themeFillTint="A6"/>
            <w:vAlign w:val="bottom"/>
          </w:tcPr>
          <w:p w14:paraId="0A3D8147" w14:textId="77777777" w:rsidR="004C56F1" w:rsidRPr="005C23B6" w:rsidRDefault="004C56F1" w:rsidP="001B5895">
            <w:pPr>
              <w:keepNext/>
              <w:rPr>
                <w:color w:val="FFFFFF" w:themeColor="background1"/>
                <w:sz w:val="22"/>
                <w:szCs w:val="22"/>
              </w:rPr>
            </w:pPr>
            <w:r w:rsidRPr="005C23B6">
              <w:rPr>
                <w:b/>
                <w:bCs/>
                <w:color w:val="FFFFFF" w:themeColor="background1"/>
                <w:sz w:val="22"/>
                <w:szCs w:val="22"/>
              </w:rPr>
              <w:t>Contact Information</w:t>
            </w:r>
          </w:p>
        </w:tc>
      </w:tr>
      <w:tr w:rsidR="00A37956" w:rsidRPr="00A37956" w14:paraId="46D595A8" w14:textId="77777777" w:rsidTr="00A37956">
        <w:trPr>
          <w:cantSplit/>
        </w:trPr>
        <w:tc>
          <w:tcPr>
            <w:tcW w:w="9648" w:type="dxa"/>
            <w:gridSpan w:val="3"/>
            <w:shd w:val="clear" w:color="auto" w:fill="F2F2F2" w:themeFill="background1" w:themeFillShade="F2"/>
            <w:vAlign w:val="bottom"/>
          </w:tcPr>
          <w:p w14:paraId="7056A3C4" w14:textId="6ADCCEC6" w:rsidR="00A37956" w:rsidRPr="00A37956" w:rsidRDefault="00A37956" w:rsidP="00A37956">
            <w:pPr>
              <w:keepNext/>
              <w:jc w:val="center"/>
              <w:rPr>
                <w:b/>
                <w:bCs/>
                <w:i/>
                <w:iCs/>
                <w:sz w:val="20"/>
                <w:szCs w:val="20"/>
              </w:rPr>
            </w:pPr>
            <w:r w:rsidRPr="00A37956">
              <w:rPr>
                <w:b/>
                <w:bCs/>
                <w:i/>
                <w:iCs/>
                <w:sz w:val="20"/>
                <w:szCs w:val="20"/>
              </w:rPr>
              <w:t>CABHI Evaluation Staff</w:t>
            </w:r>
          </w:p>
        </w:tc>
      </w:tr>
      <w:tr w:rsidR="00A37956" w:rsidRPr="008C607D" w:rsidDel="00CC7210" w14:paraId="349BBE4F" w14:textId="77777777" w:rsidTr="00A37956">
        <w:trPr>
          <w:cantSplit/>
        </w:trPr>
        <w:tc>
          <w:tcPr>
            <w:tcW w:w="2524" w:type="dxa"/>
          </w:tcPr>
          <w:p w14:paraId="1AA431A8" w14:textId="77777777" w:rsidR="00A37956" w:rsidRPr="00A826B4" w:rsidRDefault="00A37956" w:rsidP="00960C01">
            <w:pPr>
              <w:rPr>
                <w:b/>
                <w:bCs/>
                <w:sz w:val="20"/>
                <w:szCs w:val="20"/>
              </w:rPr>
            </w:pPr>
            <w:r w:rsidRPr="00A826B4">
              <w:rPr>
                <w:b/>
                <w:bCs/>
                <w:sz w:val="20"/>
                <w:szCs w:val="20"/>
              </w:rPr>
              <w:t>James Trudeau, Ph.D.</w:t>
            </w:r>
          </w:p>
          <w:p w14:paraId="2811C4D0" w14:textId="7AB736EF" w:rsidR="00A37956" w:rsidRDefault="00A37956" w:rsidP="00A37956">
            <w:pPr>
              <w:rPr>
                <w:sz w:val="20"/>
                <w:szCs w:val="20"/>
              </w:rPr>
            </w:pPr>
            <w:r>
              <w:rPr>
                <w:sz w:val="20"/>
                <w:szCs w:val="20"/>
              </w:rPr>
              <w:t>Project Director</w:t>
            </w:r>
          </w:p>
        </w:tc>
        <w:tc>
          <w:tcPr>
            <w:tcW w:w="3510" w:type="dxa"/>
          </w:tcPr>
          <w:p w14:paraId="7670D1F5" w14:textId="14172E61" w:rsidR="00BF0B34" w:rsidRDefault="00AC2DE0" w:rsidP="00A37956">
            <w:pPr>
              <w:rPr>
                <w:sz w:val="20"/>
                <w:szCs w:val="20"/>
              </w:rPr>
            </w:pPr>
            <w:r>
              <w:rPr>
                <w:sz w:val="20"/>
                <w:szCs w:val="20"/>
              </w:rPr>
              <w:t>Principal</w:t>
            </w:r>
            <w:r w:rsidR="00A37956">
              <w:rPr>
                <w:sz w:val="20"/>
                <w:szCs w:val="20"/>
              </w:rPr>
              <w:t xml:space="preserve"> Scientist</w:t>
            </w:r>
          </w:p>
          <w:p w14:paraId="4E5765F1" w14:textId="1FCC8535" w:rsidR="00A37956" w:rsidRDefault="00A37956" w:rsidP="00A37956">
            <w:pPr>
              <w:rPr>
                <w:sz w:val="20"/>
                <w:szCs w:val="20"/>
              </w:rPr>
            </w:pPr>
            <w:r>
              <w:rPr>
                <w:sz w:val="20"/>
                <w:szCs w:val="20"/>
              </w:rPr>
              <w:t>Center for Justice, Safety, and Resilience</w:t>
            </w:r>
          </w:p>
          <w:p w14:paraId="09EE9E34" w14:textId="77777777" w:rsidR="00A37956" w:rsidRDefault="00A37956" w:rsidP="00960C01">
            <w:pPr>
              <w:rPr>
                <w:sz w:val="20"/>
                <w:szCs w:val="20"/>
              </w:rPr>
            </w:pPr>
            <w:r>
              <w:rPr>
                <w:sz w:val="20"/>
                <w:szCs w:val="20"/>
              </w:rPr>
              <w:t>RTI International</w:t>
            </w:r>
          </w:p>
          <w:p w14:paraId="2237E797" w14:textId="77777777" w:rsidR="00A37956" w:rsidRDefault="00A37956" w:rsidP="00960C01">
            <w:pPr>
              <w:rPr>
                <w:sz w:val="20"/>
                <w:szCs w:val="20"/>
              </w:rPr>
            </w:pPr>
            <w:r>
              <w:rPr>
                <w:sz w:val="20"/>
                <w:szCs w:val="20"/>
              </w:rPr>
              <w:t>3040 Cornwallis Road</w:t>
            </w:r>
          </w:p>
          <w:p w14:paraId="55BC5642" w14:textId="77777777" w:rsidR="00A37956" w:rsidRDefault="00A37956" w:rsidP="00960C01">
            <w:pPr>
              <w:rPr>
                <w:sz w:val="20"/>
                <w:szCs w:val="20"/>
              </w:rPr>
            </w:pPr>
            <w:r>
              <w:rPr>
                <w:sz w:val="20"/>
                <w:szCs w:val="20"/>
              </w:rPr>
              <w:t>Research Triangle Park, NC 27709</w:t>
            </w:r>
          </w:p>
        </w:tc>
        <w:tc>
          <w:tcPr>
            <w:tcW w:w="3614" w:type="dxa"/>
          </w:tcPr>
          <w:p w14:paraId="354609FA" w14:textId="77777777" w:rsidR="00A37956" w:rsidRDefault="00A37956" w:rsidP="00960C01">
            <w:pPr>
              <w:rPr>
                <w:sz w:val="20"/>
                <w:szCs w:val="20"/>
              </w:rPr>
            </w:pPr>
            <w:r>
              <w:rPr>
                <w:sz w:val="20"/>
                <w:szCs w:val="20"/>
              </w:rPr>
              <w:t>Phone:   919-485-7751</w:t>
            </w:r>
          </w:p>
          <w:p w14:paraId="5AF99A27" w14:textId="77777777" w:rsidR="00A37956" w:rsidRDefault="00A37956" w:rsidP="00960C01">
            <w:pPr>
              <w:rPr>
                <w:sz w:val="20"/>
                <w:szCs w:val="20"/>
              </w:rPr>
            </w:pPr>
            <w:r>
              <w:rPr>
                <w:sz w:val="20"/>
                <w:szCs w:val="20"/>
              </w:rPr>
              <w:t>E-mail:  trudeau@rti.org</w:t>
            </w:r>
          </w:p>
        </w:tc>
      </w:tr>
      <w:tr w:rsidR="002554AE" w:rsidRPr="008C607D" w:rsidDel="002554AE" w14:paraId="29CA2B00" w14:textId="77777777" w:rsidTr="00A37956">
        <w:trPr>
          <w:cantSplit/>
        </w:trPr>
        <w:tc>
          <w:tcPr>
            <w:tcW w:w="2524" w:type="dxa"/>
          </w:tcPr>
          <w:p w14:paraId="7E786973" w14:textId="77777777" w:rsidR="002554AE" w:rsidRDefault="002554AE" w:rsidP="002554AE">
            <w:pPr>
              <w:rPr>
                <w:sz w:val="20"/>
                <w:szCs w:val="20"/>
              </w:rPr>
            </w:pPr>
            <w:r>
              <w:rPr>
                <w:b/>
                <w:bCs/>
                <w:sz w:val="20"/>
                <w:szCs w:val="20"/>
              </w:rPr>
              <w:t>Arnie Aldridge, Ph.D.</w:t>
            </w:r>
          </w:p>
          <w:p w14:paraId="401162FD" w14:textId="74494A80" w:rsidR="002554AE" w:rsidRPr="002554AE" w:rsidDel="002554AE" w:rsidRDefault="002554AE" w:rsidP="002554AE">
            <w:pPr>
              <w:rPr>
                <w:sz w:val="20"/>
                <w:szCs w:val="20"/>
              </w:rPr>
            </w:pPr>
            <w:r>
              <w:rPr>
                <w:sz w:val="20"/>
                <w:szCs w:val="20"/>
              </w:rPr>
              <w:t>Deputy Project Director</w:t>
            </w:r>
          </w:p>
        </w:tc>
        <w:tc>
          <w:tcPr>
            <w:tcW w:w="3510" w:type="dxa"/>
          </w:tcPr>
          <w:p w14:paraId="340EDE27" w14:textId="2649C0A9" w:rsidR="00A37956" w:rsidRPr="00A37956" w:rsidRDefault="00BF0B34" w:rsidP="00A37956">
            <w:pPr>
              <w:rPr>
                <w:sz w:val="20"/>
                <w:szCs w:val="20"/>
              </w:rPr>
            </w:pPr>
            <w:r>
              <w:rPr>
                <w:sz w:val="20"/>
                <w:szCs w:val="20"/>
              </w:rPr>
              <w:t xml:space="preserve">Research </w:t>
            </w:r>
            <w:r w:rsidR="00A37956" w:rsidRPr="00A37956">
              <w:rPr>
                <w:sz w:val="20"/>
                <w:szCs w:val="20"/>
              </w:rPr>
              <w:t>Economist</w:t>
            </w:r>
          </w:p>
          <w:p w14:paraId="703239F4" w14:textId="396D4BF2" w:rsidR="002554AE" w:rsidRDefault="00A37956" w:rsidP="00A37956">
            <w:pPr>
              <w:rPr>
                <w:sz w:val="20"/>
                <w:szCs w:val="20"/>
              </w:rPr>
            </w:pPr>
            <w:r w:rsidRPr="00A37956">
              <w:rPr>
                <w:sz w:val="20"/>
                <w:szCs w:val="20"/>
              </w:rPr>
              <w:t>Behavioral Health Economics Program</w:t>
            </w:r>
          </w:p>
          <w:p w14:paraId="08FD1781" w14:textId="77777777" w:rsidR="002554AE" w:rsidRPr="002554AE" w:rsidRDefault="002554AE" w:rsidP="002554AE">
            <w:pPr>
              <w:rPr>
                <w:sz w:val="20"/>
                <w:szCs w:val="20"/>
              </w:rPr>
            </w:pPr>
            <w:r w:rsidRPr="002554AE">
              <w:rPr>
                <w:sz w:val="20"/>
                <w:szCs w:val="20"/>
              </w:rPr>
              <w:t>RTI International</w:t>
            </w:r>
          </w:p>
          <w:p w14:paraId="707B63B6" w14:textId="77777777" w:rsidR="002554AE" w:rsidRPr="002554AE" w:rsidRDefault="002554AE" w:rsidP="002554AE">
            <w:pPr>
              <w:rPr>
                <w:sz w:val="20"/>
                <w:szCs w:val="20"/>
              </w:rPr>
            </w:pPr>
            <w:r w:rsidRPr="002554AE">
              <w:rPr>
                <w:sz w:val="20"/>
                <w:szCs w:val="20"/>
              </w:rPr>
              <w:t>3040 Cornwallis Road</w:t>
            </w:r>
          </w:p>
          <w:p w14:paraId="760F65C3" w14:textId="48AD31A1" w:rsidR="002554AE" w:rsidDel="002554AE" w:rsidRDefault="002554AE" w:rsidP="002554AE">
            <w:pPr>
              <w:rPr>
                <w:sz w:val="20"/>
                <w:szCs w:val="20"/>
              </w:rPr>
            </w:pPr>
            <w:r w:rsidRPr="002554AE">
              <w:rPr>
                <w:sz w:val="20"/>
                <w:szCs w:val="20"/>
              </w:rPr>
              <w:t>Research Triangle Park, NC 27709</w:t>
            </w:r>
          </w:p>
        </w:tc>
        <w:tc>
          <w:tcPr>
            <w:tcW w:w="3614" w:type="dxa"/>
          </w:tcPr>
          <w:p w14:paraId="0A5C7B12" w14:textId="68FA9923" w:rsidR="00A37956" w:rsidRPr="00A37956" w:rsidRDefault="00A37956" w:rsidP="00A37956">
            <w:pPr>
              <w:rPr>
                <w:sz w:val="20"/>
                <w:szCs w:val="20"/>
              </w:rPr>
            </w:pPr>
            <w:r w:rsidRPr="00A37956">
              <w:rPr>
                <w:sz w:val="20"/>
                <w:szCs w:val="20"/>
              </w:rPr>
              <w:t>Phone:   919-</w:t>
            </w:r>
            <w:r>
              <w:rPr>
                <w:sz w:val="20"/>
                <w:szCs w:val="20"/>
              </w:rPr>
              <w:t>990</w:t>
            </w:r>
            <w:r w:rsidRPr="00A37956">
              <w:rPr>
                <w:sz w:val="20"/>
                <w:szCs w:val="20"/>
              </w:rPr>
              <w:t>-</w:t>
            </w:r>
            <w:r>
              <w:rPr>
                <w:sz w:val="20"/>
                <w:szCs w:val="20"/>
              </w:rPr>
              <w:t>8389</w:t>
            </w:r>
          </w:p>
          <w:p w14:paraId="47BFF295" w14:textId="585A2D66" w:rsidR="002554AE" w:rsidDel="002554AE" w:rsidRDefault="00A37956" w:rsidP="00A37956">
            <w:pPr>
              <w:rPr>
                <w:sz w:val="20"/>
                <w:szCs w:val="20"/>
              </w:rPr>
            </w:pPr>
            <w:r w:rsidRPr="00A37956">
              <w:rPr>
                <w:sz w:val="20"/>
                <w:szCs w:val="20"/>
              </w:rPr>
              <w:t xml:space="preserve">E-mail:  </w:t>
            </w:r>
            <w:r>
              <w:rPr>
                <w:sz w:val="20"/>
                <w:szCs w:val="20"/>
              </w:rPr>
              <w:t>aaldridge</w:t>
            </w:r>
            <w:r w:rsidRPr="00A37956">
              <w:rPr>
                <w:sz w:val="20"/>
                <w:szCs w:val="20"/>
              </w:rPr>
              <w:t>@rti.org</w:t>
            </w:r>
          </w:p>
        </w:tc>
      </w:tr>
      <w:tr w:rsidR="004C56F1" w:rsidRPr="008C607D" w:rsidDel="00CC7210" w14:paraId="1D4262D5" w14:textId="77777777" w:rsidTr="00A37956">
        <w:trPr>
          <w:cantSplit/>
        </w:trPr>
        <w:tc>
          <w:tcPr>
            <w:tcW w:w="2524" w:type="dxa"/>
          </w:tcPr>
          <w:p w14:paraId="630D1FB9" w14:textId="77777777" w:rsidR="004C56F1" w:rsidRDefault="004C56F1" w:rsidP="001B5895">
            <w:pPr>
              <w:rPr>
                <w:b/>
                <w:bCs/>
                <w:sz w:val="20"/>
                <w:szCs w:val="20"/>
              </w:rPr>
            </w:pPr>
            <w:r>
              <w:rPr>
                <w:b/>
                <w:bCs/>
                <w:sz w:val="20"/>
                <w:szCs w:val="20"/>
              </w:rPr>
              <w:t>Antonio Morgan-Lopez, Ph.D.</w:t>
            </w:r>
          </w:p>
          <w:p w14:paraId="0986D527" w14:textId="041F1115" w:rsidR="004C56F1" w:rsidRPr="00643204" w:rsidRDefault="00A37956" w:rsidP="00A37956">
            <w:pPr>
              <w:rPr>
                <w:sz w:val="20"/>
                <w:szCs w:val="20"/>
              </w:rPr>
            </w:pPr>
            <w:r>
              <w:rPr>
                <w:sz w:val="20"/>
                <w:szCs w:val="20"/>
              </w:rPr>
              <w:t>Data Analysis Task Lead</w:t>
            </w:r>
          </w:p>
        </w:tc>
        <w:tc>
          <w:tcPr>
            <w:tcW w:w="3510" w:type="dxa"/>
          </w:tcPr>
          <w:p w14:paraId="14ABDD96" w14:textId="77777777" w:rsidR="004C56F1" w:rsidRPr="00643204" w:rsidRDefault="004C56F1" w:rsidP="001B5895">
            <w:pPr>
              <w:rPr>
                <w:sz w:val="20"/>
                <w:szCs w:val="20"/>
              </w:rPr>
            </w:pPr>
            <w:r w:rsidRPr="00643204">
              <w:rPr>
                <w:sz w:val="20"/>
                <w:szCs w:val="20"/>
              </w:rPr>
              <w:t>Senior Research Quantitative Psychologist</w:t>
            </w:r>
          </w:p>
          <w:p w14:paraId="2060819C" w14:textId="77777777" w:rsidR="004C56F1" w:rsidRDefault="004C56F1" w:rsidP="001B5895">
            <w:pPr>
              <w:rPr>
                <w:sz w:val="20"/>
                <w:szCs w:val="20"/>
              </w:rPr>
            </w:pPr>
            <w:r w:rsidRPr="00643204">
              <w:rPr>
                <w:sz w:val="20"/>
                <w:szCs w:val="20"/>
              </w:rPr>
              <w:t>Risk Behavior and Family Research</w:t>
            </w:r>
          </w:p>
          <w:p w14:paraId="31590767" w14:textId="77777777" w:rsidR="004C56F1" w:rsidRDefault="004C56F1" w:rsidP="001B5895">
            <w:pPr>
              <w:rPr>
                <w:sz w:val="20"/>
                <w:szCs w:val="20"/>
              </w:rPr>
            </w:pPr>
            <w:r>
              <w:rPr>
                <w:sz w:val="20"/>
                <w:szCs w:val="20"/>
              </w:rPr>
              <w:t>RTI International</w:t>
            </w:r>
          </w:p>
          <w:p w14:paraId="3F7DCA11" w14:textId="77777777" w:rsidR="004C56F1" w:rsidRDefault="004C56F1" w:rsidP="001B5895">
            <w:pPr>
              <w:rPr>
                <w:sz w:val="20"/>
                <w:szCs w:val="20"/>
              </w:rPr>
            </w:pPr>
            <w:r>
              <w:rPr>
                <w:sz w:val="20"/>
                <w:szCs w:val="20"/>
              </w:rPr>
              <w:t>3040 Cornwallis Road</w:t>
            </w:r>
          </w:p>
          <w:p w14:paraId="57BDCB3C" w14:textId="77777777" w:rsidR="004C56F1" w:rsidRDefault="004C56F1" w:rsidP="001B5895">
            <w:pPr>
              <w:rPr>
                <w:sz w:val="20"/>
                <w:szCs w:val="20"/>
              </w:rPr>
            </w:pPr>
            <w:r>
              <w:rPr>
                <w:sz w:val="20"/>
                <w:szCs w:val="20"/>
              </w:rPr>
              <w:t>Research Triangle Park, NC 27709</w:t>
            </w:r>
          </w:p>
        </w:tc>
        <w:tc>
          <w:tcPr>
            <w:tcW w:w="3614" w:type="dxa"/>
          </w:tcPr>
          <w:p w14:paraId="272AAD91" w14:textId="77777777" w:rsidR="004C56F1" w:rsidRPr="00643204" w:rsidRDefault="004C56F1" w:rsidP="001B5895">
            <w:pPr>
              <w:rPr>
                <w:sz w:val="20"/>
                <w:szCs w:val="20"/>
              </w:rPr>
            </w:pPr>
            <w:r w:rsidRPr="00643204">
              <w:rPr>
                <w:sz w:val="20"/>
                <w:szCs w:val="20"/>
              </w:rPr>
              <w:t>Phone:</w:t>
            </w:r>
            <w:r>
              <w:rPr>
                <w:sz w:val="20"/>
                <w:szCs w:val="20"/>
              </w:rPr>
              <w:tab/>
            </w:r>
            <w:r w:rsidRPr="00BF0B34">
              <w:rPr>
                <w:sz w:val="20"/>
                <w:szCs w:val="20"/>
              </w:rPr>
              <w:t>919-316-3436</w:t>
            </w:r>
          </w:p>
          <w:p w14:paraId="2B515551" w14:textId="77777777" w:rsidR="004C56F1" w:rsidRPr="00643204" w:rsidRDefault="004C56F1" w:rsidP="001B5895">
            <w:pPr>
              <w:rPr>
                <w:sz w:val="20"/>
                <w:szCs w:val="20"/>
              </w:rPr>
            </w:pPr>
            <w:r>
              <w:rPr>
                <w:sz w:val="20"/>
                <w:szCs w:val="20"/>
              </w:rPr>
              <w:t>E-mail:</w:t>
            </w:r>
            <w:r>
              <w:rPr>
                <w:sz w:val="20"/>
                <w:szCs w:val="20"/>
              </w:rPr>
              <w:tab/>
            </w:r>
            <w:r w:rsidRPr="00643204">
              <w:rPr>
                <w:sz w:val="20"/>
                <w:szCs w:val="20"/>
              </w:rPr>
              <w:t>amorganlopez@rti.org</w:t>
            </w:r>
          </w:p>
          <w:p w14:paraId="6A42BC65" w14:textId="77777777" w:rsidR="004C56F1" w:rsidRPr="00643204" w:rsidRDefault="004C56F1" w:rsidP="001B5895">
            <w:pPr>
              <w:rPr>
                <w:sz w:val="20"/>
                <w:szCs w:val="20"/>
              </w:rPr>
            </w:pPr>
          </w:p>
        </w:tc>
      </w:tr>
      <w:tr w:rsidR="004C56F1" w:rsidRPr="008C607D" w:rsidDel="00CC7210" w14:paraId="2AB70919" w14:textId="77777777" w:rsidTr="00A37956">
        <w:trPr>
          <w:cantSplit/>
        </w:trPr>
        <w:tc>
          <w:tcPr>
            <w:tcW w:w="2524" w:type="dxa"/>
          </w:tcPr>
          <w:p w14:paraId="71FD6A33" w14:textId="77777777" w:rsidR="004C56F1" w:rsidRDefault="004C56F1" w:rsidP="001B5895">
            <w:pPr>
              <w:rPr>
                <w:b/>
                <w:bCs/>
                <w:sz w:val="20"/>
                <w:szCs w:val="20"/>
              </w:rPr>
            </w:pPr>
            <w:r>
              <w:rPr>
                <w:b/>
                <w:bCs/>
                <w:sz w:val="20"/>
                <w:szCs w:val="20"/>
              </w:rPr>
              <w:t>Aileen Rothbard, Sc.D.</w:t>
            </w:r>
          </w:p>
          <w:p w14:paraId="21E02BD4" w14:textId="77777777" w:rsidR="004C56F1" w:rsidRPr="00DC2269" w:rsidRDefault="004C56F1" w:rsidP="001B5895">
            <w:pPr>
              <w:rPr>
                <w:b/>
                <w:bCs/>
                <w:sz w:val="20"/>
                <w:szCs w:val="20"/>
              </w:rPr>
            </w:pPr>
            <w:r w:rsidRPr="00643204">
              <w:rPr>
                <w:sz w:val="20"/>
                <w:szCs w:val="20"/>
              </w:rPr>
              <w:t>Statistician</w:t>
            </w:r>
          </w:p>
        </w:tc>
        <w:tc>
          <w:tcPr>
            <w:tcW w:w="3510" w:type="dxa"/>
          </w:tcPr>
          <w:p w14:paraId="2FFE1CE3" w14:textId="77777777" w:rsidR="004C56F1" w:rsidRPr="004C2F68" w:rsidRDefault="004C56F1" w:rsidP="001B5895">
            <w:pPr>
              <w:rPr>
                <w:sz w:val="20"/>
                <w:szCs w:val="20"/>
              </w:rPr>
            </w:pPr>
            <w:r w:rsidRPr="004C2F68">
              <w:rPr>
                <w:sz w:val="20"/>
                <w:szCs w:val="20"/>
              </w:rPr>
              <w:t>Research Professor</w:t>
            </w:r>
          </w:p>
          <w:p w14:paraId="42A70522" w14:textId="77777777" w:rsidR="004C56F1" w:rsidRPr="004C2F68" w:rsidRDefault="004C56F1" w:rsidP="001B5895">
            <w:pPr>
              <w:rPr>
                <w:sz w:val="20"/>
                <w:szCs w:val="20"/>
              </w:rPr>
            </w:pPr>
            <w:r w:rsidRPr="004C2F68">
              <w:rPr>
                <w:sz w:val="20"/>
                <w:szCs w:val="20"/>
              </w:rPr>
              <w:t xml:space="preserve">School of Social Policy and Practice &amp; Department of Psychiatry </w:t>
            </w:r>
          </w:p>
          <w:p w14:paraId="1C7CCCEF" w14:textId="77777777" w:rsidR="004C56F1" w:rsidRPr="004C2F68" w:rsidRDefault="004C56F1" w:rsidP="001B5895">
            <w:pPr>
              <w:rPr>
                <w:sz w:val="20"/>
                <w:szCs w:val="20"/>
              </w:rPr>
            </w:pPr>
            <w:r w:rsidRPr="004C2F68">
              <w:rPr>
                <w:sz w:val="20"/>
                <w:szCs w:val="20"/>
              </w:rPr>
              <w:t>3535 Market Street, Room 3014</w:t>
            </w:r>
          </w:p>
          <w:p w14:paraId="7ACEAFA8" w14:textId="77777777" w:rsidR="004C56F1" w:rsidRDefault="004C56F1" w:rsidP="001B5895">
            <w:pPr>
              <w:rPr>
                <w:sz w:val="20"/>
                <w:szCs w:val="20"/>
              </w:rPr>
            </w:pPr>
            <w:r>
              <w:rPr>
                <w:sz w:val="20"/>
                <w:szCs w:val="20"/>
              </w:rPr>
              <w:t>Philadelphia, PA  19104-2648</w:t>
            </w:r>
          </w:p>
        </w:tc>
        <w:tc>
          <w:tcPr>
            <w:tcW w:w="3614" w:type="dxa"/>
          </w:tcPr>
          <w:p w14:paraId="6635C121" w14:textId="77777777" w:rsidR="004C56F1" w:rsidRPr="004C2F68" w:rsidRDefault="004C56F1" w:rsidP="001B5895">
            <w:pPr>
              <w:rPr>
                <w:sz w:val="20"/>
                <w:szCs w:val="20"/>
              </w:rPr>
            </w:pPr>
            <w:r w:rsidRPr="004C2F68">
              <w:rPr>
                <w:sz w:val="20"/>
                <w:szCs w:val="20"/>
              </w:rPr>
              <w:t xml:space="preserve">Phone: </w:t>
            </w:r>
            <w:r>
              <w:rPr>
                <w:sz w:val="20"/>
                <w:szCs w:val="20"/>
              </w:rPr>
              <w:tab/>
            </w:r>
            <w:r w:rsidRPr="004C2F68">
              <w:rPr>
                <w:sz w:val="20"/>
                <w:szCs w:val="20"/>
              </w:rPr>
              <w:t>215-573-7770</w:t>
            </w:r>
          </w:p>
          <w:p w14:paraId="373F0DFE" w14:textId="77777777" w:rsidR="004C56F1" w:rsidRPr="004C2F68" w:rsidRDefault="004C56F1" w:rsidP="001B5895">
            <w:pPr>
              <w:rPr>
                <w:sz w:val="20"/>
                <w:szCs w:val="20"/>
              </w:rPr>
            </w:pPr>
            <w:r>
              <w:rPr>
                <w:sz w:val="20"/>
                <w:szCs w:val="20"/>
              </w:rPr>
              <w:t>E-mail:</w:t>
            </w:r>
            <w:r>
              <w:rPr>
                <w:sz w:val="20"/>
                <w:szCs w:val="20"/>
              </w:rPr>
              <w:tab/>
            </w:r>
            <w:r w:rsidRPr="00C07BE6">
              <w:rPr>
                <w:sz w:val="20"/>
                <w:szCs w:val="20"/>
              </w:rPr>
              <w:t>rothbard@mail.med.upenn.edu</w:t>
            </w:r>
          </w:p>
          <w:p w14:paraId="09089E8C" w14:textId="77777777" w:rsidR="004C56F1" w:rsidRDefault="004C56F1" w:rsidP="001B5895">
            <w:pPr>
              <w:rPr>
                <w:sz w:val="20"/>
                <w:szCs w:val="20"/>
              </w:rPr>
            </w:pPr>
          </w:p>
        </w:tc>
      </w:tr>
      <w:tr w:rsidR="00A37956" w:rsidRPr="008C607D" w:rsidDel="002554AE" w14:paraId="5051B7BB" w14:textId="77777777" w:rsidTr="00A37956">
        <w:trPr>
          <w:cantSplit/>
        </w:trPr>
        <w:tc>
          <w:tcPr>
            <w:tcW w:w="9648" w:type="dxa"/>
            <w:gridSpan w:val="3"/>
            <w:shd w:val="clear" w:color="auto" w:fill="F2F2F2" w:themeFill="background1" w:themeFillShade="F2"/>
            <w:vAlign w:val="center"/>
          </w:tcPr>
          <w:p w14:paraId="25E7FFEC" w14:textId="03929F6C" w:rsidR="00A37956" w:rsidRPr="00422F19" w:rsidDel="002554AE" w:rsidRDefault="00A37956" w:rsidP="00A37956">
            <w:pPr>
              <w:jc w:val="center"/>
              <w:rPr>
                <w:b/>
                <w:bCs/>
                <w:i/>
                <w:iCs/>
                <w:sz w:val="20"/>
                <w:szCs w:val="20"/>
              </w:rPr>
            </w:pPr>
            <w:r w:rsidRPr="00422F19">
              <w:rPr>
                <w:b/>
                <w:bCs/>
                <w:i/>
                <w:iCs/>
                <w:sz w:val="20"/>
                <w:szCs w:val="20"/>
              </w:rPr>
              <w:t>SAMHSA Advisors</w:t>
            </w:r>
          </w:p>
        </w:tc>
      </w:tr>
      <w:tr w:rsidR="00A37956" w:rsidRPr="008C607D" w:rsidDel="002554AE" w14:paraId="559FAF6A" w14:textId="77777777" w:rsidTr="00A37956">
        <w:trPr>
          <w:cantSplit/>
        </w:trPr>
        <w:tc>
          <w:tcPr>
            <w:tcW w:w="2524" w:type="dxa"/>
          </w:tcPr>
          <w:p w14:paraId="62B9614F" w14:textId="77777777" w:rsidR="00A37956" w:rsidRPr="00A37956" w:rsidRDefault="00A37956" w:rsidP="00A37956">
            <w:pPr>
              <w:rPr>
                <w:b/>
                <w:bCs/>
                <w:sz w:val="20"/>
                <w:szCs w:val="20"/>
              </w:rPr>
            </w:pPr>
            <w:r w:rsidRPr="00A37956">
              <w:rPr>
                <w:b/>
                <w:bCs/>
                <w:sz w:val="20"/>
                <w:szCs w:val="20"/>
              </w:rPr>
              <w:t>Kirstin Painter, Ph.D.</w:t>
            </w:r>
          </w:p>
          <w:p w14:paraId="4A7C61CD" w14:textId="4ED99B4C" w:rsidR="00A37956" w:rsidRPr="00A37956" w:rsidDel="002554AE" w:rsidRDefault="00A37956" w:rsidP="00A37956">
            <w:pPr>
              <w:rPr>
                <w:sz w:val="20"/>
                <w:szCs w:val="20"/>
              </w:rPr>
            </w:pPr>
            <w:r w:rsidRPr="00A37956">
              <w:rPr>
                <w:sz w:val="20"/>
                <w:szCs w:val="20"/>
              </w:rPr>
              <w:t>Contracting Officer’s Representative</w:t>
            </w:r>
          </w:p>
        </w:tc>
        <w:tc>
          <w:tcPr>
            <w:tcW w:w="3510" w:type="dxa"/>
          </w:tcPr>
          <w:p w14:paraId="4602723B" w14:textId="77777777" w:rsidR="00A37956" w:rsidRPr="00422F19" w:rsidRDefault="00A37956" w:rsidP="00A37956">
            <w:pPr>
              <w:rPr>
                <w:sz w:val="20"/>
                <w:szCs w:val="20"/>
              </w:rPr>
            </w:pPr>
            <w:r w:rsidRPr="00422F19">
              <w:rPr>
                <w:sz w:val="20"/>
                <w:szCs w:val="20"/>
              </w:rPr>
              <w:t xml:space="preserve">Public Health Advisor </w:t>
            </w:r>
          </w:p>
          <w:p w14:paraId="66E510C8" w14:textId="77777777" w:rsidR="00A37956" w:rsidRPr="00422F19" w:rsidRDefault="00A37956" w:rsidP="00A37956">
            <w:pPr>
              <w:rPr>
                <w:sz w:val="20"/>
                <w:szCs w:val="20"/>
              </w:rPr>
            </w:pPr>
            <w:r w:rsidRPr="00422F19">
              <w:rPr>
                <w:sz w:val="20"/>
                <w:szCs w:val="20"/>
              </w:rPr>
              <w:t>CMHS, SAMHSA</w:t>
            </w:r>
          </w:p>
          <w:p w14:paraId="7CC1B034" w14:textId="53D88E3D" w:rsidR="00A37956" w:rsidRPr="00422F19" w:rsidRDefault="00422F19" w:rsidP="00422F19">
            <w:pPr>
              <w:rPr>
                <w:sz w:val="20"/>
                <w:szCs w:val="20"/>
              </w:rPr>
            </w:pPr>
            <w:r w:rsidRPr="00422F19">
              <w:rPr>
                <w:sz w:val="20"/>
                <w:szCs w:val="20"/>
              </w:rPr>
              <w:t>5600 Fishers Lane, Room 14E89D</w:t>
            </w:r>
          </w:p>
          <w:p w14:paraId="20C0E4BE" w14:textId="2D91BC25" w:rsidR="00A37956" w:rsidRPr="00422F19" w:rsidDel="002554AE" w:rsidRDefault="00A37956" w:rsidP="00A37956">
            <w:pPr>
              <w:rPr>
                <w:sz w:val="20"/>
                <w:szCs w:val="20"/>
              </w:rPr>
            </w:pPr>
            <w:r w:rsidRPr="00422F19">
              <w:rPr>
                <w:sz w:val="20"/>
                <w:szCs w:val="20"/>
              </w:rPr>
              <w:t>Rockville, MD 20857</w:t>
            </w:r>
          </w:p>
        </w:tc>
        <w:tc>
          <w:tcPr>
            <w:tcW w:w="3614" w:type="dxa"/>
          </w:tcPr>
          <w:p w14:paraId="4AEB97A8" w14:textId="6C62DEDF" w:rsidR="00A37956" w:rsidRPr="00937929" w:rsidRDefault="00A37956" w:rsidP="00422F19">
            <w:pPr>
              <w:tabs>
                <w:tab w:val="left" w:pos="724"/>
              </w:tabs>
              <w:rPr>
                <w:sz w:val="20"/>
                <w:szCs w:val="20"/>
              </w:rPr>
            </w:pPr>
            <w:r w:rsidRPr="00937929">
              <w:rPr>
                <w:sz w:val="20"/>
                <w:szCs w:val="20"/>
              </w:rPr>
              <w:t>P</w:t>
            </w:r>
            <w:r>
              <w:rPr>
                <w:sz w:val="20"/>
                <w:szCs w:val="20"/>
              </w:rPr>
              <w:t>hone:</w:t>
            </w:r>
            <w:r>
              <w:rPr>
                <w:sz w:val="20"/>
                <w:szCs w:val="20"/>
              </w:rPr>
              <w:tab/>
            </w:r>
            <w:r w:rsidRPr="00422F19">
              <w:rPr>
                <w:sz w:val="20"/>
                <w:szCs w:val="20"/>
              </w:rPr>
              <w:t>240-276-</w:t>
            </w:r>
            <w:r w:rsidR="00422F19" w:rsidRPr="00422F19">
              <w:rPr>
                <w:sz w:val="20"/>
                <w:szCs w:val="20"/>
              </w:rPr>
              <w:t>1932</w:t>
            </w:r>
          </w:p>
          <w:p w14:paraId="23141CC0" w14:textId="261EE592" w:rsidR="00A37956" w:rsidRPr="00241701" w:rsidDel="002554AE" w:rsidRDefault="00A37956" w:rsidP="00A37956">
            <w:pPr>
              <w:rPr>
                <w:sz w:val="20"/>
                <w:szCs w:val="20"/>
              </w:rPr>
            </w:pPr>
            <w:r w:rsidRPr="00937929">
              <w:rPr>
                <w:sz w:val="20"/>
                <w:szCs w:val="20"/>
              </w:rPr>
              <w:t>Email:</w:t>
            </w:r>
            <w:r>
              <w:rPr>
                <w:sz w:val="20"/>
                <w:szCs w:val="20"/>
              </w:rPr>
              <w:tab/>
            </w:r>
            <w:r w:rsidRPr="00A37956">
              <w:rPr>
                <w:sz w:val="20"/>
                <w:szCs w:val="20"/>
              </w:rPr>
              <w:t>Kirstin.Painter@samhsa.hhs.gov</w:t>
            </w:r>
          </w:p>
        </w:tc>
      </w:tr>
      <w:tr w:rsidR="00A37956" w:rsidRPr="008C607D" w:rsidDel="002554AE" w14:paraId="33736F2B" w14:textId="77777777" w:rsidTr="00A37956">
        <w:trPr>
          <w:cantSplit/>
        </w:trPr>
        <w:tc>
          <w:tcPr>
            <w:tcW w:w="2524" w:type="dxa"/>
          </w:tcPr>
          <w:p w14:paraId="6B5F3E72" w14:textId="71E9AFDF" w:rsidR="00A37956" w:rsidRDefault="00A37956" w:rsidP="00A37956">
            <w:pPr>
              <w:rPr>
                <w:b/>
                <w:bCs/>
                <w:sz w:val="20"/>
                <w:szCs w:val="20"/>
              </w:rPr>
            </w:pPr>
            <w:r>
              <w:rPr>
                <w:b/>
                <w:bCs/>
                <w:sz w:val="20"/>
                <w:szCs w:val="20"/>
              </w:rPr>
              <w:lastRenderedPageBreak/>
              <w:t>Sarah Ndiangui, M</w:t>
            </w:r>
            <w:r w:rsidR="00422F19">
              <w:rPr>
                <w:b/>
                <w:bCs/>
                <w:sz w:val="20"/>
                <w:szCs w:val="20"/>
              </w:rPr>
              <w:t>.</w:t>
            </w:r>
            <w:r>
              <w:rPr>
                <w:b/>
                <w:bCs/>
                <w:sz w:val="20"/>
                <w:szCs w:val="20"/>
              </w:rPr>
              <w:t>P</w:t>
            </w:r>
            <w:r w:rsidR="00422F19">
              <w:rPr>
                <w:b/>
                <w:bCs/>
                <w:sz w:val="20"/>
                <w:szCs w:val="20"/>
              </w:rPr>
              <w:t>.</w:t>
            </w:r>
            <w:r>
              <w:rPr>
                <w:b/>
                <w:bCs/>
                <w:sz w:val="20"/>
                <w:szCs w:val="20"/>
              </w:rPr>
              <w:t>H</w:t>
            </w:r>
            <w:r w:rsidR="00422F19">
              <w:rPr>
                <w:b/>
                <w:bCs/>
                <w:sz w:val="20"/>
                <w:szCs w:val="20"/>
              </w:rPr>
              <w:t>.</w:t>
            </w:r>
          </w:p>
          <w:p w14:paraId="7BD1B333" w14:textId="11998597" w:rsidR="00A37956" w:rsidRPr="00A37956" w:rsidDel="002554AE" w:rsidRDefault="00A37956" w:rsidP="00A37956">
            <w:pPr>
              <w:rPr>
                <w:sz w:val="20"/>
                <w:szCs w:val="20"/>
              </w:rPr>
            </w:pPr>
            <w:r w:rsidRPr="00A37956">
              <w:rPr>
                <w:sz w:val="20"/>
                <w:szCs w:val="20"/>
              </w:rPr>
              <w:t>Alternate Contracting Officer’s Representative</w:t>
            </w:r>
          </w:p>
        </w:tc>
        <w:tc>
          <w:tcPr>
            <w:tcW w:w="3510" w:type="dxa"/>
          </w:tcPr>
          <w:p w14:paraId="056B6FCD" w14:textId="77777777" w:rsidR="00A37956" w:rsidRPr="00422F19" w:rsidRDefault="00A37956" w:rsidP="00A37956">
            <w:pPr>
              <w:rPr>
                <w:rFonts w:eastAsia="Calibri"/>
                <w:sz w:val="20"/>
                <w:szCs w:val="20"/>
              </w:rPr>
            </w:pPr>
            <w:r w:rsidRPr="00422F19">
              <w:rPr>
                <w:rFonts w:eastAsia="Calibri"/>
                <w:sz w:val="20"/>
                <w:szCs w:val="20"/>
              </w:rPr>
              <w:t>Public Health Advisor</w:t>
            </w:r>
          </w:p>
          <w:p w14:paraId="05ACCCAA" w14:textId="3FBD832D" w:rsidR="00A37956" w:rsidRPr="00422F19" w:rsidRDefault="00A37956" w:rsidP="00A37956">
            <w:pPr>
              <w:rPr>
                <w:rFonts w:eastAsia="Calibri"/>
                <w:sz w:val="20"/>
                <w:szCs w:val="20"/>
              </w:rPr>
            </w:pPr>
            <w:r w:rsidRPr="00422F19">
              <w:rPr>
                <w:rFonts w:eastAsia="Calibri"/>
                <w:sz w:val="20"/>
                <w:szCs w:val="20"/>
              </w:rPr>
              <w:t>CSAT, SAMHSA</w:t>
            </w:r>
          </w:p>
          <w:p w14:paraId="51344A48" w14:textId="697DF2D4" w:rsidR="00A37956" w:rsidRPr="00422F19" w:rsidRDefault="00422F19" w:rsidP="00422F19">
            <w:pPr>
              <w:rPr>
                <w:rFonts w:eastAsia="Calibri"/>
                <w:sz w:val="20"/>
                <w:szCs w:val="20"/>
              </w:rPr>
            </w:pPr>
            <w:r w:rsidRPr="00422F19">
              <w:rPr>
                <w:rFonts w:eastAsia="Calibri"/>
                <w:bCs/>
                <w:sz w:val="20"/>
                <w:szCs w:val="20"/>
              </w:rPr>
              <w:t>5600 Fishers Lane, Room 13E85B</w:t>
            </w:r>
          </w:p>
          <w:p w14:paraId="36D49B79" w14:textId="5E1292A8" w:rsidR="00A37956" w:rsidRPr="00422F19" w:rsidDel="002554AE" w:rsidRDefault="00A37956" w:rsidP="00A37956">
            <w:pPr>
              <w:rPr>
                <w:sz w:val="20"/>
                <w:szCs w:val="20"/>
              </w:rPr>
            </w:pPr>
            <w:r w:rsidRPr="00422F19">
              <w:rPr>
                <w:rFonts w:eastAsia="Calibri"/>
                <w:sz w:val="20"/>
                <w:szCs w:val="20"/>
              </w:rPr>
              <w:t>Rockville, MD 20857</w:t>
            </w:r>
          </w:p>
        </w:tc>
        <w:tc>
          <w:tcPr>
            <w:tcW w:w="3614" w:type="dxa"/>
          </w:tcPr>
          <w:p w14:paraId="09912375" w14:textId="69630CBE" w:rsidR="00A37956" w:rsidRPr="00937929" w:rsidRDefault="00A37956" w:rsidP="00422F19">
            <w:pPr>
              <w:tabs>
                <w:tab w:val="left" w:pos="724"/>
              </w:tabs>
              <w:rPr>
                <w:rFonts w:eastAsia="Calibri"/>
                <w:sz w:val="20"/>
                <w:szCs w:val="20"/>
              </w:rPr>
            </w:pPr>
            <w:r w:rsidRPr="00937929">
              <w:rPr>
                <w:rFonts w:eastAsia="Calibri"/>
                <w:sz w:val="20"/>
                <w:szCs w:val="20"/>
              </w:rPr>
              <w:t>P</w:t>
            </w:r>
            <w:r>
              <w:rPr>
                <w:rFonts w:eastAsia="Calibri"/>
                <w:sz w:val="20"/>
                <w:szCs w:val="20"/>
              </w:rPr>
              <w:t>hone:</w:t>
            </w:r>
            <w:r>
              <w:rPr>
                <w:rFonts w:eastAsia="Calibri"/>
                <w:sz w:val="20"/>
                <w:szCs w:val="20"/>
              </w:rPr>
              <w:tab/>
            </w:r>
            <w:r w:rsidRPr="00422F19">
              <w:rPr>
                <w:rFonts w:eastAsia="Calibri"/>
                <w:sz w:val="20"/>
                <w:szCs w:val="20"/>
              </w:rPr>
              <w:t>240-276-</w:t>
            </w:r>
            <w:r w:rsidR="00422F19" w:rsidRPr="00422F19">
              <w:rPr>
                <w:rFonts w:eastAsia="Calibri"/>
                <w:sz w:val="20"/>
                <w:szCs w:val="20"/>
              </w:rPr>
              <w:t>2918</w:t>
            </w:r>
          </w:p>
          <w:p w14:paraId="155D32D2" w14:textId="65420933" w:rsidR="00A37956" w:rsidRPr="00241701" w:rsidDel="002554AE" w:rsidRDefault="00A37956" w:rsidP="00A37956">
            <w:pPr>
              <w:rPr>
                <w:sz w:val="20"/>
                <w:szCs w:val="20"/>
              </w:rPr>
            </w:pPr>
            <w:r>
              <w:rPr>
                <w:rFonts w:eastAsia="Calibri"/>
                <w:sz w:val="20"/>
                <w:szCs w:val="20"/>
              </w:rPr>
              <w:t>Email:</w:t>
            </w:r>
            <w:r>
              <w:rPr>
                <w:rFonts w:eastAsia="Calibri"/>
                <w:sz w:val="20"/>
                <w:szCs w:val="20"/>
              </w:rPr>
              <w:tab/>
              <w:t>Sarah.Ndiangui@samhsa.hhs.gov</w:t>
            </w:r>
          </w:p>
        </w:tc>
      </w:tr>
    </w:tbl>
    <w:p w14:paraId="2F5DA05C" w14:textId="77777777" w:rsidR="004C56F1" w:rsidRDefault="004C56F1" w:rsidP="004C56F1">
      <w:pPr>
        <w:rPr>
          <w:b/>
          <w:u w:val="single"/>
        </w:rPr>
      </w:pPr>
    </w:p>
    <w:p w14:paraId="35DDA451" w14:textId="77777777" w:rsidR="004C56F1" w:rsidRDefault="004C56F1" w:rsidP="004C56F1">
      <w:pPr>
        <w:spacing w:after="200" w:line="276" w:lineRule="auto"/>
        <w:rPr>
          <w:b/>
          <w:u w:val="single"/>
        </w:rPr>
      </w:pPr>
      <w:r>
        <w:rPr>
          <w:b/>
          <w:u w:val="single"/>
        </w:rPr>
        <w:br w:type="page"/>
      </w:r>
    </w:p>
    <w:p w14:paraId="12F5886D" w14:textId="77777777" w:rsidR="004C56F1" w:rsidRDefault="004C56F1" w:rsidP="004C56F1">
      <w:pPr>
        <w:jc w:val="center"/>
        <w:rPr>
          <w:b/>
          <w:bCs/>
        </w:rPr>
      </w:pPr>
      <w:r w:rsidRPr="00D93CBB">
        <w:rPr>
          <w:b/>
          <w:bCs/>
        </w:rPr>
        <w:lastRenderedPageBreak/>
        <w:t>REFERENCES</w:t>
      </w:r>
    </w:p>
    <w:p w14:paraId="707F7EA2" w14:textId="77777777" w:rsidR="004C56F1" w:rsidRDefault="004C56F1" w:rsidP="004C56F1">
      <w:pPr>
        <w:jc w:val="center"/>
        <w:rPr>
          <w:b/>
          <w:bCs/>
        </w:rPr>
      </w:pPr>
    </w:p>
    <w:p w14:paraId="7BEAF59A" w14:textId="77777777" w:rsidR="004C56F1" w:rsidRDefault="004C56F1" w:rsidP="004C56F1">
      <w:pPr>
        <w:ind w:left="720" w:hanging="720"/>
        <w:rPr>
          <w:bCs/>
          <w:sz w:val="22"/>
          <w:szCs w:val="22"/>
        </w:rPr>
      </w:pPr>
      <w:r w:rsidRPr="003B79B8">
        <w:rPr>
          <w:bCs/>
          <w:sz w:val="22"/>
          <w:szCs w:val="22"/>
        </w:rPr>
        <w:t xml:space="preserve">Bond, G. R., Drake, R. E., Rapp, C. A., McHugo, G. J., &amp; Xie, H. (2009). Individualization and quality improvement:  Two new scales to complement measurement of program fidelity. Administration and Policy in Mental Health and Mental Health Services Research, 36: 349–357. </w:t>
      </w:r>
    </w:p>
    <w:p w14:paraId="7FDD0A34" w14:textId="77777777" w:rsidR="004C56F1" w:rsidRPr="003B79B8" w:rsidRDefault="004C56F1" w:rsidP="004C56F1">
      <w:pPr>
        <w:ind w:left="720" w:hanging="720"/>
        <w:rPr>
          <w:bCs/>
          <w:sz w:val="22"/>
          <w:szCs w:val="22"/>
        </w:rPr>
      </w:pPr>
    </w:p>
    <w:p w14:paraId="4A168E9C" w14:textId="77777777" w:rsidR="004C56F1" w:rsidRPr="003B79B8" w:rsidRDefault="004C56F1" w:rsidP="004C56F1">
      <w:pPr>
        <w:ind w:left="720" w:hanging="720"/>
        <w:rPr>
          <w:bCs/>
          <w:sz w:val="22"/>
          <w:szCs w:val="22"/>
        </w:rPr>
      </w:pPr>
      <w:r w:rsidRPr="003B79B8">
        <w:rPr>
          <w:bCs/>
          <w:sz w:val="22"/>
          <w:szCs w:val="22"/>
        </w:rPr>
        <w:t>Finnerty, M.T., Rapp, C.A., Bond, G.R., Lynde, D.W., Ganju, V., Goldman, H.H. (2009).  The State Health Authority Yardstick (SHAY). Community Mental Health Journal, 45(3):228-36.</w:t>
      </w:r>
    </w:p>
    <w:p w14:paraId="5E69C8F1" w14:textId="77777777" w:rsidR="004C56F1" w:rsidRPr="003B79B8" w:rsidRDefault="004C56F1" w:rsidP="004C56F1">
      <w:pPr>
        <w:ind w:left="720" w:hanging="720"/>
        <w:rPr>
          <w:bCs/>
          <w:sz w:val="22"/>
          <w:szCs w:val="22"/>
        </w:rPr>
      </w:pPr>
    </w:p>
    <w:p w14:paraId="1B4EB053" w14:textId="77777777" w:rsidR="004C56F1" w:rsidRPr="003B79B8" w:rsidRDefault="004C56F1" w:rsidP="004C56F1">
      <w:pPr>
        <w:ind w:left="720" w:hanging="720"/>
        <w:rPr>
          <w:bCs/>
          <w:sz w:val="22"/>
          <w:szCs w:val="22"/>
        </w:rPr>
      </w:pPr>
      <w:r w:rsidRPr="003B79B8">
        <w:rPr>
          <w:bCs/>
          <w:sz w:val="22"/>
          <w:szCs w:val="22"/>
        </w:rPr>
        <w:t>Fixsen, D.L., and Blase, K.A.  (2010). Stage-Based Measures of Implementation Components: Installation Stage Assessment. Chapel Hill, NC: University of North Carolina Chapel Hill, National Implementation Research Network.</w:t>
      </w:r>
    </w:p>
    <w:p w14:paraId="34CF33C6" w14:textId="77777777" w:rsidR="004C56F1" w:rsidRPr="003B79B8" w:rsidRDefault="004C56F1" w:rsidP="004C56F1">
      <w:pPr>
        <w:ind w:left="720" w:hanging="720"/>
        <w:rPr>
          <w:bCs/>
          <w:sz w:val="22"/>
          <w:szCs w:val="22"/>
        </w:rPr>
      </w:pPr>
    </w:p>
    <w:p w14:paraId="6623CCBB" w14:textId="77777777" w:rsidR="004C56F1" w:rsidRPr="003B79B8" w:rsidRDefault="004C56F1" w:rsidP="004C56F1">
      <w:pPr>
        <w:ind w:left="720" w:hanging="720"/>
        <w:rPr>
          <w:bCs/>
          <w:sz w:val="22"/>
          <w:szCs w:val="22"/>
        </w:rPr>
      </w:pPr>
      <w:r w:rsidRPr="003B79B8">
        <w:rPr>
          <w:bCs/>
          <w:sz w:val="22"/>
          <w:szCs w:val="22"/>
        </w:rPr>
        <w:t>Gilmer, TP, Stefancic, A, Ettner, SL, Manning WG, &amp; Tsemberis S. (2010). Effect of full-service partnerships on homelessness, use and costs of mental health services, and quality of life among adults with serious mental illness.  Archives of General Psychiatry 67(6): 645-652.</w:t>
      </w:r>
    </w:p>
    <w:p w14:paraId="06720571" w14:textId="77777777" w:rsidR="004C56F1" w:rsidRPr="003B79B8" w:rsidRDefault="004C56F1" w:rsidP="004C56F1">
      <w:pPr>
        <w:rPr>
          <w:bCs/>
          <w:sz w:val="22"/>
          <w:szCs w:val="22"/>
        </w:rPr>
      </w:pPr>
    </w:p>
    <w:p w14:paraId="78BF3A22" w14:textId="77777777" w:rsidR="004C56F1" w:rsidRDefault="004C56F1" w:rsidP="004C56F1">
      <w:pPr>
        <w:spacing w:after="240"/>
        <w:ind w:left="720" w:hanging="720"/>
        <w:rPr>
          <w:sz w:val="23"/>
          <w:szCs w:val="23"/>
        </w:rPr>
      </w:pPr>
      <w:r>
        <w:rPr>
          <w:sz w:val="23"/>
          <w:szCs w:val="23"/>
        </w:rPr>
        <w:t xml:space="preserve">McHugo, G. J., Drake, R. E., Whitley, R., Bond, G. R., Campbell, K., Rapp, C. A., Goldman, H. H., Lutz, W. J., &amp; Finnerty, M. T. (2007). Fidelity outcomes in the National Implementing Evidence-Based Practices Project. </w:t>
      </w:r>
      <w:r>
        <w:rPr>
          <w:i/>
          <w:iCs/>
          <w:sz w:val="23"/>
          <w:szCs w:val="23"/>
        </w:rPr>
        <w:t xml:space="preserve">Psychiatric Services, 58, </w:t>
      </w:r>
      <w:r>
        <w:rPr>
          <w:sz w:val="23"/>
          <w:szCs w:val="23"/>
        </w:rPr>
        <w:t>1279-1284.</w:t>
      </w:r>
    </w:p>
    <w:p w14:paraId="46CA38FE" w14:textId="77777777" w:rsidR="004C56F1" w:rsidRDefault="004C56F1" w:rsidP="004C56F1">
      <w:pPr>
        <w:spacing w:after="240"/>
        <w:ind w:left="720" w:hanging="720"/>
        <w:rPr>
          <w:sz w:val="22"/>
          <w:szCs w:val="22"/>
        </w:rPr>
      </w:pPr>
      <w:r>
        <w:rPr>
          <w:sz w:val="22"/>
          <w:szCs w:val="22"/>
        </w:rPr>
        <w:t xml:space="preserve">Tsemberis, S. (2010). </w:t>
      </w:r>
      <w:r>
        <w:rPr>
          <w:i/>
          <w:iCs/>
          <w:sz w:val="22"/>
          <w:szCs w:val="22"/>
        </w:rPr>
        <w:t xml:space="preserve">Housing First: The Pathways model to end homelessness for people with mental illness and addiction. </w:t>
      </w:r>
      <w:r>
        <w:rPr>
          <w:sz w:val="22"/>
          <w:szCs w:val="22"/>
        </w:rPr>
        <w:t>Hazelden: Minnesota.</w:t>
      </w:r>
    </w:p>
    <w:p w14:paraId="0FC37A79" w14:textId="77777777" w:rsidR="004C56F1" w:rsidRDefault="004C56F1" w:rsidP="004C56F1">
      <w:pPr>
        <w:rPr>
          <w:bCs/>
          <w:sz w:val="22"/>
          <w:szCs w:val="22"/>
          <w:u w:val="single"/>
        </w:rPr>
      </w:pPr>
    </w:p>
    <w:p w14:paraId="7F71A56D" w14:textId="77777777" w:rsidR="00191760" w:rsidRDefault="00191760" w:rsidP="004C56F1">
      <w:pPr>
        <w:rPr>
          <w:bCs/>
          <w:sz w:val="22"/>
          <w:szCs w:val="22"/>
          <w:u w:val="single"/>
        </w:rPr>
        <w:sectPr w:rsidR="00191760" w:rsidSect="00591EFB">
          <w:footerReference w:type="default" r:id="rId11"/>
          <w:pgSz w:w="12240" w:h="15840"/>
          <w:pgMar w:top="1440" w:right="1440" w:bottom="1440" w:left="1440" w:header="720" w:footer="288" w:gutter="0"/>
          <w:cols w:space="720"/>
          <w:docGrid w:linePitch="360"/>
        </w:sectPr>
      </w:pPr>
    </w:p>
    <w:p w14:paraId="6D1394DA" w14:textId="77777777" w:rsidR="00A9331E" w:rsidRPr="00AC1B0D" w:rsidRDefault="00A9331E" w:rsidP="00A9331E">
      <w:pPr>
        <w:ind w:left="720" w:hanging="720"/>
        <w:jc w:val="center"/>
        <w:rPr>
          <w:b/>
          <w:sz w:val="22"/>
          <w:szCs w:val="22"/>
          <w:u w:val="single"/>
        </w:rPr>
      </w:pPr>
      <w:r w:rsidRPr="00AC1B0D">
        <w:rPr>
          <w:b/>
          <w:u w:val="single"/>
        </w:rPr>
        <w:lastRenderedPageBreak/>
        <w:t>LIST OF ATTACHMENTS</w:t>
      </w:r>
    </w:p>
    <w:p w14:paraId="23425D1E" w14:textId="77777777" w:rsidR="00A9331E" w:rsidRDefault="00A9331E" w:rsidP="00A9331E">
      <w:pPr>
        <w:ind w:left="720" w:hanging="720"/>
        <w:rPr>
          <w:bCs/>
          <w:sz w:val="22"/>
          <w:szCs w:val="22"/>
        </w:rPr>
      </w:pPr>
    </w:p>
    <w:p w14:paraId="43FB0D5B" w14:textId="56EA695B" w:rsidR="00A9331E" w:rsidRPr="00AC1B0D" w:rsidRDefault="00A9331E" w:rsidP="00A9331E">
      <w:pPr>
        <w:spacing w:after="120"/>
        <w:ind w:left="720" w:hanging="720"/>
        <w:rPr>
          <w:bCs/>
        </w:rPr>
      </w:pPr>
      <w:r>
        <w:rPr>
          <w:b/>
        </w:rPr>
        <w:t>1</w:t>
      </w:r>
      <w:r w:rsidR="00AC2DE0">
        <w:rPr>
          <w:b/>
        </w:rPr>
        <w:t xml:space="preserve">:  </w:t>
      </w:r>
      <w:r w:rsidRPr="00AC1B0D">
        <w:rPr>
          <w:bCs/>
        </w:rPr>
        <w:t>Project Director Telephone</w:t>
      </w:r>
      <w:r>
        <w:rPr>
          <w:bCs/>
        </w:rPr>
        <w:t xml:space="preserve"> Interview &amp; Web Survey</w:t>
      </w:r>
    </w:p>
    <w:p w14:paraId="113C4483" w14:textId="08A210E4" w:rsidR="00A9331E" w:rsidRPr="00AC1B0D" w:rsidRDefault="00A9331E" w:rsidP="00A9331E">
      <w:pPr>
        <w:spacing w:after="120"/>
        <w:ind w:left="720" w:hanging="720"/>
        <w:rPr>
          <w:bCs/>
        </w:rPr>
      </w:pPr>
      <w:r>
        <w:rPr>
          <w:b/>
        </w:rPr>
        <w:t>2</w:t>
      </w:r>
      <w:r w:rsidR="00AC2DE0">
        <w:rPr>
          <w:b/>
        </w:rPr>
        <w:t xml:space="preserve">:  </w:t>
      </w:r>
      <w:r w:rsidRPr="00AC1B0D">
        <w:rPr>
          <w:bCs/>
        </w:rPr>
        <w:t>Site Visit Guides &amp; Cost Questionnaire</w:t>
      </w:r>
    </w:p>
    <w:p w14:paraId="501D1102" w14:textId="4EA8A66B" w:rsidR="00A9331E" w:rsidRPr="00AC1B0D" w:rsidRDefault="00A9331E" w:rsidP="00A9331E">
      <w:pPr>
        <w:spacing w:after="120"/>
        <w:ind w:left="720" w:hanging="720"/>
        <w:rPr>
          <w:bCs/>
        </w:rPr>
      </w:pPr>
      <w:r>
        <w:rPr>
          <w:b/>
        </w:rPr>
        <w:t>3</w:t>
      </w:r>
      <w:r w:rsidR="00AC2DE0">
        <w:rPr>
          <w:b/>
        </w:rPr>
        <w:t xml:space="preserve">:  </w:t>
      </w:r>
      <w:r w:rsidRPr="00AC1B0D">
        <w:rPr>
          <w:bCs/>
        </w:rPr>
        <w:t>Evidence-based Practice (EBP) Self-Assessment Part 1 &amp; Part 2</w:t>
      </w:r>
    </w:p>
    <w:p w14:paraId="06225525" w14:textId="5F582EB3" w:rsidR="00A9331E" w:rsidRPr="00AC1B0D" w:rsidRDefault="00A9331E" w:rsidP="00A9331E">
      <w:pPr>
        <w:spacing w:after="120"/>
        <w:ind w:left="720" w:hanging="720"/>
        <w:rPr>
          <w:bCs/>
        </w:rPr>
      </w:pPr>
      <w:r>
        <w:rPr>
          <w:b/>
        </w:rPr>
        <w:t>4</w:t>
      </w:r>
      <w:r w:rsidR="00AC2DE0">
        <w:rPr>
          <w:b/>
        </w:rPr>
        <w:t xml:space="preserve">:  </w:t>
      </w:r>
      <w:r w:rsidRPr="00AC1B0D">
        <w:rPr>
          <w:bCs/>
        </w:rPr>
        <w:t>Permanent Supportive Housing (PSH) Self-Assessment</w:t>
      </w:r>
    </w:p>
    <w:p w14:paraId="2995A56D" w14:textId="77777777" w:rsidR="00A9331E" w:rsidRPr="004C2F68" w:rsidRDefault="00A9331E" w:rsidP="00A9331E">
      <w:pPr>
        <w:ind w:left="720" w:hanging="720"/>
        <w:rPr>
          <w:bCs/>
          <w:sz w:val="22"/>
          <w:szCs w:val="22"/>
        </w:rPr>
      </w:pPr>
    </w:p>
    <w:p w14:paraId="344BAFD0" w14:textId="77777777" w:rsidR="00A9331E" w:rsidRPr="00A9331E" w:rsidRDefault="00A9331E" w:rsidP="004C56F1">
      <w:pPr>
        <w:rPr>
          <w:bCs/>
          <w:sz w:val="22"/>
          <w:szCs w:val="22"/>
        </w:rPr>
      </w:pPr>
    </w:p>
    <w:p w14:paraId="593E1AFE" w14:textId="77777777" w:rsidR="004C56F1" w:rsidRPr="00D71DF4" w:rsidRDefault="004C56F1" w:rsidP="004C56F1">
      <w:pPr>
        <w:ind w:left="720" w:hanging="720"/>
        <w:rPr>
          <w:bCs/>
          <w:sz w:val="22"/>
          <w:szCs w:val="22"/>
          <w:u w:val="single"/>
        </w:rPr>
      </w:pPr>
    </w:p>
    <w:p w14:paraId="3E9E7477" w14:textId="77777777" w:rsidR="004C56F1" w:rsidRPr="00D71DF4" w:rsidRDefault="004C56F1" w:rsidP="004C56F1">
      <w:pPr>
        <w:ind w:left="720" w:hanging="720"/>
        <w:rPr>
          <w:bCs/>
          <w:sz w:val="22"/>
          <w:szCs w:val="22"/>
          <w:u w:val="single"/>
        </w:rPr>
      </w:pPr>
    </w:p>
    <w:p w14:paraId="5FE6CC2D" w14:textId="77777777" w:rsidR="004C56F1" w:rsidRPr="008C607D" w:rsidRDefault="004C56F1" w:rsidP="00CA38A9"/>
    <w:sectPr w:rsidR="004C56F1" w:rsidRPr="008C607D" w:rsidSect="00591EFB">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DFF0A" w14:textId="77777777" w:rsidR="00835469" w:rsidRDefault="00835469" w:rsidP="009174B7">
      <w:r>
        <w:separator/>
      </w:r>
    </w:p>
  </w:endnote>
  <w:endnote w:type="continuationSeparator" w:id="0">
    <w:p w14:paraId="68972269" w14:textId="77777777" w:rsidR="00835469" w:rsidRDefault="00835469" w:rsidP="0091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annon Book">
    <w:altName w:val="Times New Roman"/>
    <w:charset w:val="00"/>
    <w:family w:val="auto"/>
    <w:pitch w:val="default"/>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570114"/>
      <w:docPartObj>
        <w:docPartGallery w:val="Page Numbers (Bottom of Page)"/>
        <w:docPartUnique/>
      </w:docPartObj>
    </w:sdtPr>
    <w:sdtEndPr/>
    <w:sdtContent>
      <w:p w14:paraId="50B6E599" w14:textId="77777777" w:rsidR="00960C01" w:rsidRDefault="00960C01">
        <w:pPr>
          <w:pStyle w:val="Footer"/>
          <w:jc w:val="right"/>
        </w:pPr>
        <w:r>
          <w:fldChar w:fldCharType="begin"/>
        </w:r>
        <w:r>
          <w:instrText xml:space="preserve"> PAGE   \* MERGEFORMAT </w:instrText>
        </w:r>
        <w:r>
          <w:fldChar w:fldCharType="separate"/>
        </w:r>
        <w:r w:rsidR="00AC2DE0">
          <w:rPr>
            <w:noProof/>
          </w:rPr>
          <w:t>1</w:t>
        </w:r>
        <w:r>
          <w:rPr>
            <w:noProof/>
          </w:rPr>
          <w:fldChar w:fldCharType="end"/>
        </w:r>
      </w:p>
    </w:sdtContent>
  </w:sdt>
  <w:p w14:paraId="139308E9" w14:textId="77777777" w:rsidR="00960C01" w:rsidRDefault="0096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8BF3B" w14:textId="77777777" w:rsidR="00835469" w:rsidRDefault="00835469" w:rsidP="009174B7">
      <w:r>
        <w:separator/>
      </w:r>
    </w:p>
  </w:footnote>
  <w:footnote w:type="continuationSeparator" w:id="0">
    <w:p w14:paraId="386E83CA" w14:textId="77777777" w:rsidR="00835469" w:rsidRDefault="00835469" w:rsidP="00917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595A"/>
    <w:multiLevelType w:val="hybridMultilevel"/>
    <w:tmpl w:val="503E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04952"/>
    <w:multiLevelType w:val="hybridMultilevel"/>
    <w:tmpl w:val="3EA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913"/>
    <w:multiLevelType w:val="hybridMultilevel"/>
    <w:tmpl w:val="552274EA"/>
    <w:lvl w:ilvl="0" w:tplc="B524B256">
      <w:start w:val="3"/>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33BA5"/>
    <w:multiLevelType w:val="hybridMultilevel"/>
    <w:tmpl w:val="E07A3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7643"/>
    <w:multiLevelType w:val="hybridMultilevel"/>
    <w:tmpl w:val="7A8A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E06FB"/>
    <w:multiLevelType w:val="hybridMultilevel"/>
    <w:tmpl w:val="E6784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45924"/>
    <w:multiLevelType w:val="hybridMultilevel"/>
    <w:tmpl w:val="14C2C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E4482"/>
    <w:multiLevelType w:val="hybridMultilevel"/>
    <w:tmpl w:val="C2D8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A06A2A"/>
    <w:multiLevelType w:val="hybridMultilevel"/>
    <w:tmpl w:val="0B6C9D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E941BEA"/>
    <w:multiLevelType w:val="hybridMultilevel"/>
    <w:tmpl w:val="3678E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961D9"/>
    <w:multiLevelType w:val="hybridMultilevel"/>
    <w:tmpl w:val="7A6AAC7E"/>
    <w:lvl w:ilvl="0" w:tplc="F2CC1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B7053"/>
    <w:multiLevelType w:val="hybridMultilevel"/>
    <w:tmpl w:val="5F2C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B20A9"/>
    <w:multiLevelType w:val="hybridMultilevel"/>
    <w:tmpl w:val="01FA2798"/>
    <w:lvl w:ilvl="0" w:tplc="46EAE2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15:restartNumberingAfterBreak="0">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A18FA"/>
    <w:multiLevelType w:val="hybridMultilevel"/>
    <w:tmpl w:val="D76E4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72BBD"/>
    <w:multiLevelType w:val="hybridMultilevel"/>
    <w:tmpl w:val="6A50FD92"/>
    <w:lvl w:ilvl="0" w:tplc="04090003">
      <w:start w:val="1"/>
      <w:numFmt w:val="bullet"/>
      <w:lvlText w:val="o"/>
      <w:lvlJc w:val="left"/>
      <w:pPr>
        <w:ind w:left="1440" w:hanging="360"/>
      </w:pPr>
      <w:rPr>
        <w:rFonts w:ascii="Courier New" w:hAnsi="Courier New" w:cs="Courier New" w:hint="default"/>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C3600"/>
    <w:multiLevelType w:val="hybridMultilevel"/>
    <w:tmpl w:val="84205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B3A16"/>
    <w:multiLevelType w:val="hybridMultilevel"/>
    <w:tmpl w:val="5CCE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81E5B"/>
    <w:multiLevelType w:val="hybridMultilevel"/>
    <w:tmpl w:val="7AC40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51FA8"/>
    <w:multiLevelType w:val="hybridMultilevel"/>
    <w:tmpl w:val="FEC4488C"/>
    <w:lvl w:ilvl="0" w:tplc="D8B0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84488"/>
    <w:multiLevelType w:val="hybridMultilevel"/>
    <w:tmpl w:val="C63A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0"/>
  </w:num>
  <w:num w:numId="4">
    <w:abstractNumId w:val="0"/>
  </w:num>
  <w:num w:numId="5">
    <w:abstractNumId w:val="1"/>
  </w:num>
  <w:num w:numId="6">
    <w:abstractNumId w:val="4"/>
  </w:num>
  <w:num w:numId="7">
    <w:abstractNumId w:val="11"/>
  </w:num>
  <w:num w:numId="8">
    <w:abstractNumId w:val="2"/>
  </w:num>
  <w:num w:numId="9">
    <w:abstractNumId w:val="16"/>
  </w:num>
  <w:num w:numId="10">
    <w:abstractNumId w:val="15"/>
  </w:num>
  <w:num w:numId="11">
    <w:abstractNumId w:val="22"/>
  </w:num>
  <w:num w:numId="12">
    <w:abstractNumId w:val="10"/>
  </w:num>
  <w:num w:numId="13">
    <w:abstractNumId w:val="7"/>
  </w:num>
  <w:num w:numId="14">
    <w:abstractNumId w:val="14"/>
  </w:num>
  <w:num w:numId="15">
    <w:abstractNumId w:val="18"/>
  </w:num>
  <w:num w:numId="16">
    <w:abstractNumId w:val="23"/>
  </w:num>
  <w:num w:numId="17">
    <w:abstractNumId w:val="21"/>
  </w:num>
  <w:num w:numId="18">
    <w:abstractNumId w:val="9"/>
  </w:num>
  <w:num w:numId="19">
    <w:abstractNumId w:val="3"/>
  </w:num>
  <w:num w:numId="20">
    <w:abstractNumId w:val="17"/>
  </w:num>
  <w:num w:numId="21">
    <w:abstractNumId w:val="19"/>
  </w:num>
  <w:num w:numId="22">
    <w:abstractNumId w:val="6"/>
  </w:num>
  <w:num w:numId="23">
    <w:abstractNumId w:val="5"/>
  </w:num>
  <w:num w:numId="24">
    <w:abstractNumId w:val="12"/>
  </w:num>
  <w:num w:numId="2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0C"/>
    <w:rsid w:val="000013EB"/>
    <w:rsid w:val="0000393C"/>
    <w:rsid w:val="0001314D"/>
    <w:rsid w:val="00014CA0"/>
    <w:rsid w:val="0001568C"/>
    <w:rsid w:val="0001645A"/>
    <w:rsid w:val="00023B0C"/>
    <w:rsid w:val="000243CF"/>
    <w:rsid w:val="00024473"/>
    <w:rsid w:val="0002587E"/>
    <w:rsid w:val="0003144E"/>
    <w:rsid w:val="000319F1"/>
    <w:rsid w:val="0003285D"/>
    <w:rsid w:val="0003387C"/>
    <w:rsid w:val="0003709C"/>
    <w:rsid w:val="00040AC3"/>
    <w:rsid w:val="0004372D"/>
    <w:rsid w:val="00043EA3"/>
    <w:rsid w:val="00045F2D"/>
    <w:rsid w:val="00047068"/>
    <w:rsid w:val="000512FB"/>
    <w:rsid w:val="00053098"/>
    <w:rsid w:val="0005485A"/>
    <w:rsid w:val="0005780B"/>
    <w:rsid w:val="000614BA"/>
    <w:rsid w:val="000617D7"/>
    <w:rsid w:val="00062802"/>
    <w:rsid w:val="0006720D"/>
    <w:rsid w:val="00071D3B"/>
    <w:rsid w:val="00072F86"/>
    <w:rsid w:val="000730DC"/>
    <w:rsid w:val="00074877"/>
    <w:rsid w:val="0007518A"/>
    <w:rsid w:val="00075D79"/>
    <w:rsid w:val="00081639"/>
    <w:rsid w:val="00081E1D"/>
    <w:rsid w:val="0008315E"/>
    <w:rsid w:val="00085CF7"/>
    <w:rsid w:val="00085FE1"/>
    <w:rsid w:val="00090C7C"/>
    <w:rsid w:val="000976DF"/>
    <w:rsid w:val="000A218D"/>
    <w:rsid w:val="000A2B29"/>
    <w:rsid w:val="000A37BB"/>
    <w:rsid w:val="000A7C51"/>
    <w:rsid w:val="000B00AD"/>
    <w:rsid w:val="000B0704"/>
    <w:rsid w:val="000B12AE"/>
    <w:rsid w:val="000B440A"/>
    <w:rsid w:val="000B6AAE"/>
    <w:rsid w:val="000B6C5A"/>
    <w:rsid w:val="000B6EE3"/>
    <w:rsid w:val="000C73D2"/>
    <w:rsid w:val="000C7924"/>
    <w:rsid w:val="000D3E87"/>
    <w:rsid w:val="000E01EF"/>
    <w:rsid w:val="000E0CF6"/>
    <w:rsid w:val="000E4466"/>
    <w:rsid w:val="000F25D3"/>
    <w:rsid w:val="000F471F"/>
    <w:rsid w:val="000F562C"/>
    <w:rsid w:val="000F71DE"/>
    <w:rsid w:val="00100478"/>
    <w:rsid w:val="0010229F"/>
    <w:rsid w:val="00113DED"/>
    <w:rsid w:val="001148C3"/>
    <w:rsid w:val="0011612E"/>
    <w:rsid w:val="00116FE4"/>
    <w:rsid w:val="001302EB"/>
    <w:rsid w:val="00132568"/>
    <w:rsid w:val="00136FCE"/>
    <w:rsid w:val="001407EA"/>
    <w:rsid w:val="001437D6"/>
    <w:rsid w:val="00147DB1"/>
    <w:rsid w:val="0015005D"/>
    <w:rsid w:val="00151583"/>
    <w:rsid w:val="001523CD"/>
    <w:rsid w:val="00154D8E"/>
    <w:rsid w:val="00155A8D"/>
    <w:rsid w:val="00161263"/>
    <w:rsid w:val="001613A5"/>
    <w:rsid w:val="00165A9D"/>
    <w:rsid w:val="0017095C"/>
    <w:rsid w:val="00171623"/>
    <w:rsid w:val="00171F42"/>
    <w:rsid w:val="00173355"/>
    <w:rsid w:val="001736F5"/>
    <w:rsid w:val="00176A09"/>
    <w:rsid w:val="00184A38"/>
    <w:rsid w:val="00185B01"/>
    <w:rsid w:val="00191760"/>
    <w:rsid w:val="00192091"/>
    <w:rsid w:val="00192573"/>
    <w:rsid w:val="00193046"/>
    <w:rsid w:val="00193D90"/>
    <w:rsid w:val="00193FA2"/>
    <w:rsid w:val="00194A62"/>
    <w:rsid w:val="00194D8A"/>
    <w:rsid w:val="00197065"/>
    <w:rsid w:val="001A169C"/>
    <w:rsid w:val="001A3D89"/>
    <w:rsid w:val="001B2A39"/>
    <w:rsid w:val="001B4C28"/>
    <w:rsid w:val="001B5650"/>
    <w:rsid w:val="001B5895"/>
    <w:rsid w:val="001B64A4"/>
    <w:rsid w:val="001C3AE7"/>
    <w:rsid w:val="001C58E1"/>
    <w:rsid w:val="001D19F7"/>
    <w:rsid w:val="001D2F63"/>
    <w:rsid w:val="001D52FB"/>
    <w:rsid w:val="001D5B60"/>
    <w:rsid w:val="001D5C9C"/>
    <w:rsid w:val="001E49E7"/>
    <w:rsid w:val="001F0BC1"/>
    <w:rsid w:val="001F3DBB"/>
    <w:rsid w:val="001F59C4"/>
    <w:rsid w:val="002009F8"/>
    <w:rsid w:val="00201AA6"/>
    <w:rsid w:val="00203BAF"/>
    <w:rsid w:val="00203D3F"/>
    <w:rsid w:val="00204EAA"/>
    <w:rsid w:val="00205B36"/>
    <w:rsid w:val="002077F4"/>
    <w:rsid w:val="00214550"/>
    <w:rsid w:val="002160BC"/>
    <w:rsid w:val="00217448"/>
    <w:rsid w:val="00220593"/>
    <w:rsid w:val="002221E3"/>
    <w:rsid w:val="00222310"/>
    <w:rsid w:val="00223D9F"/>
    <w:rsid w:val="00224D12"/>
    <w:rsid w:val="00226A0C"/>
    <w:rsid w:val="00226B4D"/>
    <w:rsid w:val="00227182"/>
    <w:rsid w:val="002271D5"/>
    <w:rsid w:val="0022750D"/>
    <w:rsid w:val="0022770C"/>
    <w:rsid w:val="00230B84"/>
    <w:rsid w:val="002312A8"/>
    <w:rsid w:val="002347A9"/>
    <w:rsid w:val="00240218"/>
    <w:rsid w:val="002420A0"/>
    <w:rsid w:val="0024393C"/>
    <w:rsid w:val="0024411A"/>
    <w:rsid w:val="00244595"/>
    <w:rsid w:val="002455AE"/>
    <w:rsid w:val="00251482"/>
    <w:rsid w:val="00251FF2"/>
    <w:rsid w:val="00253290"/>
    <w:rsid w:val="002554AE"/>
    <w:rsid w:val="00257512"/>
    <w:rsid w:val="00266063"/>
    <w:rsid w:val="00266EC6"/>
    <w:rsid w:val="00266FD9"/>
    <w:rsid w:val="00267A5E"/>
    <w:rsid w:val="00272A96"/>
    <w:rsid w:val="002730B4"/>
    <w:rsid w:val="0027381A"/>
    <w:rsid w:val="00274591"/>
    <w:rsid w:val="00280B8F"/>
    <w:rsid w:val="00281E8A"/>
    <w:rsid w:val="002822B2"/>
    <w:rsid w:val="002931EB"/>
    <w:rsid w:val="002934E5"/>
    <w:rsid w:val="0029532D"/>
    <w:rsid w:val="00296174"/>
    <w:rsid w:val="002964E5"/>
    <w:rsid w:val="002976ED"/>
    <w:rsid w:val="002A042A"/>
    <w:rsid w:val="002A1F8F"/>
    <w:rsid w:val="002A3FD3"/>
    <w:rsid w:val="002A6B07"/>
    <w:rsid w:val="002A74A1"/>
    <w:rsid w:val="002B12CB"/>
    <w:rsid w:val="002B3630"/>
    <w:rsid w:val="002B54F1"/>
    <w:rsid w:val="002B618C"/>
    <w:rsid w:val="002C120D"/>
    <w:rsid w:val="002C3081"/>
    <w:rsid w:val="002C3A0A"/>
    <w:rsid w:val="002C49F6"/>
    <w:rsid w:val="002C4BAB"/>
    <w:rsid w:val="002C5A92"/>
    <w:rsid w:val="002C5D78"/>
    <w:rsid w:val="002D0DDE"/>
    <w:rsid w:val="002D203E"/>
    <w:rsid w:val="002D6103"/>
    <w:rsid w:val="002D684F"/>
    <w:rsid w:val="002D78D9"/>
    <w:rsid w:val="002D7A39"/>
    <w:rsid w:val="002D7B68"/>
    <w:rsid w:val="002E0271"/>
    <w:rsid w:val="002E02F4"/>
    <w:rsid w:val="002E0463"/>
    <w:rsid w:val="002E1027"/>
    <w:rsid w:val="002E1AA8"/>
    <w:rsid w:val="002E1CCC"/>
    <w:rsid w:val="002E7224"/>
    <w:rsid w:val="002F1598"/>
    <w:rsid w:val="002F1813"/>
    <w:rsid w:val="00300961"/>
    <w:rsid w:val="0030222F"/>
    <w:rsid w:val="00302283"/>
    <w:rsid w:val="00302524"/>
    <w:rsid w:val="003064B4"/>
    <w:rsid w:val="0031091C"/>
    <w:rsid w:val="00315BBD"/>
    <w:rsid w:val="0031726E"/>
    <w:rsid w:val="003213C0"/>
    <w:rsid w:val="00324965"/>
    <w:rsid w:val="00333989"/>
    <w:rsid w:val="00333B32"/>
    <w:rsid w:val="003372F1"/>
    <w:rsid w:val="00340EAE"/>
    <w:rsid w:val="00341091"/>
    <w:rsid w:val="00342894"/>
    <w:rsid w:val="003478E6"/>
    <w:rsid w:val="003524DB"/>
    <w:rsid w:val="003539F6"/>
    <w:rsid w:val="0035519F"/>
    <w:rsid w:val="00355F05"/>
    <w:rsid w:val="00355FF5"/>
    <w:rsid w:val="00363223"/>
    <w:rsid w:val="00367267"/>
    <w:rsid w:val="00367E98"/>
    <w:rsid w:val="003707E0"/>
    <w:rsid w:val="0037159E"/>
    <w:rsid w:val="00371AE4"/>
    <w:rsid w:val="00371B20"/>
    <w:rsid w:val="00371E58"/>
    <w:rsid w:val="00372B0D"/>
    <w:rsid w:val="0038438D"/>
    <w:rsid w:val="00384602"/>
    <w:rsid w:val="00384EAF"/>
    <w:rsid w:val="0039150F"/>
    <w:rsid w:val="00397743"/>
    <w:rsid w:val="003A4FA4"/>
    <w:rsid w:val="003A57CB"/>
    <w:rsid w:val="003A5C87"/>
    <w:rsid w:val="003B79B8"/>
    <w:rsid w:val="003C20B6"/>
    <w:rsid w:val="003C2595"/>
    <w:rsid w:val="003C2E65"/>
    <w:rsid w:val="003C4FEA"/>
    <w:rsid w:val="003C57D2"/>
    <w:rsid w:val="003C5D7A"/>
    <w:rsid w:val="003D043E"/>
    <w:rsid w:val="003D06B9"/>
    <w:rsid w:val="003D174B"/>
    <w:rsid w:val="003D3D6A"/>
    <w:rsid w:val="003D3E75"/>
    <w:rsid w:val="003D4CA9"/>
    <w:rsid w:val="003D67C3"/>
    <w:rsid w:val="003D6E0B"/>
    <w:rsid w:val="003E0481"/>
    <w:rsid w:val="003E115D"/>
    <w:rsid w:val="003E4875"/>
    <w:rsid w:val="003E58D2"/>
    <w:rsid w:val="003E676D"/>
    <w:rsid w:val="003E6A3F"/>
    <w:rsid w:val="003F2232"/>
    <w:rsid w:val="003F33D8"/>
    <w:rsid w:val="003F68F0"/>
    <w:rsid w:val="003F6D21"/>
    <w:rsid w:val="003F761C"/>
    <w:rsid w:val="003F7F12"/>
    <w:rsid w:val="00400655"/>
    <w:rsid w:val="00401FB4"/>
    <w:rsid w:val="004060DE"/>
    <w:rsid w:val="00407345"/>
    <w:rsid w:val="00412B69"/>
    <w:rsid w:val="004143CF"/>
    <w:rsid w:val="00414DB1"/>
    <w:rsid w:val="0041557F"/>
    <w:rsid w:val="00416AB8"/>
    <w:rsid w:val="00417187"/>
    <w:rsid w:val="004171D5"/>
    <w:rsid w:val="00417750"/>
    <w:rsid w:val="0041794F"/>
    <w:rsid w:val="00417D68"/>
    <w:rsid w:val="004200BE"/>
    <w:rsid w:val="0042074A"/>
    <w:rsid w:val="00421E1B"/>
    <w:rsid w:val="00421F85"/>
    <w:rsid w:val="00422F19"/>
    <w:rsid w:val="00430F6B"/>
    <w:rsid w:val="0043276B"/>
    <w:rsid w:val="0043289B"/>
    <w:rsid w:val="00432C1B"/>
    <w:rsid w:val="004340FE"/>
    <w:rsid w:val="0044046A"/>
    <w:rsid w:val="00443197"/>
    <w:rsid w:val="0044402C"/>
    <w:rsid w:val="004448C1"/>
    <w:rsid w:val="00444BEA"/>
    <w:rsid w:val="004470FC"/>
    <w:rsid w:val="004529B5"/>
    <w:rsid w:val="00454700"/>
    <w:rsid w:val="004557BA"/>
    <w:rsid w:val="00461B26"/>
    <w:rsid w:val="00463082"/>
    <w:rsid w:val="00466523"/>
    <w:rsid w:val="00466E3D"/>
    <w:rsid w:val="00470D11"/>
    <w:rsid w:val="00471088"/>
    <w:rsid w:val="00473A6C"/>
    <w:rsid w:val="0047457B"/>
    <w:rsid w:val="00474B71"/>
    <w:rsid w:val="00483170"/>
    <w:rsid w:val="004839CF"/>
    <w:rsid w:val="004848F8"/>
    <w:rsid w:val="00490B4A"/>
    <w:rsid w:val="004926EC"/>
    <w:rsid w:val="00492E90"/>
    <w:rsid w:val="004941E4"/>
    <w:rsid w:val="00494498"/>
    <w:rsid w:val="00494CB2"/>
    <w:rsid w:val="004A00E4"/>
    <w:rsid w:val="004A11CE"/>
    <w:rsid w:val="004A1D85"/>
    <w:rsid w:val="004A535A"/>
    <w:rsid w:val="004A538E"/>
    <w:rsid w:val="004A751B"/>
    <w:rsid w:val="004B07AA"/>
    <w:rsid w:val="004B18FE"/>
    <w:rsid w:val="004B322D"/>
    <w:rsid w:val="004B46DC"/>
    <w:rsid w:val="004B5996"/>
    <w:rsid w:val="004B5C10"/>
    <w:rsid w:val="004B7621"/>
    <w:rsid w:val="004C1431"/>
    <w:rsid w:val="004C2A53"/>
    <w:rsid w:val="004C2F68"/>
    <w:rsid w:val="004C5149"/>
    <w:rsid w:val="004C56F1"/>
    <w:rsid w:val="004C62E7"/>
    <w:rsid w:val="004C663F"/>
    <w:rsid w:val="004C71CD"/>
    <w:rsid w:val="004D0299"/>
    <w:rsid w:val="004D279C"/>
    <w:rsid w:val="004D32BA"/>
    <w:rsid w:val="004D442A"/>
    <w:rsid w:val="004D5719"/>
    <w:rsid w:val="004D5A84"/>
    <w:rsid w:val="004D5D4D"/>
    <w:rsid w:val="004D6FF3"/>
    <w:rsid w:val="004D7F6E"/>
    <w:rsid w:val="004E06C0"/>
    <w:rsid w:val="004E0811"/>
    <w:rsid w:val="004E0BB8"/>
    <w:rsid w:val="004E0CA1"/>
    <w:rsid w:val="004E2554"/>
    <w:rsid w:val="004E41A2"/>
    <w:rsid w:val="004E4C4C"/>
    <w:rsid w:val="004F1080"/>
    <w:rsid w:val="004F1A0A"/>
    <w:rsid w:val="004F3164"/>
    <w:rsid w:val="004F3C96"/>
    <w:rsid w:val="004F4B56"/>
    <w:rsid w:val="004F5DD8"/>
    <w:rsid w:val="004F6FBB"/>
    <w:rsid w:val="004F7C94"/>
    <w:rsid w:val="0050074E"/>
    <w:rsid w:val="00500C87"/>
    <w:rsid w:val="005012D7"/>
    <w:rsid w:val="0050534D"/>
    <w:rsid w:val="0050627F"/>
    <w:rsid w:val="00507F30"/>
    <w:rsid w:val="00510510"/>
    <w:rsid w:val="00512D70"/>
    <w:rsid w:val="00513536"/>
    <w:rsid w:val="00513B3F"/>
    <w:rsid w:val="005146D7"/>
    <w:rsid w:val="00515A52"/>
    <w:rsid w:val="0051731C"/>
    <w:rsid w:val="00521FD2"/>
    <w:rsid w:val="00525551"/>
    <w:rsid w:val="00530661"/>
    <w:rsid w:val="00530688"/>
    <w:rsid w:val="00530D74"/>
    <w:rsid w:val="00536555"/>
    <w:rsid w:val="00537A5B"/>
    <w:rsid w:val="00541F0E"/>
    <w:rsid w:val="005434B8"/>
    <w:rsid w:val="005445E2"/>
    <w:rsid w:val="00544727"/>
    <w:rsid w:val="005453FE"/>
    <w:rsid w:val="005501F9"/>
    <w:rsid w:val="00556DE7"/>
    <w:rsid w:val="0055726F"/>
    <w:rsid w:val="00560F90"/>
    <w:rsid w:val="0056194F"/>
    <w:rsid w:val="00561D9B"/>
    <w:rsid w:val="005629DE"/>
    <w:rsid w:val="00562A59"/>
    <w:rsid w:val="005637BA"/>
    <w:rsid w:val="00564B58"/>
    <w:rsid w:val="005664C7"/>
    <w:rsid w:val="00567DD4"/>
    <w:rsid w:val="00570D16"/>
    <w:rsid w:val="00571156"/>
    <w:rsid w:val="00571989"/>
    <w:rsid w:val="00572350"/>
    <w:rsid w:val="00574886"/>
    <w:rsid w:val="0058180F"/>
    <w:rsid w:val="00581ECD"/>
    <w:rsid w:val="005859FC"/>
    <w:rsid w:val="00591EFB"/>
    <w:rsid w:val="0059222F"/>
    <w:rsid w:val="0059491B"/>
    <w:rsid w:val="0059511F"/>
    <w:rsid w:val="005A03DD"/>
    <w:rsid w:val="005A27E2"/>
    <w:rsid w:val="005A2A6E"/>
    <w:rsid w:val="005A2A8D"/>
    <w:rsid w:val="005A2EDD"/>
    <w:rsid w:val="005A4501"/>
    <w:rsid w:val="005A6637"/>
    <w:rsid w:val="005B00E2"/>
    <w:rsid w:val="005B09EA"/>
    <w:rsid w:val="005B2118"/>
    <w:rsid w:val="005B70B4"/>
    <w:rsid w:val="005C23B6"/>
    <w:rsid w:val="005C370F"/>
    <w:rsid w:val="005C5F31"/>
    <w:rsid w:val="005C7B74"/>
    <w:rsid w:val="005D13BF"/>
    <w:rsid w:val="005E21F2"/>
    <w:rsid w:val="005E2343"/>
    <w:rsid w:val="005E29A6"/>
    <w:rsid w:val="005E523D"/>
    <w:rsid w:val="005E59CF"/>
    <w:rsid w:val="005E60FD"/>
    <w:rsid w:val="005E6165"/>
    <w:rsid w:val="005E67F7"/>
    <w:rsid w:val="005E71B1"/>
    <w:rsid w:val="005F2D17"/>
    <w:rsid w:val="005F3BC1"/>
    <w:rsid w:val="005F4056"/>
    <w:rsid w:val="005F47DE"/>
    <w:rsid w:val="005F5BED"/>
    <w:rsid w:val="005F79C6"/>
    <w:rsid w:val="00601EBD"/>
    <w:rsid w:val="00602348"/>
    <w:rsid w:val="0060263E"/>
    <w:rsid w:val="00602F55"/>
    <w:rsid w:val="00604BEB"/>
    <w:rsid w:val="006069EB"/>
    <w:rsid w:val="00611BF8"/>
    <w:rsid w:val="006124C1"/>
    <w:rsid w:val="00612D29"/>
    <w:rsid w:val="00614EBF"/>
    <w:rsid w:val="006176D8"/>
    <w:rsid w:val="00617925"/>
    <w:rsid w:val="00623320"/>
    <w:rsid w:val="00624882"/>
    <w:rsid w:val="006310B4"/>
    <w:rsid w:val="0063271D"/>
    <w:rsid w:val="00633198"/>
    <w:rsid w:val="00634252"/>
    <w:rsid w:val="00635AD9"/>
    <w:rsid w:val="00635D74"/>
    <w:rsid w:val="00641B06"/>
    <w:rsid w:val="00643204"/>
    <w:rsid w:val="006432C7"/>
    <w:rsid w:val="00643B41"/>
    <w:rsid w:val="00644965"/>
    <w:rsid w:val="00644A90"/>
    <w:rsid w:val="00645779"/>
    <w:rsid w:val="0064633F"/>
    <w:rsid w:val="006477DE"/>
    <w:rsid w:val="0065199F"/>
    <w:rsid w:val="0065207E"/>
    <w:rsid w:val="00653756"/>
    <w:rsid w:val="00654982"/>
    <w:rsid w:val="00656C08"/>
    <w:rsid w:val="006575AB"/>
    <w:rsid w:val="0066151F"/>
    <w:rsid w:val="00661E5A"/>
    <w:rsid w:val="006664CC"/>
    <w:rsid w:val="00666637"/>
    <w:rsid w:val="00671994"/>
    <w:rsid w:val="00675178"/>
    <w:rsid w:val="00676C73"/>
    <w:rsid w:val="00677403"/>
    <w:rsid w:val="00680028"/>
    <w:rsid w:val="00681244"/>
    <w:rsid w:val="00683D53"/>
    <w:rsid w:val="00691B10"/>
    <w:rsid w:val="0069323A"/>
    <w:rsid w:val="00693AB8"/>
    <w:rsid w:val="00694195"/>
    <w:rsid w:val="006943F4"/>
    <w:rsid w:val="006965AF"/>
    <w:rsid w:val="00697830"/>
    <w:rsid w:val="006A305C"/>
    <w:rsid w:val="006A3A6A"/>
    <w:rsid w:val="006B143D"/>
    <w:rsid w:val="006B20A8"/>
    <w:rsid w:val="006B51EC"/>
    <w:rsid w:val="006B63F9"/>
    <w:rsid w:val="006C1A5E"/>
    <w:rsid w:val="006C38EE"/>
    <w:rsid w:val="006C4C06"/>
    <w:rsid w:val="006C5CDC"/>
    <w:rsid w:val="006E2695"/>
    <w:rsid w:val="006E2A7A"/>
    <w:rsid w:val="006E55C6"/>
    <w:rsid w:val="006E7CAD"/>
    <w:rsid w:val="006F587A"/>
    <w:rsid w:val="006F6C02"/>
    <w:rsid w:val="007031C1"/>
    <w:rsid w:val="00703A9D"/>
    <w:rsid w:val="00703E77"/>
    <w:rsid w:val="00704127"/>
    <w:rsid w:val="00704135"/>
    <w:rsid w:val="00704438"/>
    <w:rsid w:val="00704F31"/>
    <w:rsid w:val="00705090"/>
    <w:rsid w:val="00705343"/>
    <w:rsid w:val="00706310"/>
    <w:rsid w:val="0070650B"/>
    <w:rsid w:val="007104C5"/>
    <w:rsid w:val="007118BF"/>
    <w:rsid w:val="00713416"/>
    <w:rsid w:val="0071363E"/>
    <w:rsid w:val="00713CE8"/>
    <w:rsid w:val="007158D1"/>
    <w:rsid w:val="00720B70"/>
    <w:rsid w:val="00721728"/>
    <w:rsid w:val="0072671B"/>
    <w:rsid w:val="00726DD8"/>
    <w:rsid w:val="00730A9B"/>
    <w:rsid w:val="007319BA"/>
    <w:rsid w:val="00733035"/>
    <w:rsid w:val="007357AF"/>
    <w:rsid w:val="00736543"/>
    <w:rsid w:val="0074032C"/>
    <w:rsid w:val="00740F17"/>
    <w:rsid w:val="0074153E"/>
    <w:rsid w:val="007460EC"/>
    <w:rsid w:val="00751FC6"/>
    <w:rsid w:val="00752534"/>
    <w:rsid w:val="007526B9"/>
    <w:rsid w:val="00752917"/>
    <w:rsid w:val="00752B0B"/>
    <w:rsid w:val="00757A50"/>
    <w:rsid w:val="00757BDB"/>
    <w:rsid w:val="00760A61"/>
    <w:rsid w:val="0076171A"/>
    <w:rsid w:val="00761A2B"/>
    <w:rsid w:val="007629CE"/>
    <w:rsid w:val="0076365A"/>
    <w:rsid w:val="007649D0"/>
    <w:rsid w:val="007667FB"/>
    <w:rsid w:val="007669BF"/>
    <w:rsid w:val="00772B33"/>
    <w:rsid w:val="0077329D"/>
    <w:rsid w:val="007810D1"/>
    <w:rsid w:val="00782D8D"/>
    <w:rsid w:val="00783F18"/>
    <w:rsid w:val="00784C8C"/>
    <w:rsid w:val="00786142"/>
    <w:rsid w:val="00787932"/>
    <w:rsid w:val="00787DB6"/>
    <w:rsid w:val="00787E61"/>
    <w:rsid w:val="00791E0F"/>
    <w:rsid w:val="00792760"/>
    <w:rsid w:val="00793A0F"/>
    <w:rsid w:val="00795318"/>
    <w:rsid w:val="0079573E"/>
    <w:rsid w:val="0079606C"/>
    <w:rsid w:val="00796AF0"/>
    <w:rsid w:val="00796F21"/>
    <w:rsid w:val="007A1941"/>
    <w:rsid w:val="007A1E44"/>
    <w:rsid w:val="007A38CE"/>
    <w:rsid w:val="007A4546"/>
    <w:rsid w:val="007A4884"/>
    <w:rsid w:val="007A4B1D"/>
    <w:rsid w:val="007A53D7"/>
    <w:rsid w:val="007A547E"/>
    <w:rsid w:val="007B2347"/>
    <w:rsid w:val="007B3978"/>
    <w:rsid w:val="007B3E5C"/>
    <w:rsid w:val="007B3E7F"/>
    <w:rsid w:val="007C0145"/>
    <w:rsid w:val="007C1AF5"/>
    <w:rsid w:val="007C209E"/>
    <w:rsid w:val="007C26FF"/>
    <w:rsid w:val="007C2A7F"/>
    <w:rsid w:val="007C2D79"/>
    <w:rsid w:val="007C408F"/>
    <w:rsid w:val="007C5193"/>
    <w:rsid w:val="007C7D49"/>
    <w:rsid w:val="007D0714"/>
    <w:rsid w:val="007D20AC"/>
    <w:rsid w:val="007D32DB"/>
    <w:rsid w:val="007D5A16"/>
    <w:rsid w:val="007D7AE0"/>
    <w:rsid w:val="007D7E62"/>
    <w:rsid w:val="007D7F2A"/>
    <w:rsid w:val="007E47B6"/>
    <w:rsid w:val="007E624F"/>
    <w:rsid w:val="007F3917"/>
    <w:rsid w:val="007F3A5B"/>
    <w:rsid w:val="007F60AD"/>
    <w:rsid w:val="007F65C8"/>
    <w:rsid w:val="00800ABF"/>
    <w:rsid w:val="0080191B"/>
    <w:rsid w:val="00802DBD"/>
    <w:rsid w:val="008035D3"/>
    <w:rsid w:val="008059BC"/>
    <w:rsid w:val="008067F2"/>
    <w:rsid w:val="008072F5"/>
    <w:rsid w:val="00810D88"/>
    <w:rsid w:val="00811835"/>
    <w:rsid w:val="00813356"/>
    <w:rsid w:val="00814E97"/>
    <w:rsid w:val="008159F8"/>
    <w:rsid w:val="00816B40"/>
    <w:rsid w:val="0083075F"/>
    <w:rsid w:val="00835469"/>
    <w:rsid w:val="00841877"/>
    <w:rsid w:val="00841E24"/>
    <w:rsid w:val="00843830"/>
    <w:rsid w:val="008446D0"/>
    <w:rsid w:val="00844A03"/>
    <w:rsid w:val="00846017"/>
    <w:rsid w:val="00847FBB"/>
    <w:rsid w:val="00850C6C"/>
    <w:rsid w:val="008527FE"/>
    <w:rsid w:val="00854F2D"/>
    <w:rsid w:val="00860B98"/>
    <w:rsid w:val="0086117B"/>
    <w:rsid w:val="00867129"/>
    <w:rsid w:val="0087394A"/>
    <w:rsid w:val="00873B0A"/>
    <w:rsid w:val="008767A0"/>
    <w:rsid w:val="00877FEA"/>
    <w:rsid w:val="00880962"/>
    <w:rsid w:val="008838F6"/>
    <w:rsid w:val="0088514A"/>
    <w:rsid w:val="00885BE8"/>
    <w:rsid w:val="008878DB"/>
    <w:rsid w:val="00891BB6"/>
    <w:rsid w:val="00891EF6"/>
    <w:rsid w:val="0089387B"/>
    <w:rsid w:val="00895AE5"/>
    <w:rsid w:val="00896C0E"/>
    <w:rsid w:val="0089734E"/>
    <w:rsid w:val="008976D3"/>
    <w:rsid w:val="008A2F48"/>
    <w:rsid w:val="008A30FE"/>
    <w:rsid w:val="008A319E"/>
    <w:rsid w:val="008A46E3"/>
    <w:rsid w:val="008A4A6B"/>
    <w:rsid w:val="008A50EE"/>
    <w:rsid w:val="008A6268"/>
    <w:rsid w:val="008B1129"/>
    <w:rsid w:val="008B117E"/>
    <w:rsid w:val="008B1192"/>
    <w:rsid w:val="008B132E"/>
    <w:rsid w:val="008B17CB"/>
    <w:rsid w:val="008B25C9"/>
    <w:rsid w:val="008B6E1B"/>
    <w:rsid w:val="008C4028"/>
    <w:rsid w:val="008C50CA"/>
    <w:rsid w:val="008C5442"/>
    <w:rsid w:val="008C547B"/>
    <w:rsid w:val="008D1601"/>
    <w:rsid w:val="008D5D7B"/>
    <w:rsid w:val="008D6A4F"/>
    <w:rsid w:val="008E1C7C"/>
    <w:rsid w:val="008E714C"/>
    <w:rsid w:val="008E7577"/>
    <w:rsid w:val="008F0299"/>
    <w:rsid w:val="008F21A9"/>
    <w:rsid w:val="008F3F8C"/>
    <w:rsid w:val="008F43C5"/>
    <w:rsid w:val="008F5CE3"/>
    <w:rsid w:val="009017FF"/>
    <w:rsid w:val="009035D7"/>
    <w:rsid w:val="00904889"/>
    <w:rsid w:val="009060D0"/>
    <w:rsid w:val="0091175A"/>
    <w:rsid w:val="009174B7"/>
    <w:rsid w:val="009206B3"/>
    <w:rsid w:val="00924535"/>
    <w:rsid w:val="0092599E"/>
    <w:rsid w:val="00926008"/>
    <w:rsid w:val="0092761E"/>
    <w:rsid w:val="00932EB5"/>
    <w:rsid w:val="009331C1"/>
    <w:rsid w:val="00936080"/>
    <w:rsid w:val="00936CBA"/>
    <w:rsid w:val="009432CE"/>
    <w:rsid w:val="00946B88"/>
    <w:rsid w:val="00947D6C"/>
    <w:rsid w:val="0095288E"/>
    <w:rsid w:val="00960C01"/>
    <w:rsid w:val="00960D2E"/>
    <w:rsid w:val="00963CDD"/>
    <w:rsid w:val="00965246"/>
    <w:rsid w:val="009703D8"/>
    <w:rsid w:val="00974804"/>
    <w:rsid w:val="00975699"/>
    <w:rsid w:val="009761DE"/>
    <w:rsid w:val="009800D0"/>
    <w:rsid w:val="00983559"/>
    <w:rsid w:val="00983F68"/>
    <w:rsid w:val="00984AC8"/>
    <w:rsid w:val="009857FC"/>
    <w:rsid w:val="00985A17"/>
    <w:rsid w:val="00987095"/>
    <w:rsid w:val="00987F1A"/>
    <w:rsid w:val="00990B1A"/>
    <w:rsid w:val="009927DA"/>
    <w:rsid w:val="00992837"/>
    <w:rsid w:val="00993F95"/>
    <w:rsid w:val="009962EF"/>
    <w:rsid w:val="00996E8F"/>
    <w:rsid w:val="009A0487"/>
    <w:rsid w:val="009A05B0"/>
    <w:rsid w:val="009A3206"/>
    <w:rsid w:val="009A3FE2"/>
    <w:rsid w:val="009A5506"/>
    <w:rsid w:val="009A56E6"/>
    <w:rsid w:val="009A59DF"/>
    <w:rsid w:val="009A6F1E"/>
    <w:rsid w:val="009A7A93"/>
    <w:rsid w:val="009B0248"/>
    <w:rsid w:val="009B0A02"/>
    <w:rsid w:val="009B2275"/>
    <w:rsid w:val="009B31B4"/>
    <w:rsid w:val="009B49FA"/>
    <w:rsid w:val="009B61A6"/>
    <w:rsid w:val="009C01D0"/>
    <w:rsid w:val="009C1435"/>
    <w:rsid w:val="009C2B92"/>
    <w:rsid w:val="009C2D8F"/>
    <w:rsid w:val="009C2F4B"/>
    <w:rsid w:val="009C58E7"/>
    <w:rsid w:val="009C7BFF"/>
    <w:rsid w:val="009D0D70"/>
    <w:rsid w:val="009D1F2A"/>
    <w:rsid w:val="009D25EB"/>
    <w:rsid w:val="009D31A4"/>
    <w:rsid w:val="009D7C5E"/>
    <w:rsid w:val="009E2B72"/>
    <w:rsid w:val="009E2DC8"/>
    <w:rsid w:val="009E4226"/>
    <w:rsid w:val="009E5814"/>
    <w:rsid w:val="009F23A7"/>
    <w:rsid w:val="009F373A"/>
    <w:rsid w:val="009F3B98"/>
    <w:rsid w:val="009F7B0C"/>
    <w:rsid w:val="00A00196"/>
    <w:rsid w:val="00A00AF0"/>
    <w:rsid w:val="00A02FD0"/>
    <w:rsid w:val="00A0605C"/>
    <w:rsid w:val="00A06976"/>
    <w:rsid w:val="00A07E4C"/>
    <w:rsid w:val="00A10169"/>
    <w:rsid w:val="00A14B0D"/>
    <w:rsid w:val="00A15AF8"/>
    <w:rsid w:val="00A15EBB"/>
    <w:rsid w:val="00A16653"/>
    <w:rsid w:val="00A17019"/>
    <w:rsid w:val="00A20291"/>
    <w:rsid w:val="00A21805"/>
    <w:rsid w:val="00A23F51"/>
    <w:rsid w:val="00A27B0B"/>
    <w:rsid w:val="00A27CAC"/>
    <w:rsid w:val="00A30633"/>
    <w:rsid w:val="00A30B90"/>
    <w:rsid w:val="00A31050"/>
    <w:rsid w:val="00A3134D"/>
    <w:rsid w:val="00A32B43"/>
    <w:rsid w:val="00A33881"/>
    <w:rsid w:val="00A35215"/>
    <w:rsid w:val="00A356AE"/>
    <w:rsid w:val="00A36ADD"/>
    <w:rsid w:val="00A37956"/>
    <w:rsid w:val="00A37F15"/>
    <w:rsid w:val="00A45AFA"/>
    <w:rsid w:val="00A52381"/>
    <w:rsid w:val="00A536C8"/>
    <w:rsid w:val="00A53BEE"/>
    <w:rsid w:val="00A55922"/>
    <w:rsid w:val="00A563D5"/>
    <w:rsid w:val="00A61258"/>
    <w:rsid w:val="00A618F0"/>
    <w:rsid w:val="00A64900"/>
    <w:rsid w:val="00A66CCA"/>
    <w:rsid w:val="00A66EAB"/>
    <w:rsid w:val="00A675C0"/>
    <w:rsid w:val="00A7040B"/>
    <w:rsid w:val="00A712EC"/>
    <w:rsid w:val="00A733FB"/>
    <w:rsid w:val="00A74B79"/>
    <w:rsid w:val="00A759F4"/>
    <w:rsid w:val="00A7617A"/>
    <w:rsid w:val="00A7651E"/>
    <w:rsid w:val="00A8152A"/>
    <w:rsid w:val="00A82422"/>
    <w:rsid w:val="00A83298"/>
    <w:rsid w:val="00A835BE"/>
    <w:rsid w:val="00A83D3B"/>
    <w:rsid w:val="00A8572E"/>
    <w:rsid w:val="00A8613D"/>
    <w:rsid w:val="00A87C7D"/>
    <w:rsid w:val="00A87D4E"/>
    <w:rsid w:val="00A9319C"/>
    <w:rsid w:val="00A9331E"/>
    <w:rsid w:val="00A938B5"/>
    <w:rsid w:val="00A96185"/>
    <w:rsid w:val="00A976FA"/>
    <w:rsid w:val="00AA3151"/>
    <w:rsid w:val="00AA3D69"/>
    <w:rsid w:val="00AA5B0D"/>
    <w:rsid w:val="00AA6293"/>
    <w:rsid w:val="00AB17E4"/>
    <w:rsid w:val="00AB2387"/>
    <w:rsid w:val="00AB32BC"/>
    <w:rsid w:val="00AB3857"/>
    <w:rsid w:val="00AB4E0F"/>
    <w:rsid w:val="00AC1B0D"/>
    <w:rsid w:val="00AC2DE0"/>
    <w:rsid w:val="00AC3D24"/>
    <w:rsid w:val="00AC4C02"/>
    <w:rsid w:val="00AC5FA2"/>
    <w:rsid w:val="00AC65F0"/>
    <w:rsid w:val="00AC6C7B"/>
    <w:rsid w:val="00AD088C"/>
    <w:rsid w:val="00AD0A41"/>
    <w:rsid w:val="00AD1748"/>
    <w:rsid w:val="00AD3EFB"/>
    <w:rsid w:val="00AD72E2"/>
    <w:rsid w:val="00AD75C8"/>
    <w:rsid w:val="00AE01C8"/>
    <w:rsid w:val="00AE11BC"/>
    <w:rsid w:val="00AE1437"/>
    <w:rsid w:val="00AE1D4B"/>
    <w:rsid w:val="00AE21C1"/>
    <w:rsid w:val="00AE39CF"/>
    <w:rsid w:val="00AE55F2"/>
    <w:rsid w:val="00AF22E6"/>
    <w:rsid w:val="00AF70DE"/>
    <w:rsid w:val="00B001F0"/>
    <w:rsid w:val="00B005DA"/>
    <w:rsid w:val="00B013F4"/>
    <w:rsid w:val="00B01C88"/>
    <w:rsid w:val="00B03DD8"/>
    <w:rsid w:val="00B04E8A"/>
    <w:rsid w:val="00B05470"/>
    <w:rsid w:val="00B128F0"/>
    <w:rsid w:val="00B13A60"/>
    <w:rsid w:val="00B140B7"/>
    <w:rsid w:val="00B1428E"/>
    <w:rsid w:val="00B1434C"/>
    <w:rsid w:val="00B20414"/>
    <w:rsid w:val="00B21FD9"/>
    <w:rsid w:val="00B238F5"/>
    <w:rsid w:val="00B240BB"/>
    <w:rsid w:val="00B24850"/>
    <w:rsid w:val="00B2528E"/>
    <w:rsid w:val="00B25A9B"/>
    <w:rsid w:val="00B2607C"/>
    <w:rsid w:val="00B30393"/>
    <w:rsid w:val="00B31F73"/>
    <w:rsid w:val="00B33891"/>
    <w:rsid w:val="00B37916"/>
    <w:rsid w:val="00B41C50"/>
    <w:rsid w:val="00B421AF"/>
    <w:rsid w:val="00B509FA"/>
    <w:rsid w:val="00B50F91"/>
    <w:rsid w:val="00B51294"/>
    <w:rsid w:val="00B52188"/>
    <w:rsid w:val="00B52349"/>
    <w:rsid w:val="00B52402"/>
    <w:rsid w:val="00B52F6B"/>
    <w:rsid w:val="00B535D2"/>
    <w:rsid w:val="00B5599F"/>
    <w:rsid w:val="00B56C9C"/>
    <w:rsid w:val="00B60F80"/>
    <w:rsid w:val="00B61437"/>
    <w:rsid w:val="00B63A81"/>
    <w:rsid w:val="00B66A12"/>
    <w:rsid w:val="00B66E64"/>
    <w:rsid w:val="00B70FA3"/>
    <w:rsid w:val="00B71825"/>
    <w:rsid w:val="00B729CB"/>
    <w:rsid w:val="00B72FBE"/>
    <w:rsid w:val="00B7494F"/>
    <w:rsid w:val="00B75A7A"/>
    <w:rsid w:val="00B75B7F"/>
    <w:rsid w:val="00B75FE0"/>
    <w:rsid w:val="00B765C1"/>
    <w:rsid w:val="00B76883"/>
    <w:rsid w:val="00B77232"/>
    <w:rsid w:val="00B80CB1"/>
    <w:rsid w:val="00B8253B"/>
    <w:rsid w:val="00B82A93"/>
    <w:rsid w:val="00B8475F"/>
    <w:rsid w:val="00B90885"/>
    <w:rsid w:val="00B91725"/>
    <w:rsid w:val="00B93CCC"/>
    <w:rsid w:val="00B977C5"/>
    <w:rsid w:val="00BA116C"/>
    <w:rsid w:val="00BA2C3C"/>
    <w:rsid w:val="00BA3953"/>
    <w:rsid w:val="00BA5B37"/>
    <w:rsid w:val="00BA6DF8"/>
    <w:rsid w:val="00BA6F7C"/>
    <w:rsid w:val="00BA6FE7"/>
    <w:rsid w:val="00BB163C"/>
    <w:rsid w:val="00BB1AAC"/>
    <w:rsid w:val="00BB2334"/>
    <w:rsid w:val="00BB4A35"/>
    <w:rsid w:val="00BB5D45"/>
    <w:rsid w:val="00BB761A"/>
    <w:rsid w:val="00BC04AE"/>
    <w:rsid w:val="00BC2C14"/>
    <w:rsid w:val="00BC6B93"/>
    <w:rsid w:val="00BC6D5D"/>
    <w:rsid w:val="00BC78B2"/>
    <w:rsid w:val="00BD2FF9"/>
    <w:rsid w:val="00BD33D1"/>
    <w:rsid w:val="00BD3EDA"/>
    <w:rsid w:val="00BD44FB"/>
    <w:rsid w:val="00BD479A"/>
    <w:rsid w:val="00BD4F0B"/>
    <w:rsid w:val="00BD5D89"/>
    <w:rsid w:val="00BD6A56"/>
    <w:rsid w:val="00BD6D1D"/>
    <w:rsid w:val="00BD7D71"/>
    <w:rsid w:val="00BE2404"/>
    <w:rsid w:val="00BE38F6"/>
    <w:rsid w:val="00BF0AB4"/>
    <w:rsid w:val="00BF0B34"/>
    <w:rsid w:val="00BF1FA0"/>
    <w:rsid w:val="00BF620B"/>
    <w:rsid w:val="00C00582"/>
    <w:rsid w:val="00C02D61"/>
    <w:rsid w:val="00C03E65"/>
    <w:rsid w:val="00C06EE6"/>
    <w:rsid w:val="00C07BE6"/>
    <w:rsid w:val="00C12E37"/>
    <w:rsid w:val="00C132ED"/>
    <w:rsid w:val="00C14BD7"/>
    <w:rsid w:val="00C15954"/>
    <w:rsid w:val="00C161D5"/>
    <w:rsid w:val="00C167A1"/>
    <w:rsid w:val="00C17182"/>
    <w:rsid w:val="00C223F9"/>
    <w:rsid w:val="00C23CEE"/>
    <w:rsid w:val="00C34132"/>
    <w:rsid w:val="00C35073"/>
    <w:rsid w:val="00C35649"/>
    <w:rsid w:val="00C36973"/>
    <w:rsid w:val="00C373CC"/>
    <w:rsid w:val="00C40DD2"/>
    <w:rsid w:val="00C4142D"/>
    <w:rsid w:val="00C43160"/>
    <w:rsid w:val="00C43F9A"/>
    <w:rsid w:val="00C461F2"/>
    <w:rsid w:val="00C46AB8"/>
    <w:rsid w:val="00C473D1"/>
    <w:rsid w:val="00C512F3"/>
    <w:rsid w:val="00C53AEF"/>
    <w:rsid w:val="00C54A14"/>
    <w:rsid w:val="00C5552D"/>
    <w:rsid w:val="00C57A09"/>
    <w:rsid w:val="00C604FA"/>
    <w:rsid w:val="00C631EB"/>
    <w:rsid w:val="00C64022"/>
    <w:rsid w:val="00C65E49"/>
    <w:rsid w:val="00C66F95"/>
    <w:rsid w:val="00C7135C"/>
    <w:rsid w:val="00C71EC3"/>
    <w:rsid w:val="00C721BD"/>
    <w:rsid w:val="00C72BBB"/>
    <w:rsid w:val="00C735F6"/>
    <w:rsid w:val="00C752D2"/>
    <w:rsid w:val="00C77D30"/>
    <w:rsid w:val="00C81C00"/>
    <w:rsid w:val="00C82FDB"/>
    <w:rsid w:val="00C87CC1"/>
    <w:rsid w:val="00C9191F"/>
    <w:rsid w:val="00C919BB"/>
    <w:rsid w:val="00C923D4"/>
    <w:rsid w:val="00C94572"/>
    <w:rsid w:val="00C96D29"/>
    <w:rsid w:val="00CA12CE"/>
    <w:rsid w:val="00CA388A"/>
    <w:rsid w:val="00CA38A9"/>
    <w:rsid w:val="00CA60D5"/>
    <w:rsid w:val="00CA6539"/>
    <w:rsid w:val="00CB4898"/>
    <w:rsid w:val="00CB49D1"/>
    <w:rsid w:val="00CB6F75"/>
    <w:rsid w:val="00CC39AE"/>
    <w:rsid w:val="00CC68F1"/>
    <w:rsid w:val="00CC7DAE"/>
    <w:rsid w:val="00CC7E72"/>
    <w:rsid w:val="00CD2980"/>
    <w:rsid w:val="00CD3178"/>
    <w:rsid w:val="00CD464D"/>
    <w:rsid w:val="00CD704E"/>
    <w:rsid w:val="00CE10FE"/>
    <w:rsid w:val="00CE1518"/>
    <w:rsid w:val="00CE2C69"/>
    <w:rsid w:val="00CE3E9E"/>
    <w:rsid w:val="00CE3ECC"/>
    <w:rsid w:val="00CE5A1B"/>
    <w:rsid w:val="00CE6E0A"/>
    <w:rsid w:val="00CE7B33"/>
    <w:rsid w:val="00CF3EEE"/>
    <w:rsid w:val="00D01C79"/>
    <w:rsid w:val="00D01DB4"/>
    <w:rsid w:val="00D0406D"/>
    <w:rsid w:val="00D06B9C"/>
    <w:rsid w:val="00D07E7C"/>
    <w:rsid w:val="00D1186A"/>
    <w:rsid w:val="00D15E9E"/>
    <w:rsid w:val="00D163FA"/>
    <w:rsid w:val="00D16A96"/>
    <w:rsid w:val="00D2254B"/>
    <w:rsid w:val="00D32A34"/>
    <w:rsid w:val="00D34850"/>
    <w:rsid w:val="00D3501F"/>
    <w:rsid w:val="00D35B37"/>
    <w:rsid w:val="00D36A32"/>
    <w:rsid w:val="00D4071A"/>
    <w:rsid w:val="00D41682"/>
    <w:rsid w:val="00D4298A"/>
    <w:rsid w:val="00D43181"/>
    <w:rsid w:val="00D43D37"/>
    <w:rsid w:val="00D43DB3"/>
    <w:rsid w:val="00D4511B"/>
    <w:rsid w:val="00D4518F"/>
    <w:rsid w:val="00D46B14"/>
    <w:rsid w:val="00D5216D"/>
    <w:rsid w:val="00D54BA2"/>
    <w:rsid w:val="00D626DE"/>
    <w:rsid w:val="00D62B7D"/>
    <w:rsid w:val="00D653D7"/>
    <w:rsid w:val="00D659FD"/>
    <w:rsid w:val="00D6667D"/>
    <w:rsid w:val="00D71DF4"/>
    <w:rsid w:val="00D71EC4"/>
    <w:rsid w:val="00D72C1C"/>
    <w:rsid w:val="00D73432"/>
    <w:rsid w:val="00D73E4F"/>
    <w:rsid w:val="00D751C7"/>
    <w:rsid w:val="00D75A5B"/>
    <w:rsid w:val="00D805D7"/>
    <w:rsid w:val="00D8577E"/>
    <w:rsid w:val="00D939A3"/>
    <w:rsid w:val="00D9492D"/>
    <w:rsid w:val="00DA33AE"/>
    <w:rsid w:val="00DA41F3"/>
    <w:rsid w:val="00DA469D"/>
    <w:rsid w:val="00DA59FF"/>
    <w:rsid w:val="00DA6FE3"/>
    <w:rsid w:val="00DA75D9"/>
    <w:rsid w:val="00DB08B7"/>
    <w:rsid w:val="00DB24AC"/>
    <w:rsid w:val="00DB4E21"/>
    <w:rsid w:val="00DB50C5"/>
    <w:rsid w:val="00DB51C3"/>
    <w:rsid w:val="00DB7973"/>
    <w:rsid w:val="00DB7D86"/>
    <w:rsid w:val="00DC0F6C"/>
    <w:rsid w:val="00DC43AF"/>
    <w:rsid w:val="00DC43B7"/>
    <w:rsid w:val="00DC56C3"/>
    <w:rsid w:val="00DC5A91"/>
    <w:rsid w:val="00DC679B"/>
    <w:rsid w:val="00DD3147"/>
    <w:rsid w:val="00DD6097"/>
    <w:rsid w:val="00DD7B57"/>
    <w:rsid w:val="00DE2ED1"/>
    <w:rsid w:val="00DE4F4F"/>
    <w:rsid w:val="00DE7269"/>
    <w:rsid w:val="00DE7E6B"/>
    <w:rsid w:val="00DF3BD7"/>
    <w:rsid w:val="00DF48C0"/>
    <w:rsid w:val="00DF6FE8"/>
    <w:rsid w:val="00E002A4"/>
    <w:rsid w:val="00E01A41"/>
    <w:rsid w:val="00E025C3"/>
    <w:rsid w:val="00E045CD"/>
    <w:rsid w:val="00E05E44"/>
    <w:rsid w:val="00E11293"/>
    <w:rsid w:val="00E15242"/>
    <w:rsid w:val="00E20580"/>
    <w:rsid w:val="00E21B1D"/>
    <w:rsid w:val="00E21D13"/>
    <w:rsid w:val="00E22AF0"/>
    <w:rsid w:val="00E23613"/>
    <w:rsid w:val="00E24131"/>
    <w:rsid w:val="00E255F9"/>
    <w:rsid w:val="00E26DE8"/>
    <w:rsid w:val="00E317A4"/>
    <w:rsid w:val="00E3247D"/>
    <w:rsid w:val="00E36793"/>
    <w:rsid w:val="00E37645"/>
    <w:rsid w:val="00E43A0F"/>
    <w:rsid w:val="00E460F4"/>
    <w:rsid w:val="00E46C13"/>
    <w:rsid w:val="00E54378"/>
    <w:rsid w:val="00E5703E"/>
    <w:rsid w:val="00E57848"/>
    <w:rsid w:val="00E60D3D"/>
    <w:rsid w:val="00E60EAC"/>
    <w:rsid w:val="00E62B32"/>
    <w:rsid w:val="00E63AFF"/>
    <w:rsid w:val="00E645E3"/>
    <w:rsid w:val="00E65B85"/>
    <w:rsid w:val="00E707BB"/>
    <w:rsid w:val="00E71A36"/>
    <w:rsid w:val="00E75C0F"/>
    <w:rsid w:val="00E816C8"/>
    <w:rsid w:val="00E903BD"/>
    <w:rsid w:val="00E92F40"/>
    <w:rsid w:val="00E93730"/>
    <w:rsid w:val="00E94352"/>
    <w:rsid w:val="00E94FF8"/>
    <w:rsid w:val="00EA30EA"/>
    <w:rsid w:val="00EA36D1"/>
    <w:rsid w:val="00EA44E5"/>
    <w:rsid w:val="00EA7FB9"/>
    <w:rsid w:val="00EB0682"/>
    <w:rsid w:val="00EB1F29"/>
    <w:rsid w:val="00EB31F0"/>
    <w:rsid w:val="00EC284F"/>
    <w:rsid w:val="00EC299F"/>
    <w:rsid w:val="00EC313D"/>
    <w:rsid w:val="00EC3AB8"/>
    <w:rsid w:val="00EC7D7C"/>
    <w:rsid w:val="00ED13A3"/>
    <w:rsid w:val="00ED44D7"/>
    <w:rsid w:val="00ED5EA4"/>
    <w:rsid w:val="00ED6521"/>
    <w:rsid w:val="00ED6D10"/>
    <w:rsid w:val="00EE20BD"/>
    <w:rsid w:val="00EE47AC"/>
    <w:rsid w:val="00EE4A9F"/>
    <w:rsid w:val="00EE52F3"/>
    <w:rsid w:val="00EE6BE1"/>
    <w:rsid w:val="00EE7360"/>
    <w:rsid w:val="00EF3BBB"/>
    <w:rsid w:val="00EF4589"/>
    <w:rsid w:val="00EF6C2C"/>
    <w:rsid w:val="00EF6FA7"/>
    <w:rsid w:val="00F000F7"/>
    <w:rsid w:val="00F00BC8"/>
    <w:rsid w:val="00F0320E"/>
    <w:rsid w:val="00F03DA0"/>
    <w:rsid w:val="00F0705D"/>
    <w:rsid w:val="00F0766E"/>
    <w:rsid w:val="00F10AC4"/>
    <w:rsid w:val="00F1195F"/>
    <w:rsid w:val="00F12CE0"/>
    <w:rsid w:val="00F1303F"/>
    <w:rsid w:val="00F14380"/>
    <w:rsid w:val="00F21859"/>
    <w:rsid w:val="00F23968"/>
    <w:rsid w:val="00F24320"/>
    <w:rsid w:val="00F24500"/>
    <w:rsid w:val="00F24A0A"/>
    <w:rsid w:val="00F27DAC"/>
    <w:rsid w:val="00F32B8F"/>
    <w:rsid w:val="00F368C2"/>
    <w:rsid w:val="00F37F3C"/>
    <w:rsid w:val="00F40FB6"/>
    <w:rsid w:val="00F42FA6"/>
    <w:rsid w:val="00F43F35"/>
    <w:rsid w:val="00F443A8"/>
    <w:rsid w:val="00F44A2F"/>
    <w:rsid w:val="00F46B7B"/>
    <w:rsid w:val="00F47AC4"/>
    <w:rsid w:val="00F51338"/>
    <w:rsid w:val="00F51D2D"/>
    <w:rsid w:val="00F538EE"/>
    <w:rsid w:val="00F55DC6"/>
    <w:rsid w:val="00F57D1C"/>
    <w:rsid w:val="00F607DA"/>
    <w:rsid w:val="00F62561"/>
    <w:rsid w:val="00F62ABC"/>
    <w:rsid w:val="00F70439"/>
    <w:rsid w:val="00F711DA"/>
    <w:rsid w:val="00F751CC"/>
    <w:rsid w:val="00F80AF9"/>
    <w:rsid w:val="00F85949"/>
    <w:rsid w:val="00F90290"/>
    <w:rsid w:val="00F9099D"/>
    <w:rsid w:val="00F90A7F"/>
    <w:rsid w:val="00F9573B"/>
    <w:rsid w:val="00F95A8A"/>
    <w:rsid w:val="00F97AEF"/>
    <w:rsid w:val="00FA5BDF"/>
    <w:rsid w:val="00FA5EFF"/>
    <w:rsid w:val="00FB11DE"/>
    <w:rsid w:val="00FB36B7"/>
    <w:rsid w:val="00FB3C88"/>
    <w:rsid w:val="00FB429F"/>
    <w:rsid w:val="00FB5513"/>
    <w:rsid w:val="00FB6FB6"/>
    <w:rsid w:val="00FC0507"/>
    <w:rsid w:val="00FC15FA"/>
    <w:rsid w:val="00FC49BE"/>
    <w:rsid w:val="00FC600E"/>
    <w:rsid w:val="00FC6E66"/>
    <w:rsid w:val="00FD3EE9"/>
    <w:rsid w:val="00FE113E"/>
    <w:rsid w:val="00FE133C"/>
    <w:rsid w:val="00FE3AC4"/>
    <w:rsid w:val="00FE63AE"/>
    <w:rsid w:val="00FE7837"/>
    <w:rsid w:val="00FE7DA3"/>
    <w:rsid w:val="00FF0862"/>
    <w:rsid w:val="00FF0914"/>
    <w:rsid w:val="00FF4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A80C"/>
  <w15:docId w15:val="{7C7A7A56-9F6D-4FE4-AD25-00CACE7C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paragraph" w:styleId="Heading5">
    <w:name w:val="heading 5"/>
    <w:basedOn w:val="Normal"/>
    <w:next w:val="Normal"/>
    <w:link w:val="Heading5Char"/>
    <w:uiPriority w:val="9"/>
    <w:semiHidden/>
    <w:unhideWhenUsed/>
    <w:qFormat/>
    <w:rsid w:val="00C341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lang w:val="x-none" w:eastAsia="x-none"/>
    </w:rPr>
  </w:style>
  <w:style w:type="character" w:customStyle="1" w:styleId="bodytextChar">
    <w:name w:val="body text Char"/>
    <w:aliases w:val="bt Char"/>
    <w:link w:val="BodyText1"/>
    <w:rsid w:val="00E460F4"/>
    <w:rPr>
      <w:rFonts w:ascii="Times New Roman" w:eastAsia="Times New Roman" w:hAnsi="Times New Roman" w:cs="Times New Roman"/>
      <w:szCs w:val="20"/>
      <w:lang w:val="x-none" w:eastAsia="x-none"/>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 w:type="paragraph" w:styleId="BodyText">
    <w:name w:val="Body Text"/>
    <w:basedOn w:val="Normal"/>
    <w:link w:val="BodyTextChar0"/>
    <w:uiPriority w:val="99"/>
    <w:semiHidden/>
    <w:unhideWhenUsed/>
    <w:rsid w:val="00F1303F"/>
    <w:pPr>
      <w:spacing w:after="120"/>
    </w:pPr>
  </w:style>
  <w:style w:type="character" w:customStyle="1" w:styleId="BodyTextChar0">
    <w:name w:val="Body Text Char"/>
    <w:basedOn w:val="DefaultParagraphFont"/>
    <w:link w:val="BodyText"/>
    <w:uiPriority w:val="99"/>
    <w:semiHidden/>
    <w:rsid w:val="00F1303F"/>
    <w:rPr>
      <w:rFonts w:ascii="Times New Roman" w:eastAsia="Times New Roman" w:hAnsi="Times New Roman" w:cs="Times New Roman"/>
      <w:sz w:val="24"/>
      <w:szCs w:val="24"/>
    </w:rPr>
  </w:style>
  <w:style w:type="table" w:customStyle="1" w:styleId="BlueTable">
    <w:name w:val="Blue Table"/>
    <w:basedOn w:val="TableNormal"/>
    <w:uiPriority w:val="99"/>
    <w:rsid w:val="008C547B"/>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character" w:customStyle="1" w:styleId="Heading5Char">
    <w:name w:val="Heading 5 Char"/>
    <w:basedOn w:val="DefaultParagraphFont"/>
    <w:link w:val="Heading5"/>
    <w:uiPriority w:val="9"/>
    <w:semiHidden/>
    <w:rsid w:val="00C3413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4228">
      <w:bodyDiv w:val="1"/>
      <w:marLeft w:val="0"/>
      <w:marRight w:val="0"/>
      <w:marTop w:val="0"/>
      <w:marBottom w:val="450"/>
      <w:divBdr>
        <w:top w:val="none" w:sz="0" w:space="0" w:color="auto"/>
        <w:left w:val="none" w:sz="0" w:space="0" w:color="auto"/>
        <w:bottom w:val="none" w:sz="0" w:space="0" w:color="auto"/>
        <w:right w:val="none" w:sz="0" w:space="0" w:color="auto"/>
      </w:divBdr>
      <w:divsChild>
        <w:div w:id="460422720">
          <w:marLeft w:val="0"/>
          <w:marRight w:val="0"/>
          <w:marTop w:val="0"/>
          <w:marBottom w:val="0"/>
          <w:divBdr>
            <w:top w:val="none" w:sz="0" w:space="0" w:color="auto"/>
            <w:left w:val="none" w:sz="0" w:space="0" w:color="auto"/>
            <w:bottom w:val="none" w:sz="0" w:space="0" w:color="auto"/>
            <w:right w:val="none" w:sz="0" w:space="0" w:color="auto"/>
          </w:divBdr>
          <w:divsChild>
            <w:div w:id="775442041">
              <w:marLeft w:val="0"/>
              <w:marRight w:val="0"/>
              <w:marTop w:val="0"/>
              <w:marBottom w:val="0"/>
              <w:divBdr>
                <w:top w:val="none" w:sz="0" w:space="0" w:color="auto"/>
                <w:left w:val="none" w:sz="0" w:space="0" w:color="auto"/>
                <w:bottom w:val="none" w:sz="0" w:space="0" w:color="auto"/>
                <w:right w:val="none" w:sz="0" w:space="0" w:color="auto"/>
              </w:divBdr>
              <w:divsChild>
                <w:div w:id="2124882968">
                  <w:marLeft w:val="0"/>
                  <w:marRight w:val="0"/>
                  <w:marTop w:val="165"/>
                  <w:marBottom w:val="0"/>
                  <w:divBdr>
                    <w:top w:val="none" w:sz="0" w:space="0" w:color="auto"/>
                    <w:left w:val="none" w:sz="0" w:space="0" w:color="auto"/>
                    <w:bottom w:val="none" w:sz="0" w:space="0" w:color="auto"/>
                    <w:right w:val="none" w:sz="0" w:space="0" w:color="auto"/>
                  </w:divBdr>
                  <w:divsChild>
                    <w:div w:id="1434856764">
                      <w:marLeft w:val="0"/>
                      <w:marRight w:val="0"/>
                      <w:marTop w:val="0"/>
                      <w:marBottom w:val="0"/>
                      <w:divBdr>
                        <w:top w:val="none" w:sz="0" w:space="0" w:color="auto"/>
                        <w:left w:val="none" w:sz="0" w:space="0" w:color="auto"/>
                        <w:bottom w:val="none" w:sz="0" w:space="0" w:color="auto"/>
                        <w:right w:val="none" w:sz="0" w:space="0" w:color="auto"/>
                      </w:divBdr>
                      <w:divsChild>
                        <w:div w:id="1371607237">
                          <w:marLeft w:val="0"/>
                          <w:marRight w:val="0"/>
                          <w:marTop w:val="0"/>
                          <w:marBottom w:val="0"/>
                          <w:divBdr>
                            <w:top w:val="none" w:sz="0" w:space="0" w:color="auto"/>
                            <w:left w:val="none" w:sz="0" w:space="0" w:color="auto"/>
                            <w:bottom w:val="none" w:sz="0" w:space="0" w:color="auto"/>
                            <w:right w:val="none" w:sz="0" w:space="0" w:color="auto"/>
                          </w:divBdr>
                          <w:divsChild>
                            <w:div w:id="1213272461">
                              <w:marLeft w:val="3600"/>
                              <w:marRight w:val="0"/>
                              <w:marTop w:val="0"/>
                              <w:marBottom w:val="0"/>
                              <w:divBdr>
                                <w:top w:val="none" w:sz="0" w:space="0" w:color="auto"/>
                                <w:left w:val="none" w:sz="0" w:space="0" w:color="auto"/>
                                <w:bottom w:val="none" w:sz="0" w:space="0" w:color="auto"/>
                                <w:right w:val="none" w:sz="0" w:space="0" w:color="auto"/>
                              </w:divBdr>
                              <w:divsChild>
                                <w:div w:id="1999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5270">
      <w:bodyDiv w:val="1"/>
      <w:marLeft w:val="0"/>
      <w:marRight w:val="0"/>
      <w:marTop w:val="0"/>
      <w:marBottom w:val="0"/>
      <w:divBdr>
        <w:top w:val="none" w:sz="0" w:space="0" w:color="auto"/>
        <w:left w:val="none" w:sz="0" w:space="0" w:color="auto"/>
        <w:bottom w:val="none" w:sz="0" w:space="0" w:color="auto"/>
        <w:right w:val="none" w:sz="0" w:space="0" w:color="auto"/>
      </w:divBdr>
    </w:div>
    <w:div w:id="326322593">
      <w:bodyDiv w:val="1"/>
      <w:marLeft w:val="0"/>
      <w:marRight w:val="0"/>
      <w:marTop w:val="0"/>
      <w:marBottom w:val="0"/>
      <w:divBdr>
        <w:top w:val="none" w:sz="0" w:space="0" w:color="auto"/>
        <w:left w:val="none" w:sz="0" w:space="0" w:color="auto"/>
        <w:bottom w:val="none" w:sz="0" w:space="0" w:color="auto"/>
        <w:right w:val="none" w:sz="0" w:space="0" w:color="auto"/>
      </w:divBdr>
    </w:div>
    <w:div w:id="476530295">
      <w:bodyDiv w:val="1"/>
      <w:marLeft w:val="0"/>
      <w:marRight w:val="0"/>
      <w:marTop w:val="0"/>
      <w:marBottom w:val="0"/>
      <w:divBdr>
        <w:top w:val="none" w:sz="0" w:space="0" w:color="auto"/>
        <w:left w:val="none" w:sz="0" w:space="0" w:color="auto"/>
        <w:bottom w:val="none" w:sz="0" w:space="0" w:color="auto"/>
        <w:right w:val="none" w:sz="0" w:space="0" w:color="auto"/>
      </w:divBdr>
    </w:div>
    <w:div w:id="573079277">
      <w:bodyDiv w:val="1"/>
      <w:marLeft w:val="0"/>
      <w:marRight w:val="0"/>
      <w:marTop w:val="0"/>
      <w:marBottom w:val="450"/>
      <w:divBdr>
        <w:top w:val="none" w:sz="0" w:space="0" w:color="auto"/>
        <w:left w:val="none" w:sz="0" w:space="0" w:color="auto"/>
        <w:bottom w:val="none" w:sz="0" w:space="0" w:color="auto"/>
        <w:right w:val="none" w:sz="0" w:space="0" w:color="auto"/>
      </w:divBdr>
      <w:divsChild>
        <w:div w:id="1977056496">
          <w:marLeft w:val="0"/>
          <w:marRight w:val="0"/>
          <w:marTop w:val="0"/>
          <w:marBottom w:val="0"/>
          <w:divBdr>
            <w:top w:val="none" w:sz="0" w:space="0" w:color="auto"/>
            <w:left w:val="none" w:sz="0" w:space="0" w:color="auto"/>
            <w:bottom w:val="none" w:sz="0" w:space="0" w:color="auto"/>
            <w:right w:val="none" w:sz="0" w:space="0" w:color="auto"/>
          </w:divBdr>
          <w:divsChild>
            <w:div w:id="506402424">
              <w:marLeft w:val="0"/>
              <w:marRight w:val="0"/>
              <w:marTop w:val="0"/>
              <w:marBottom w:val="0"/>
              <w:divBdr>
                <w:top w:val="none" w:sz="0" w:space="0" w:color="auto"/>
                <w:left w:val="none" w:sz="0" w:space="0" w:color="auto"/>
                <w:bottom w:val="none" w:sz="0" w:space="0" w:color="auto"/>
                <w:right w:val="none" w:sz="0" w:space="0" w:color="auto"/>
              </w:divBdr>
              <w:divsChild>
                <w:div w:id="1072200183">
                  <w:marLeft w:val="0"/>
                  <w:marRight w:val="0"/>
                  <w:marTop w:val="165"/>
                  <w:marBottom w:val="0"/>
                  <w:divBdr>
                    <w:top w:val="none" w:sz="0" w:space="0" w:color="auto"/>
                    <w:left w:val="none" w:sz="0" w:space="0" w:color="auto"/>
                    <w:bottom w:val="none" w:sz="0" w:space="0" w:color="auto"/>
                    <w:right w:val="none" w:sz="0" w:space="0" w:color="auto"/>
                  </w:divBdr>
                  <w:divsChild>
                    <w:div w:id="662701021">
                      <w:marLeft w:val="0"/>
                      <w:marRight w:val="0"/>
                      <w:marTop w:val="0"/>
                      <w:marBottom w:val="0"/>
                      <w:divBdr>
                        <w:top w:val="none" w:sz="0" w:space="0" w:color="auto"/>
                        <w:left w:val="none" w:sz="0" w:space="0" w:color="auto"/>
                        <w:bottom w:val="none" w:sz="0" w:space="0" w:color="auto"/>
                        <w:right w:val="none" w:sz="0" w:space="0" w:color="auto"/>
                      </w:divBdr>
                      <w:divsChild>
                        <w:div w:id="284891629">
                          <w:marLeft w:val="0"/>
                          <w:marRight w:val="0"/>
                          <w:marTop w:val="0"/>
                          <w:marBottom w:val="0"/>
                          <w:divBdr>
                            <w:top w:val="none" w:sz="0" w:space="0" w:color="auto"/>
                            <w:left w:val="none" w:sz="0" w:space="0" w:color="auto"/>
                            <w:bottom w:val="none" w:sz="0" w:space="0" w:color="auto"/>
                            <w:right w:val="none" w:sz="0" w:space="0" w:color="auto"/>
                          </w:divBdr>
                          <w:divsChild>
                            <w:div w:id="396561619">
                              <w:marLeft w:val="3600"/>
                              <w:marRight w:val="0"/>
                              <w:marTop w:val="0"/>
                              <w:marBottom w:val="0"/>
                              <w:divBdr>
                                <w:top w:val="none" w:sz="0" w:space="0" w:color="auto"/>
                                <w:left w:val="none" w:sz="0" w:space="0" w:color="auto"/>
                                <w:bottom w:val="none" w:sz="0" w:space="0" w:color="auto"/>
                                <w:right w:val="none" w:sz="0" w:space="0" w:color="auto"/>
                              </w:divBdr>
                              <w:divsChild>
                                <w:div w:id="4595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74033">
      <w:bodyDiv w:val="1"/>
      <w:marLeft w:val="0"/>
      <w:marRight w:val="0"/>
      <w:marTop w:val="0"/>
      <w:marBottom w:val="0"/>
      <w:divBdr>
        <w:top w:val="none" w:sz="0" w:space="0" w:color="auto"/>
        <w:left w:val="none" w:sz="0" w:space="0" w:color="auto"/>
        <w:bottom w:val="none" w:sz="0" w:space="0" w:color="auto"/>
        <w:right w:val="none" w:sz="0" w:space="0" w:color="auto"/>
      </w:divBdr>
    </w:div>
    <w:div w:id="692462553">
      <w:bodyDiv w:val="1"/>
      <w:marLeft w:val="0"/>
      <w:marRight w:val="0"/>
      <w:marTop w:val="0"/>
      <w:marBottom w:val="0"/>
      <w:divBdr>
        <w:top w:val="none" w:sz="0" w:space="0" w:color="auto"/>
        <w:left w:val="none" w:sz="0" w:space="0" w:color="auto"/>
        <w:bottom w:val="none" w:sz="0" w:space="0" w:color="auto"/>
        <w:right w:val="none" w:sz="0" w:space="0" w:color="auto"/>
      </w:divBdr>
    </w:div>
    <w:div w:id="704646381">
      <w:bodyDiv w:val="1"/>
      <w:marLeft w:val="0"/>
      <w:marRight w:val="0"/>
      <w:marTop w:val="0"/>
      <w:marBottom w:val="0"/>
      <w:divBdr>
        <w:top w:val="none" w:sz="0" w:space="0" w:color="auto"/>
        <w:left w:val="none" w:sz="0" w:space="0" w:color="auto"/>
        <w:bottom w:val="none" w:sz="0" w:space="0" w:color="auto"/>
        <w:right w:val="none" w:sz="0" w:space="0" w:color="auto"/>
      </w:divBdr>
    </w:div>
    <w:div w:id="705449318">
      <w:bodyDiv w:val="1"/>
      <w:marLeft w:val="0"/>
      <w:marRight w:val="0"/>
      <w:marTop w:val="0"/>
      <w:marBottom w:val="0"/>
      <w:divBdr>
        <w:top w:val="none" w:sz="0" w:space="0" w:color="auto"/>
        <w:left w:val="none" w:sz="0" w:space="0" w:color="auto"/>
        <w:bottom w:val="none" w:sz="0" w:space="0" w:color="auto"/>
        <w:right w:val="none" w:sz="0" w:space="0" w:color="auto"/>
      </w:divBdr>
    </w:div>
    <w:div w:id="899246564">
      <w:bodyDiv w:val="1"/>
      <w:marLeft w:val="0"/>
      <w:marRight w:val="0"/>
      <w:marTop w:val="0"/>
      <w:marBottom w:val="0"/>
      <w:divBdr>
        <w:top w:val="none" w:sz="0" w:space="0" w:color="auto"/>
        <w:left w:val="none" w:sz="0" w:space="0" w:color="auto"/>
        <w:bottom w:val="none" w:sz="0" w:space="0" w:color="auto"/>
        <w:right w:val="none" w:sz="0" w:space="0" w:color="auto"/>
      </w:divBdr>
    </w:div>
    <w:div w:id="1001541868">
      <w:bodyDiv w:val="1"/>
      <w:marLeft w:val="0"/>
      <w:marRight w:val="0"/>
      <w:marTop w:val="0"/>
      <w:marBottom w:val="0"/>
      <w:divBdr>
        <w:top w:val="none" w:sz="0" w:space="0" w:color="auto"/>
        <w:left w:val="none" w:sz="0" w:space="0" w:color="auto"/>
        <w:bottom w:val="none" w:sz="0" w:space="0" w:color="auto"/>
        <w:right w:val="none" w:sz="0" w:space="0" w:color="auto"/>
      </w:divBdr>
    </w:div>
    <w:div w:id="1054351394">
      <w:bodyDiv w:val="1"/>
      <w:marLeft w:val="0"/>
      <w:marRight w:val="0"/>
      <w:marTop w:val="0"/>
      <w:marBottom w:val="0"/>
      <w:divBdr>
        <w:top w:val="none" w:sz="0" w:space="0" w:color="auto"/>
        <w:left w:val="none" w:sz="0" w:space="0" w:color="auto"/>
        <w:bottom w:val="none" w:sz="0" w:space="0" w:color="auto"/>
        <w:right w:val="none" w:sz="0" w:space="0" w:color="auto"/>
      </w:divBdr>
    </w:div>
    <w:div w:id="1098868457">
      <w:bodyDiv w:val="1"/>
      <w:marLeft w:val="0"/>
      <w:marRight w:val="0"/>
      <w:marTop w:val="0"/>
      <w:marBottom w:val="0"/>
      <w:divBdr>
        <w:top w:val="none" w:sz="0" w:space="0" w:color="auto"/>
        <w:left w:val="none" w:sz="0" w:space="0" w:color="auto"/>
        <w:bottom w:val="none" w:sz="0" w:space="0" w:color="auto"/>
        <w:right w:val="none" w:sz="0" w:space="0" w:color="auto"/>
      </w:divBdr>
    </w:div>
    <w:div w:id="1120882890">
      <w:bodyDiv w:val="1"/>
      <w:marLeft w:val="0"/>
      <w:marRight w:val="0"/>
      <w:marTop w:val="0"/>
      <w:marBottom w:val="0"/>
      <w:divBdr>
        <w:top w:val="none" w:sz="0" w:space="0" w:color="auto"/>
        <w:left w:val="none" w:sz="0" w:space="0" w:color="auto"/>
        <w:bottom w:val="none" w:sz="0" w:space="0" w:color="auto"/>
        <w:right w:val="none" w:sz="0" w:space="0" w:color="auto"/>
      </w:divBdr>
    </w:div>
    <w:div w:id="1124617697">
      <w:bodyDiv w:val="1"/>
      <w:marLeft w:val="0"/>
      <w:marRight w:val="0"/>
      <w:marTop w:val="0"/>
      <w:marBottom w:val="0"/>
      <w:divBdr>
        <w:top w:val="none" w:sz="0" w:space="0" w:color="auto"/>
        <w:left w:val="none" w:sz="0" w:space="0" w:color="auto"/>
        <w:bottom w:val="none" w:sz="0" w:space="0" w:color="auto"/>
        <w:right w:val="none" w:sz="0" w:space="0" w:color="auto"/>
      </w:divBdr>
      <w:divsChild>
        <w:div w:id="470708986">
          <w:marLeft w:val="0"/>
          <w:marRight w:val="0"/>
          <w:marTop w:val="0"/>
          <w:marBottom w:val="0"/>
          <w:divBdr>
            <w:top w:val="none" w:sz="0" w:space="0" w:color="auto"/>
            <w:left w:val="none" w:sz="0" w:space="0" w:color="auto"/>
            <w:bottom w:val="none" w:sz="0" w:space="0" w:color="auto"/>
            <w:right w:val="none" w:sz="0" w:space="0" w:color="auto"/>
          </w:divBdr>
        </w:div>
        <w:div w:id="1608851746">
          <w:marLeft w:val="0"/>
          <w:marRight w:val="0"/>
          <w:marTop w:val="0"/>
          <w:marBottom w:val="0"/>
          <w:divBdr>
            <w:top w:val="none" w:sz="0" w:space="0" w:color="auto"/>
            <w:left w:val="none" w:sz="0" w:space="0" w:color="auto"/>
            <w:bottom w:val="none" w:sz="0" w:space="0" w:color="auto"/>
            <w:right w:val="none" w:sz="0" w:space="0" w:color="auto"/>
          </w:divBdr>
        </w:div>
        <w:div w:id="2061974801">
          <w:marLeft w:val="0"/>
          <w:marRight w:val="0"/>
          <w:marTop w:val="0"/>
          <w:marBottom w:val="0"/>
          <w:divBdr>
            <w:top w:val="none" w:sz="0" w:space="0" w:color="auto"/>
            <w:left w:val="none" w:sz="0" w:space="0" w:color="auto"/>
            <w:bottom w:val="none" w:sz="0" w:space="0" w:color="auto"/>
            <w:right w:val="none" w:sz="0" w:space="0" w:color="auto"/>
          </w:divBdr>
        </w:div>
      </w:divsChild>
    </w:div>
    <w:div w:id="1126659777">
      <w:bodyDiv w:val="1"/>
      <w:marLeft w:val="0"/>
      <w:marRight w:val="0"/>
      <w:marTop w:val="0"/>
      <w:marBottom w:val="0"/>
      <w:divBdr>
        <w:top w:val="none" w:sz="0" w:space="0" w:color="auto"/>
        <w:left w:val="none" w:sz="0" w:space="0" w:color="auto"/>
        <w:bottom w:val="none" w:sz="0" w:space="0" w:color="auto"/>
        <w:right w:val="none" w:sz="0" w:space="0" w:color="auto"/>
      </w:divBdr>
    </w:div>
    <w:div w:id="1185100144">
      <w:bodyDiv w:val="1"/>
      <w:marLeft w:val="0"/>
      <w:marRight w:val="0"/>
      <w:marTop w:val="0"/>
      <w:marBottom w:val="0"/>
      <w:divBdr>
        <w:top w:val="none" w:sz="0" w:space="0" w:color="auto"/>
        <w:left w:val="none" w:sz="0" w:space="0" w:color="auto"/>
        <w:bottom w:val="none" w:sz="0" w:space="0" w:color="auto"/>
        <w:right w:val="none" w:sz="0" w:space="0" w:color="auto"/>
      </w:divBdr>
    </w:div>
    <w:div w:id="1234270696">
      <w:bodyDiv w:val="1"/>
      <w:marLeft w:val="0"/>
      <w:marRight w:val="0"/>
      <w:marTop w:val="0"/>
      <w:marBottom w:val="0"/>
      <w:divBdr>
        <w:top w:val="none" w:sz="0" w:space="0" w:color="auto"/>
        <w:left w:val="none" w:sz="0" w:space="0" w:color="auto"/>
        <w:bottom w:val="none" w:sz="0" w:space="0" w:color="auto"/>
        <w:right w:val="none" w:sz="0" w:space="0" w:color="auto"/>
      </w:divBdr>
    </w:div>
    <w:div w:id="1301620030">
      <w:bodyDiv w:val="1"/>
      <w:marLeft w:val="0"/>
      <w:marRight w:val="0"/>
      <w:marTop w:val="0"/>
      <w:marBottom w:val="0"/>
      <w:divBdr>
        <w:top w:val="none" w:sz="0" w:space="0" w:color="auto"/>
        <w:left w:val="none" w:sz="0" w:space="0" w:color="auto"/>
        <w:bottom w:val="none" w:sz="0" w:space="0" w:color="auto"/>
        <w:right w:val="none" w:sz="0" w:space="0" w:color="auto"/>
      </w:divBdr>
    </w:div>
    <w:div w:id="1309364329">
      <w:bodyDiv w:val="1"/>
      <w:marLeft w:val="0"/>
      <w:marRight w:val="0"/>
      <w:marTop w:val="0"/>
      <w:marBottom w:val="0"/>
      <w:divBdr>
        <w:top w:val="none" w:sz="0" w:space="0" w:color="auto"/>
        <w:left w:val="none" w:sz="0" w:space="0" w:color="auto"/>
        <w:bottom w:val="none" w:sz="0" w:space="0" w:color="auto"/>
        <w:right w:val="none" w:sz="0" w:space="0" w:color="auto"/>
      </w:divBdr>
    </w:div>
    <w:div w:id="1334602285">
      <w:bodyDiv w:val="1"/>
      <w:marLeft w:val="0"/>
      <w:marRight w:val="0"/>
      <w:marTop w:val="0"/>
      <w:marBottom w:val="450"/>
      <w:divBdr>
        <w:top w:val="none" w:sz="0" w:space="0" w:color="auto"/>
        <w:left w:val="none" w:sz="0" w:space="0" w:color="auto"/>
        <w:bottom w:val="none" w:sz="0" w:space="0" w:color="auto"/>
        <w:right w:val="none" w:sz="0" w:space="0" w:color="auto"/>
      </w:divBdr>
      <w:divsChild>
        <w:div w:id="1897664211">
          <w:marLeft w:val="0"/>
          <w:marRight w:val="0"/>
          <w:marTop w:val="0"/>
          <w:marBottom w:val="0"/>
          <w:divBdr>
            <w:top w:val="none" w:sz="0" w:space="0" w:color="auto"/>
            <w:left w:val="none" w:sz="0" w:space="0" w:color="auto"/>
            <w:bottom w:val="none" w:sz="0" w:space="0" w:color="auto"/>
            <w:right w:val="none" w:sz="0" w:space="0" w:color="auto"/>
          </w:divBdr>
          <w:divsChild>
            <w:div w:id="741223473">
              <w:marLeft w:val="0"/>
              <w:marRight w:val="0"/>
              <w:marTop w:val="0"/>
              <w:marBottom w:val="0"/>
              <w:divBdr>
                <w:top w:val="none" w:sz="0" w:space="0" w:color="auto"/>
                <w:left w:val="none" w:sz="0" w:space="0" w:color="auto"/>
                <w:bottom w:val="none" w:sz="0" w:space="0" w:color="auto"/>
                <w:right w:val="none" w:sz="0" w:space="0" w:color="auto"/>
              </w:divBdr>
              <w:divsChild>
                <w:div w:id="1847749360">
                  <w:marLeft w:val="0"/>
                  <w:marRight w:val="0"/>
                  <w:marTop w:val="165"/>
                  <w:marBottom w:val="0"/>
                  <w:divBdr>
                    <w:top w:val="none" w:sz="0" w:space="0" w:color="auto"/>
                    <w:left w:val="none" w:sz="0" w:space="0" w:color="auto"/>
                    <w:bottom w:val="none" w:sz="0" w:space="0" w:color="auto"/>
                    <w:right w:val="none" w:sz="0" w:space="0" w:color="auto"/>
                  </w:divBdr>
                  <w:divsChild>
                    <w:div w:id="1469283686">
                      <w:marLeft w:val="0"/>
                      <w:marRight w:val="0"/>
                      <w:marTop w:val="0"/>
                      <w:marBottom w:val="0"/>
                      <w:divBdr>
                        <w:top w:val="none" w:sz="0" w:space="0" w:color="auto"/>
                        <w:left w:val="none" w:sz="0" w:space="0" w:color="auto"/>
                        <w:bottom w:val="none" w:sz="0" w:space="0" w:color="auto"/>
                        <w:right w:val="none" w:sz="0" w:space="0" w:color="auto"/>
                      </w:divBdr>
                      <w:divsChild>
                        <w:div w:id="1848326103">
                          <w:marLeft w:val="0"/>
                          <w:marRight w:val="0"/>
                          <w:marTop w:val="0"/>
                          <w:marBottom w:val="0"/>
                          <w:divBdr>
                            <w:top w:val="none" w:sz="0" w:space="0" w:color="auto"/>
                            <w:left w:val="none" w:sz="0" w:space="0" w:color="auto"/>
                            <w:bottom w:val="none" w:sz="0" w:space="0" w:color="auto"/>
                            <w:right w:val="none" w:sz="0" w:space="0" w:color="auto"/>
                          </w:divBdr>
                          <w:divsChild>
                            <w:div w:id="1417900573">
                              <w:marLeft w:val="3600"/>
                              <w:marRight w:val="0"/>
                              <w:marTop w:val="0"/>
                              <w:marBottom w:val="0"/>
                              <w:divBdr>
                                <w:top w:val="none" w:sz="0" w:space="0" w:color="auto"/>
                                <w:left w:val="none" w:sz="0" w:space="0" w:color="auto"/>
                                <w:bottom w:val="none" w:sz="0" w:space="0" w:color="auto"/>
                                <w:right w:val="none" w:sz="0" w:space="0" w:color="auto"/>
                              </w:divBdr>
                              <w:divsChild>
                                <w:div w:id="543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7668">
      <w:bodyDiv w:val="1"/>
      <w:marLeft w:val="0"/>
      <w:marRight w:val="0"/>
      <w:marTop w:val="0"/>
      <w:marBottom w:val="0"/>
      <w:divBdr>
        <w:top w:val="none" w:sz="0" w:space="0" w:color="auto"/>
        <w:left w:val="none" w:sz="0" w:space="0" w:color="auto"/>
        <w:bottom w:val="none" w:sz="0" w:space="0" w:color="auto"/>
        <w:right w:val="none" w:sz="0" w:space="0" w:color="auto"/>
      </w:divBdr>
    </w:div>
    <w:div w:id="1470785543">
      <w:bodyDiv w:val="1"/>
      <w:marLeft w:val="0"/>
      <w:marRight w:val="0"/>
      <w:marTop w:val="0"/>
      <w:marBottom w:val="0"/>
      <w:divBdr>
        <w:top w:val="none" w:sz="0" w:space="0" w:color="auto"/>
        <w:left w:val="none" w:sz="0" w:space="0" w:color="auto"/>
        <w:bottom w:val="none" w:sz="0" w:space="0" w:color="auto"/>
        <w:right w:val="none" w:sz="0" w:space="0" w:color="auto"/>
      </w:divBdr>
    </w:div>
    <w:div w:id="1613315377">
      <w:bodyDiv w:val="1"/>
      <w:marLeft w:val="0"/>
      <w:marRight w:val="0"/>
      <w:marTop w:val="0"/>
      <w:marBottom w:val="0"/>
      <w:divBdr>
        <w:top w:val="none" w:sz="0" w:space="0" w:color="auto"/>
        <w:left w:val="none" w:sz="0" w:space="0" w:color="auto"/>
        <w:bottom w:val="none" w:sz="0" w:space="0" w:color="auto"/>
        <w:right w:val="none" w:sz="0" w:space="0" w:color="auto"/>
      </w:divBdr>
      <w:divsChild>
        <w:div w:id="754084864">
          <w:marLeft w:val="0"/>
          <w:marRight w:val="0"/>
          <w:marTop w:val="0"/>
          <w:marBottom w:val="0"/>
          <w:divBdr>
            <w:top w:val="none" w:sz="0" w:space="7" w:color="auto"/>
            <w:left w:val="none" w:sz="0" w:space="7" w:color="auto"/>
            <w:bottom w:val="none" w:sz="0" w:space="7" w:color="auto"/>
            <w:right w:val="none" w:sz="0" w:space="7" w:color="auto"/>
          </w:divBdr>
        </w:div>
      </w:divsChild>
    </w:div>
    <w:div w:id="1624530803">
      <w:bodyDiv w:val="1"/>
      <w:marLeft w:val="0"/>
      <w:marRight w:val="0"/>
      <w:marTop w:val="0"/>
      <w:marBottom w:val="0"/>
      <w:divBdr>
        <w:top w:val="none" w:sz="0" w:space="0" w:color="auto"/>
        <w:left w:val="none" w:sz="0" w:space="0" w:color="auto"/>
        <w:bottom w:val="none" w:sz="0" w:space="0" w:color="auto"/>
        <w:right w:val="none" w:sz="0" w:space="0" w:color="auto"/>
      </w:divBdr>
    </w:div>
    <w:div w:id="1640455169">
      <w:bodyDiv w:val="1"/>
      <w:marLeft w:val="0"/>
      <w:marRight w:val="0"/>
      <w:marTop w:val="0"/>
      <w:marBottom w:val="0"/>
      <w:divBdr>
        <w:top w:val="none" w:sz="0" w:space="0" w:color="auto"/>
        <w:left w:val="none" w:sz="0" w:space="0" w:color="auto"/>
        <w:bottom w:val="none" w:sz="0" w:space="0" w:color="auto"/>
        <w:right w:val="none" w:sz="0" w:space="0" w:color="auto"/>
      </w:divBdr>
    </w:div>
    <w:div w:id="1867710530">
      <w:bodyDiv w:val="1"/>
      <w:marLeft w:val="0"/>
      <w:marRight w:val="0"/>
      <w:marTop w:val="0"/>
      <w:marBottom w:val="0"/>
      <w:divBdr>
        <w:top w:val="none" w:sz="0" w:space="0" w:color="auto"/>
        <w:left w:val="none" w:sz="0" w:space="0" w:color="auto"/>
        <w:bottom w:val="none" w:sz="0" w:space="0" w:color="auto"/>
        <w:right w:val="none" w:sz="0" w:space="0" w:color="auto"/>
      </w:divBdr>
    </w:div>
    <w:div w:id="1962684910">
      <w:bodyDiv w:val="1"/>
      <w:marLeft w:val="0"/>
      <w:marRight w:val="0"/>
      <w:marTop w:val="0"/>
      <w:marBottom w:val="0"/>
      <w:divBdr>
        <w:top w:val="none" w:sz="0" w:space="0" w:color="auto"/>
        <w:left w:val="none" w:sz="0" w:space="0" w:color="auto"/>
        <w:bottom w:val="none" w:sz="0" w:space="0" w:color="auto"/>
        <w:right w:val="none" w:sz="0" w:space="0" w:color="auto"/>
      </w:divBdr>
    </w:div>
    <w:div w:id="2081755118">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TES0 xmlns="dc144a42-6af7-4494-b927-173035433f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D1E3-2D29-4CB4-9AE6-C4C0071B4A61}">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dc144a42-6af7-4494-b927-173035433fd5"/>
  </ds:schemaRefs>
</ds:datastoreItem>
</file>

<file path=customXml/itemProps2.xml><?xml version="1.0" encoding="utf-8"?>
<ds:datastoreItem xmlns:ds="http://schemas.openxmlformats.org/officeDocument/2006/customXml" ds:itemID="{8A27DCC0-64D0-4642-BD7E-A16CFDAA0D56}">
  <ds:schemaRefs>
    <ds:schemaRef ds:uri="http://schemas.microsoft.com/sharepoint/v3/contenttype/forms"/>
  </ds:schemaRefs>
</ds:datastoreItem>
</file>

<file path=customXml/itemProps3.xml><?xml version="1.0" encoding="utf-8"?>
<ds:datastoreItem xmlns:ds="http://schemas.openxmlformats.org/officeDocument/2006/customXml" ds:itemID="{083FAA75-CF8E-4F3D-902C-72347E7E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F8EEBA-302E-445C-A4B1-2400C498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Tibaduiza, Elizabeth</cp:lastModifiedBy>
  <cp:revision>2</cp:revision>
  <cp:lastPrinted>2016-10-10T20:13:00Z</cp:lastPrinted>
  <dcterms:created xsi:type="dcterms:W3CDTF">2016-10-11T17:58:00Z</dcterms:created>
  <dcterms:modified xsi:type="dcterms:W3CDTF">2016-10-11T17:58:00Z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0x010100B92C6E295E879E469434C2A81D4094AE</vt:lpwstr>
  </property>
</Properties>
</file>