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7F0" w:rsidRDefault="001D17F0">
      <w:pPr>
        <w:jc w:val="center"/>
        <w:rPr>
          <w:b/>
          <w:bCs/>
          <w:iCs/>
        </w:rPr>
      </w:pPr>
    </w:p>
    <w:p w:rsidR="00CA444B" w:rsidRDefault="00116747" w:rsidP="004C438D">
      <w:pPr>
        <w:jc w:val="center"/>
        <w:outlineLvl w:val="0"/>
        <w:rPr>
          <w:b/>
          <w:bCs/>
          <w:iCs/>
        </w:rPr>
      </w:pPr>
      <w:r>
        <w:rPr>
          <w:b/>
          <w:bCs/>
          <w:iCs/>
        </w:rPr>
        <w:t xml:space="preserve">Supporting Statement </w:t>
      </w:r>
    </w:p>
    <w:p w:rsidR="00CA444B" w:rsidRDefault="00CA444B" w:rsidP="004C438D">
      <w:pPr>
        <w:jc w:val="center"/>
        <w:outlineLvl w:val="0"/>
        <w:rPr>
          <w:b/>
          <w:bCs/>
          <w:iCs/>
        </w:rPr>
      </w:pPr>
    </w:p>
    <w:p w:rsidR="0003580D" w:rsidRDefault="0003580D" w:rsidP="004C438D">
      <w:pPr>
        <w:jc w:val="center"/>
        <w:outlineLvl w:val="0"/>
        <w:rPr>
          <w:b/>
          <w:bCs/>
          <w:iCs/>
        </w:rPr>
      </w:pPr>
    </w:p>
    <w:p w:rsidR="007C63E7" w:rsidRPr="007C63E7" w:rsidRDefault="00116747" w:rsidP="007C63E7">
      <w:pPr>
        <w:jc w:val="center"/>
        <w:outlineLvl w:val="0"/>
        <w:rPr>
          <w:b/>
          <w:bCs/>
          <w:iCs/>
        </w:rPr>
      </w:pPr>
      <w:r>
        <w:rPr>
          <w:b/>
          <w:bCs/>
          <w:iCs/>
        </w:rPr>
        <w:t xml:space="preserve"> </w:t>
      </w:r>
      <w:r w:rsidR="007C63E7" w:rsidRPr="007C63E7">
        <w:rPr>
          <w:b/>
          <w:bCs/>
          <w:iCs/>
        </w:rPr>
        <w:t>National Center for Health Statistics (NCHS) Confidentiality Pledge Revision Notice</w:t>
      </w:r>
    </w:p>
    <w:p w:rsidR="007C63E7" w:rsidRPr="007C63E7" w:rsidRDefault="007C63E7" w:rsidP="007C63E7">
      <w:pPr>
        <w:jc w:val="center"/>
        <w:outlineLvl w:val="0"/>
        <w:rPr>
          <w:b/>
          <w:bCs/>
          <w:iCs/>
        </w:rPr>
      </w:pPr>
    </w:p>
    <w:p w:rsidR="001D17F0" w:rsidRDefault="007C63E7" w:rsidP="007C63E7">
      <w:pPr>
        <w:jc w:val="center"/>
        <w:outlineLvl w:val="0"/>
        <w:rPr>
          <w:b/>
          <w:bCs/>
          <w:iCs/>
        </w:rPr>
      </w:pPr>
      <w:r w:rsidRPr="007C63E7">
        <w:rPr>
          <w:b/>
          <w:bCs/>
          <w:iCs/>
        </w:rPr>
        <w:t>Request for OMB approval of an Emergency ICR</w:t>
      </w:r>
    </w:p>
    <w:p w:rsidR="001D17F0" w:rsidRDefault="001D17F0">
      <w:pPr>
        <w:jc w:val="center"/>
        <w:rPr>
          <w:b/>
          <w:bCs/>
          <w:iCs/>
        </w:rPr>
      </w:pPr>
    </w:p>
    <w:p w:rsidR="001D17F0" w:rsidRDefault="001D17F0" w:rsidP="004C438D">
      <w:pPr>
        <w:jc w:val="center"/>
        <w:outlineLvl w:val="0"/>
        <w:rPr>
          <w:b/>
          <w:bCs/>
          <w:iCs/>
        </w:rPr>
      </w:pPr>
      <w:r>
        <w:rPr>
          <w:b/>
          <w:bCs/>
          <w:iCs/>
        </w:rPr>
        <w:t xml:space="preserve">Contact </w:t>
      </w:r>
      <w:r w:rsidR="00746515">
        <w:rPr>
          <w:b/>
          <w:bCs/>
          <w:iCs/>
        </w:rPr>
        <w:t>Information</w:t>
      </w:r>
    </w:p>
    <w:p w:rsidR="001D17F0" w:rsidRDefault="001D17F0">
      <w:pPr>
        <w:jc w:val="center"/>
        <w:rPr>
          <w:b/>
          <w:bCs/>
          <w:iCs/>
        </w:rPr>
      </w:pPr>
    </w:p>
    <w:p w:rsidR="001D17F0" w:rsidRDefault="005951B4" w:rsidP="004C438D">
      <w:pPr>
        <w:jc w:val="center"/>
        <w:outlineLvl w:val="0"/>
        <w:rPr>
          <w:b/>
          <w:bCs/>
          <w:iCs/>
        </w:rPr>
      </w:pPr>
      <w:r>
        <w:rPr>
          <w:b/>
          <w:bCs/>
          <w:iCs/>
        </w:rPr>
        <w:t>Susan G. Queen</w:t>
      </w:r>
      <w:r w:rsidR="005E1E7F">
        <w:rPr>
          <w:b/>
          <w:bCs/>
          <w:iCs/>
        </w:rPr>
        <w:t>, P</w:t>
      </w:r>
      <w:r>
        <w:rPr>
          <w:b/>
          <w:bCs/>
          <w:iCs/>
        </w:rPr>
        <w:t>h</w:t>
      </w:r>
      <w:r w:rsidR="005E1E7F">
        <w:rPr>
          <w:b/>
          <w:bCs/>
          <w:iCs/>
        </w:rPr>
        <w:t>.</w:t>
      </w:r>
      <w:r>
        <w:rPr>
          <w:b/>
          <w:bCs/>
          <w:iCs/>
        </w:rPr>
        <w:t>D</w:t>
      </w:r>
      <w:r w:rsidR="005E1E7F">
        <w:rPr>
          <w:b/>
          <w:bCs/>
          <w:iCs/>
        </w:rPr>
        <w:t>.</w:t>
      </w:r>
    </w:p>
    <w:p w:rsidR="001D17F0" w:rsidRDefault="001D17F0">
      <w:pPr>
        <w:jc w:val="center"/>
        <w:rPr>
          <w:b/>
          <w:bCs/>
          <w:iCs/>
        </w:rPr>
      </w:pPr>
      <w:r>
        <w:rPr>
          <w:b/>
          <w:bCs/>
          <w:iCs/>
        </w:rPr>
        <w:t xml:space="preserve">Office of </w:t>
      </w:r>
      <w:r w:rsidR="00116747">
        <w:rPr>
          <w:b/>
          <w:bCs/>
          <w:iCs/>
        </w:rPr>
        <w:t>Planning, Budget, and Legislation</w:t>
      </w:r>
    </w:p>
    <w:p w:rsidR="001D17F0" w:rsidRDefault="001D17F0">
      <w:pPr>
        <w:jc w:val="center"/>
        <w:rPr>
          <w:b/>
          <w:bCs/>
          <w:iCs/>
        </w:rPr>
      </w:pPr>
      <w:smartTag w:uri="urn:schemas-microsoft-com:office:smarttags" w:element="place">
        <w:smartTag w:uri="urn:schemas-microsoft-com:office:smarttags" w:element="PlaceName">
          <w:r>
            <w:rPr>
              <w:b/>
              <w:bCs/>
              <w:iCs/>
            </w:rPr>
            <w:t>National</w:t>
          </w:r>
        </w:smartTag>
        <w:r>
          <w:rPr>
            <w:b/>
            <w:bCs/>
            <w:iCs/>
          </w:rPr>
          <w:t xml:space="preserve"> </w:t>
        </w:r>
        <w:smartTag w:uri="urn:schemas-microsoft-com:office:smarttags" w:element="PlaceType">
          <w:r>
            <w:rPr>
              <w:b/>
              <w:bCs/>
              <w:iCs/>
            </w:rPr>
            <w:t>Center</w:t>
          </w:r>
        </w:smartTag>
      </w:smartTag>
      <w:r>
        <w:rPr>
          <w:b/>
          <w:bCs/>
          <w:iCs/>
        </w:rPr>
        <w:t xml:space="preserve"> for Health Statistics</w:t>
      </w:r>
    </w:p>
    <w:p w:rsidR="001D17F0" w:rsidRDefault="00746515">
      <w:pPr>
        <w:jc w:val="center"/>
        <w:rPr>
          <w:b/>
          <w:bCs/>
          <w:iCs/>
        </w:rPr>
      </w:pPr>
      <w:r>
        <w:rPr>
          <w:b/>
          <w:bCs/>
          <w:iCs/>
        </w:rPr>
        <w:t xml:space="preserve">3311 Toledo Road, Room </w:t>
      </w:r>
      <w:r w:rsidR="005951B4">
        <w:rPr>
          <w:b/>
          <w:bCs/>
          <w:iCs/>
        </w:rPr>
        <w:t>2590</w:t>
      </w:r>
    </w:p>
    <w:p w:rsidR="00746515" w:rsidRDefault="00746515">
      <w:pPr>
        <w:jc w:val="center"/>
        <w:rPr>
          <w:b/>
          <w:bCs/>
          <w:iCs/>
        </w:rPr>
      </w:pPr>
      <w:r>
        <w:rPr>
          <w:b/>
          <w:bCs/>
          <w:iCs/>
        </w:rPr>
        <w:t>Hyattsville, MD 20782</w:t>
      </w:r>
    </w:p>
    <w:p w:rsidR="00746515" w:rsidRDefault="009D77EF" w:rsidP="00746515">
      <w:pPr>
        <w:jc w:val="center"/>
        <w:rPr>
          <w:b/>
          <w:bCs/>
          <w:iCs/>
        </w:rPr>
      </w:pPr>
      <w:r>
        <w:rPr>
          <w:b/>
          <w:bCs/>
          <w:iCs/>
        </w:rPr>
        <w:t>301-</w:t>
      </w:r>
      <w:r w:rsidR="001D17F0">
        <w:rPr>
          <w:b/>
          <w:bCs/>
          <w:iCs/>
        </w:rPr>
        <w:t>458-</w:t>
      </w:r>
      <w:r w:rsidR="00116747">
        <w:rPr>
          <w:b/>
          <w:bCs/>
          <w:iCs/>
        </w:rPr>
        <w:t>4</w:t>
      </w:r>
      <w:r>
        <w:rPr>
          <w:b/>
          <w:bCs/>
          <w:iCs/>
        </w:rPr>
        <w:t>2</w:t>
      </w:r>
      <w:r w:rsidR="005951B4">
        <w:rPr>
          <w:b/>
          <w:bCs/>
          <w:iCs/>
        </w:rPr>
        <w:t>81</w:t>
      </w:r>
      <w:r w:rsidR="00746515" w:rsidRPr="00746515">
        <w:rPr>
          <w:b/>
          <w:bCs/>
          <w:iCs/>
        </w:rPr>
        <w:t xml:space="preserve"> </w:t>
      </w:r>
    </w:p>
    <w:p w:rsidR="00746515" w:rsidRDefault="003C5801" w:rsidP="00746515">
      <w:pPr>
        <w:jc w:val="center"/>
        <w:rPr>
          <w:b/>
          <w:bCs/>
          <w:iCs/>
        </w:rPr>
      </w:pPr>
      <w:hyperlink r:id="rId8" w:history="1">
        <w:r w:rsidR="005951B4" w:rsidRPr="0005470F">
          <w:rPr>
            <w:rStyle w:val="Hyperlink"/>
            <w:b/>
            <w:bCs/>
            <w:iCs/>
          </w:rPr>
          <w:t>sgq1@cdc.gov</w:t>
        </w:r>
      </w:hyperlink>
    </w:p>
    <w:p w:rsidR="00746515" w:rsidRDefault="00746515" w:rsidP="00746515">
      <w:pPr>
        <w:jc w:val="center"/>
        <w:rPr>
          <w:b/>
          <w:bCs/>
          <w:iCs/>
        </w:rPr>
      </w:pPr>
    </w:p>
    <w:p w:rsidR="00746515" w:rsidRDefault="00746515" w:rsidP="00746515">
      <w:pPr>
        <w:jc w:val="center"/>
        <w:rPr>
          <w:b/>
          <w:bCs/>
          <w:iCs/>
        </w:rPr>
      </w:pPr>
    </w:p>
    <w:p w:rsidR="00A67D8E" w:rsidRPr="00B73F2F" w:rsidRDefault="007C63E7" w:rsidP="00A67D8E">
      <w:pPr>
        <w:spacing w:before="480" w:after="120"/>
        <w:jc w:val="center"/>
        <w:rPr>
          <w:rFonts w:eastAsia="Calibri"/>
        </w:rPr>
      </w:pPr>
      <w:r>
        <w:rPr>
          <w:b/>
          <w:bCs/>
          <w:iCs/>
        </w:rPr>
        <w:t xml:space="preserve">January </w:t>
      </w:r>
      <w:r w:rsidR="003E5031">
        <w:rPr>
          <w:b/>
          <w:bCs/>
          <w:iCs/>
        </w:rPr>
        <w:t>11</w:t>
      </w:r>
      <w:r>
        <w:rPr>
          <w:b/>
          <w:bCs/>
          <w:iCs/>
        </w:rPr>
        <w:t>, 2017</w:t>
      </w:r>
      <w:r w:rsidR="00A67D8E">
        <w:rPr>
          <w:b/>
          <w:bCs/>
          <w:i/>
          <w:iCs/>
        </w:rPr>
        <w:br w:type="page"/>
      </w:r>
      <w:r w:rsidR="00A67D8E" w:rsidRPr="00B73F2F">
        <w:rPr>
          <w:rFonts w:eastAsia="Calibri"/>
        </w:rPr>
        <w:lastRenderedPageBreak/>
        <w:t xml:space="preserve">SUPPORTING STATEMENT </w:t>
      </w:r>
    </w:p>
    <w:p w:rsidR="00A67D8E" w:rsidRPr="00A67D8E" w:rsidRDefault="00A67D8E" w:rsidP="00A67D8E">
      <w:pPr>
        <w:widowControl/>
        <w:autoSpaceDE/>
        <w:autoSpaceDN/>
        <w:adjustRightInd/>
        <w:spacing w:before="120" w:after="240"/>
        <w:jc w:val="center"/>
        <w:rPr>
          <w:rFonts w:ascii="Calibri" w:eastAsia="Calibri" w:hAnsi="Calibri" w:cs="Arial"/>
          <w:b/>
          <w:sz w:val="22"/>
          <w:szCs w:val="22"/>
        </w:rPr>
      </w:pPr>
      <w:r w:rsidRPr="00A67D8E">
        <w:rPr>
          <w:rFonts w:eastAsia="Calibri"/>
          <w:b/>
          <w:sz w:val="22"/>
          <w:szCs w:val="22"/>
        </w:rPr>
        <w:t>TABLE OF CONTENTS</w:t>
      </w:r>
    </w:p>
    <w:p w:rsidR="00A67D8E" w:rsidRPr="00A67D8E" w:rsidRDefault="00A67D8E" w:rsidP="00A67D8E">
      <w:pPr>
        <w:widowControl/>
        <w:tabs>
          <w:tab w:val="right" w:leader="dot" w:pos="9270"/>
        </w:tabs>
        <w:autoSpaceDE/>
        <w:autoSpaceDN/>
        <w:adjustRightInd/>
        <w:snapToGrid w:val="0"/>
        <w:spacing w:before="480" w:after="120"/>
        <w:rPr>
          <w:rFonts w:eastAsia="Calibri"/>
        </w:rPr>
      </w:pPr>
      <w:r w:rsidRPr="00A67D8E">
        <w:rPr>
          <w:rFonts w:eastAsia="Calibri"/>
        </w:rPr>
        <w:t>A. Justification</w:t>
      </w:r>
      <w:r w:rsidRPr="00A67D8E">
        <w:rPr>
          <w:rFonts w:eastAsia="Calibri"/>
        </w:rPr>
        <w:tab/>
      </w:r>
      <w:r w:rsidR="00E5030A" w:rsidRPr="00B73F2F">
        <w:rPr>
          <w:rFonts w:eastAsia="Calibri"/>
        </w:rPr>
        <w:t>4</w:t>
      </w:r>
    </w:p>
    <w:p w:rsidR="00A67D8E" w:rsidRPr="00A67D8E" w:rsidRDefault="00A67D8E" w:rsidP="00A67D8E">
      <w:pPr>
        <w:widowControl/>
        <w:tabs>
          <w:tab w:val="right" w:leader="dot" w:pos="9270"/>
        </w:tabs>
        <w:autoSpaceDE/>
        <w:autoSpaceDN/>
        <w:adjustRightInd/>
        <w:snapToGrid w:val="0"/>
        <w:spacing w:before="120" w:after="120"/>
        <w:ind w:left="90"/>
        <w:rPr>
          <w:rFonts w:eastAsia="Calibri"/>
        </w:rPr>
      </w:pPr>
      <w:r w:rsidRPr="00A67D8E">
        <w:rPr>
          <w:rFonts w:eastAsia="Calibri"/>
        </w:rPr>
        <w:t>1. Circumstances Making the Collection of Information Necessary</w:t>
      </w:r>
      <w:r w:rsidRPr="00A67D8E">
        <w:rPr>
          <w:rFonts w:eastAsia="Calibri"/>
        </w:rPr>
        <w:tab/>
      </w:r>
      <w:r w:rsidR="00E5030A" w:rsidRPr="00B73F2F">
        <w:rPr>
          <w:rFonts w:eastAsia="Calibri"/>
        </w:rPr>
        <w:t>4</w:t>
      </w:r>
    </w:p>
    <w:p w:rsidR="00A67D8E" w:rsidRPr="00A67D8E" w:rsidRDefault="00A67D8E" w:rsidP="00A67D8E">
      <w:pPr>
        <w:widowControl/>
        <w:tabs>
          <w:tab w:val="right" w:leader="dot" w:pos="9270"/>
        </w:tabs>
        <w:autoSpaceDE/>
        <w:autoSpaceDN/>
        <w:adjustRightInd/>
        <w:snapToGrid w:val="0"/>
        <w:spacing w:before="120" w:after="120"/>
        <w:ind w:left="90"/>
        <w:rPr>
          <w:rFonts w:eastAsia="Calibri"/>
        </w:rPr>
      </w:pPr>
      <w:r w:rsidRPr="00A67D8E">
        <w:rPr>
          <w:rFonts w:eastAsia="Calibri"/>
        </w:rPr>
        <w:t>2. Purpose and Use of the Information Collection</w:t>
      </w:r>
      <w:r w:rsidRPr="00A67D8E">
        <w:rPr>
          <w:rFonts w:eastAsia="Calibri"/>
        </w:rPr>
        <w:tab/>
      </w:r>
      <w:r w:rsidR="00014126">
        <w:rPr>
          <w:rFonts w:eastAsia="Calibri"/>
        </w:rPr>
        <w:t>5</w:t>
      </w:r>
    </w:p>
    <w:p w:rsidR="00A67D8E" w:rsidRPr="00A67D8E" w:rsidRDefault="00A67D8E" w:rsidP="00A67D8E">
      <w:pPr>
        <w:widowControl/>
        <w:tabs>
          <w:tab w:val="right" w:leader="dot" w:pos="9270"/>
        </w:tabs>
        <w:autoSpaceDE/>
        <w:autoSpaceDN/>
        <w:adjustRightInd/>
        <w:snapToGrid w:val="0"/>
        <w:spacing w:before="120" w:after="120"/>
        <w:ind w:left="90"/>
        <w:rPr>
          <w:rFonts w:eastAsia="Calibri"/>
        </w:rPr>
      </w:pPr>
      <w:r w:rsidRPr="00A67D8E">
        <w:rPr>
          <w:rFonts w:eastAsia="Calibri"/>
        </w:rPr>
        <w:t>3. Use of Information Technology and Burden Reduction</w:t>
      </w:r>
      <w:r w:rsidRPr="00A67D8E">
        <w:rPr>
          <w:rFonts w:eastAsia="Calibri"/>
        </w:rPr>
        <w:tab/>
      </w:r>
      <w:r w:rsidR="00014126">
        <w:rPr>
          <w:rFonts w:eastAsia="Calibri"/>
        </w:rPr>
        <w:t>5</w:t>
      </w:r>
    </w:p>
    <w:p w:rsidR="00A67D8E" w:rsidRPr="00A67D8E" w:rsidRDefault="00A67D8E" w:rsidP="00A67D8E">
      <w:pPr>
        <w:widowControl/>
        <w:tabs>
          <w:tab w:val="right" w:leader="dot" w:pos="9270"/>
        </w:tabs>
        <w:autoSpaceDE/>
        <w:autoSpaceDN/>
        <w:adjustRightInd/>
        <w:snapToGrid w:val="0"/>
        <w:spacing w:before="120" w:after="120"/>
        <w:ind w:left="90"/>
        <w:rPr>
          <w:rFonts w:eastAsia="Calibri"/>
        </w:rPr>
      </w:pPr>
      <w:r w:rsidRPr="00A67D8E">
        <w:rPr>
          <w:rFonts w:eastAsia="Calibri"/>
        </w:rPr>
        <w:t>4. Efforts to Identify Duplication and Use of Similar Information</w:t>
      </w:r>
      <w:r w:rsidRPr="00A67D8E">
        <w:rPr>
          <w:rFonts w:eastAsia="Calibri"/>
        </w:rPr>
        <w:tab/>
      </w:r>
      <w:r w:rsidR="00014126">
        <w:rPr>
          <w:rFonts w:eastAsia="Calibri"/>
        </w:rPr>
        <w:t>5</w:t>
      </w:r>
    </w:p>
    <w:p w:rsidR="00A67D8E" w:rsidRPr="00A67D8E" w:rsidRDefault="00A67D8E" w:rsidP="00A67D8E">
      <w:pPr>
        <w:widowControl/>
        <w:tabs>
          <w:tab w:val="right" w:leader="dot" w:pos="9270"/>
        </w:tabs>
        <w:autoSpaceDE/>
        <w:autoSpaceDN/>
        <w:adjustRightInd/>
        <w:snapToGrid w:val="0"/>
        <w:spacing w:before="120" w:after="120"/>
        <w:ind w:left="90"/>
        <w:rPr>
          <w:rFonts w:eastAsia="Calibri"/>
        </w:rPr>
      </w:pPr>
      <w:r w:rsidRPr="00A67D8E">
        <w:rPr>
          <w:rFonts w:eastAsia="Calibri"/>
        </w:rPr>
        <w:t>5. Impact on Small Businesses or Other Small Entities</w:t>
      </w:r>
      <w:r w:rsidRPr="00A67D8E">
        <w:rPr>
          <w:rFonts w:eastAsia="Calibri"/>
        </w:rPr>
        <w:tab/>
      </w:r>
      <w:r w:rsidR="00014126">
        <w:rPr>
          <w:rFonts w:eastAsia="Calibri"/>
        </w:rPr>
        <w:t>5</w:t>
      </w:r>
    </w:p>
    <w:p w:rsidR="00A67D8E" w:rsidRPr="00A67D8E" w:rsidRDefault="00A67D8E" w:rsidP="00A67D8E">
      <w:pPr>
        <w:widowControl/>
        <w:tabs>
          <w:tab w:val="right" w:leader="dot" w:pos="9270"/>
        </w:tabs>
        <w:autoSpaceDE/>
        <w:autoSpaceDN/>
        <w:adjustRightInd/>
        <w:snapToGrid w:val="0"/>
        <w:spacing w:before="120" w:after="120"/>
        <w:ind w:left="90"/>
        <w:rPr>
          <w:rFonts w:eastAsia="Calibri"/>
        </w:rPr>
      </w:pPr>
      <w:r w:rsidRPr="00A67D8E">
        <w:rPr>
          <w:rFonts w:eastAsia="Calibri"/>
        </w:rPr>
        <w:t>6. Consequences of Collecting the Information Less Frequently</w:t>
      </w:r>
      <w:r w:rsidRPr="00A67D8E">
        <w:rPr>
          <w:rFonts w:eastAsia="Calibri"/>
        </w:rPr>
        <w:tab/>
      </w:r>
      <w:r w:rsidR="00014126">
        <w:rPr>
          <w:rFonts w:eastAsia="Calibri"/>
        </w:rPr>
        <w:t>5</w:t>
      </w:r>
    </w:p>
    <w:p w:rsidR="00A67D8E" w:rsidRPr="00A67D8E" w:rsidRDefault="00A67D8E" w:rsidP="00A67D8E">
      <w:pPr>
        <w:widowControl/>
        <w:tabs>
          <w:tab w:val="right" w:leader="dot" w:pos="9270"/>
        </w:tabs>
        <w:autoSpaceDE/>
        <w:autoSpaceDN/>
        <w:adjustRightInd/>
        <w:snapToGrid w:val="0"/>
        <w:spacing w:before="120" w:after="120"/>
        <w:ind w:left="90"/>
        <w:rPr>
          <w:rFonts w:eastAsia="Calibri"/>
        </w:rPr>
      </w:pPr>
      <w:r w:rsidRPr="00A67D8E">
        <w:rPr>
          <w:rFonts w:eastAsia="Calibri"/>
        </w:rPr>
        <w:t>7. Special Circumstances Relating to the Guidelines for 5CFR1320.5</w:t>
      </w:r>
      <w:r w:rsidRPr="00A67D8E">
        <w:rPr>
          <w:rFonts w:eastAsia="Calibri"/>
        </w:rPr>
        <w:tab/>
        <w:t>6</w:t>
      </w:r>
    </w:p>
    <w:p w:rsidR="00A67D8E" w:rsidRPr="00A67D8E" w:rsidRDefault="00A67D8E" w:rsidP="00A67D8E">
      <w:pPr>
        <w:widowControl/>
        <w:tabs>
          <w:tab w:val="right" w:leader="dot" w:pos="9270"/>
        </w:tabs>
        <w:autoSpaceDE/>
        <w:autoSpaceDN/>
        <w:adjustRightInd/>
        <w:snapToGrid w:val="0"/>
        <w:spacing w:before="120" w:after="120"/>
        <w:ind w:left="90"/>
        <w:rPr>
          <w:rFonts w:eastAsia="Calibri"/>
        </w:rPr>
      </w:pPr>
      <w:r w:rsidRPr="00A67D8E">
        <w:rPr>
          <w:rFonts w:eastAsia="Calibri"/>
        </w:rPr>
        <w:t>8. Comments in Response to the Federal Register Notice and Efforts to Consult Outside the Agency</w:t>
      </w:r>
      <w:r w:rsidRPr="00A67D8E">
        <w:rPr>
          <w:rFonts w:eastAsia="Calibri"/>
        </w:rPr>
        <w:tab/>
        <w:t>6</w:t>
      </w:r>
    </w:p>
    <w:p w:rsidR="00A67D8E" w:rsidRPr="00A67D8E" w:rsidRDefault="00A67D8E" w:rsidP="00A67D8E">
      <w:pPr>
        <w:widowControl/>
        <w:tabs>
          <w:tab w:val="right" w:leader="dot" w:pos="9270"/>
        </w:tabs>
        <w:autoSpaceDE/>
        <w:autoSpaceDN/>
        <w:adjustRightInd/>
        <w:snapToGrid w:val="0"/>
        <w:spacing w:before="120" w:after="120"/>
        <w:ind w:left="90"/>
        <w:rPr>
          <w:rFonts w:eastAsia="Calibri"/>
        </w:rPr>
      </w:pPr>
      <w:r w:rsidRPr="00A67D8E">
        <w:rPr>
          <w:rFonts w:eastAsia="Calibri"/>
        </w:rPr>
        <w:t>9. Explanation of Any Remuneration to Respondents</w:t>
      </w:r>
      <w:r w:rsidRPr="00A67D8E">
        <w:rPr>
          <w:rFonts w:eastAsia="Calibri"/>
        </w:rPr>
        <w:tab/>
      </w:r>
      <w:r w:rsidR="00E5030A" w:rsidRPr="00B73F2F">
        <w:rPr>
          <w:rFonts w:eastAsia="Calibri"/>
        </w:rPr>
        <w:t>6</w:t>
      </w:r>
    </w:p>
    <w:p w:rsidR="00A67D8E" w:rsidRPr="00A67D8E" w:rsidRDefault="00A67D8E" w:rsidP="00A67D8E">
      <w:pPr>
        <w:widowControl/>
        <w:tabs>
          <w:tab w:val="right" w:leader="dot" w:pos="9270"/>
        </w:tabs>
        <w:autoSpaceDE/>
        <w:autoSpaceDN/>
        <w:adjustRightInd/>
        <w:snapToGrid w:val="0"/>
        <w:spacing w:before="120" w:after="120"/>
        <w:rPr>
          <w:rFonts w:eastAsia="Calibri"/>
        </w:rPr>
      </w:pPr>
      <w:r w:rsidRPr="00A67D8E">
        <w:rPr>
          <w:rFonts w:eastAsia="Calibri"/>
        </w:rPr>
        <w:t>10. Protection of the Privacy and Confidentiality of Information Provided by Respondents</w:t>
      </w:r>
      <w:r w:rsidRPr="00A67D8E">
        <w:rPr>
          <w:rFonts w:eastAsia="Calibri"/>
        </w:rPr>
        <w:tab/>
      </w:r>
      <w:r w:rsidR="00E5030A" w:rsidRPr="00B73F2F">
        <w:rPr>
          <w:rFonts w:eastAsia="Calibri"/>
        </w:rPr>
        <w:t>6</w:t>
      </w:r>
    </w:p>
    <w:p w:rsidR="00A67D8E" w:rsidRPr="00A67D8E" w:rsidRDefault="00A67D8E" w:rsidP="00A67D8E">
      <w:pPr>
        <w:widowControl/>
        <w:tabs>
          <w:tab w:val="right" w:leader="dot" w:pos="9270"/>
        </w:tabs>
        <w:autoSpaceDE/>
        <w:autoSpaceDN/>
        <w:adjustRightInd/>
        <w:snapToGrid w:val="0"/>
        <w:spacing w:before="120" w:after="120"/>
        <w:rPr>
          <w:rFonts w:eastAsia="Calibri"/>
        </w:rPr>
      </w:pPr>
      <w:r w:rsidRPr="00A67D8E">
        <w:rPr>
          <w:rFonts w:eastAsia="Calibri"/>
        </w:rPr>
        <w:t>11. Institutional Review Board (IRB) and Justification for Sensitive Questions</w:t>
      </w:r>
      <w:r w:rsidRPr="00A67D8E">
        <w:rPr>
          <w:rFonts w:eastAsia="Calibri"/>
        </w:rPr>
        <w:tab/>
      </w:r>
      <w:r w:rsidR="00014126">
        <w:rPr>
          <w:rFonts w:eastAsia="Calibri"/>
        </w:rPr>
        <w:t>6</w:t>
      </w:r>
    </w:p>
    <w:p w:rsidR="00A67D8E" w:rsidRPr="00A67D8E" w:rsidRDefault="00A67D8E" w:rsidP="00A67D8E">
      <w:pPr>
        <w:widowControl/>
        <w:tabs>
          <w:tab w:val="right" w:leader="dot" w:pos="9270"/>
        </w:tabs>
        <w:autoSpaceDE/>
        <w:autoSpaceDN/>
        <w:adjustRightInd/>
        <w:snapToGrid w:val="0"/>
        <w:spacing w:before="120" w:after="120"/>
        <w:rPr>
          <w:rFonts w:eastAsia="Calibri"/>
        </w:rPr>
      </w:pPr>
      <w:r w:rsidRPr="00A67D8E">
        <w:rPr>
          <w:rFonts w:eastAsia="Calibri"/>
        </w:rPr>
        <w:t>12. Estimates of Annualized Burden Hours and Costs</w:t>
      </w:r>
      <w:r w:rsidRPr="00A67D8E">
        <w:rPr>
          <w:rFonts w:eastAsia="Calibri"/>
        </w:rPr>
        <w:tab/>
      </w:r>
      <w:r w:rsidR="00014126">
        <w:rPr>
          <w:rFonts w:eastAsia="Calibri"/>
        </w:rPr>
        <w:t>6</w:t>
      </w:r>
    </w:p>
    <w:p w:rsidR="00A67D8E" w:rsidRPr="00A67D8E" w:rsidRDefault="00A67D8E" w:rsidP="00A67D8E">
      <w:pPr>
        <w:widowControl/>
        <w:tabs>
          <w:tab w:val="right" w:leader="dot" w:pos="9270"/>
        </w:tabs>
        <w:autoSpaceDE/>
        <w:autoSpaceDN/>
        <w:adjustRightInd/>
        <w:snapToGrid w:val="0"/>
        <w:spacing w:before="120" w:after="120"/>
        <w:rPr>
          <w:rFonts w:eastAsia="Calibri"/>
        </w:rPr>
      </w:pPr>
      <w:r w:rsidRPr="00A67D8E">
        <w:rPr>
          <w:rFonts w:eastAsia="Calibri"/>
        </w:rPr>
        <w:t>13. Estimate of Other Total Annual Cost Burden to Respondents or Record Keepers</w:t>
      </w:r>
      <w:r w:rsidRPr="00A67D8E">
        <w:rPr>
          <w:rFonts w:eastAsia="Calibri"/>
        </w:rPr>
        <w:tab/>
      </w:r>
      <w:r w:rsidR="00E5030A" w:rsidRPr="00B73F2F">
        <w:rPr>
          <w:rFonts w:eastAsia="Calibri"/>
        </w:rPr>
        <w:t>7</w:t>
      </w:r>
    </w:p>
    <w:p w:rsidR="00A67D8E" w:rsidRPr="00A67D8E" w:rsidRDefault="00A67D8E" w:rsidP="00A67D8E">
      <w:pPr>
        <w:widowControl/>
        <w:tabs>
          <w:tab w:val="right" w:leader="dot" w:pos="9270"/>
        </w:tabs>
        <w:autoSpaceDE/>
        <w:autoSpaceDN/>
        <w:adjustRightInd/>
        <w:snapToGrid w:val="0"/>
        <w:spacing w:before="120" w:after="120"/>
        <w:rPr>
          <w:rFonts w:eastAsia="Calibri"/>
        </w:rPr>
      </w:pPr>
      <w:r w:rsidRPr="00A67D8E">
        <w:rPr>
          <w:rFonts w:eastAsia="Calibri"/>
        </w:rPr>
        <w:t>14. Annualized Cost to the Federal Government</w:t>
      </w:r>
      <w:r w:rsidRPr="00A67D8E">
        <w:rPr>
          <w:rFonts w:eastAsia="Calibri"/>
        </w:rPr>
        <w:tab/>
      </w:r>
      <w:r w:rsidR="00E5030A" w:rsidRPr="00B73F2F">
        <w:rPr>
          <w:rFonts w:eastAsia="Calibri"/>
        </w:rPr>
        <w:t>7</w:t>
      </w:r>
    </w:p>
    <w:p w:rsidR="00A67D8E" w:rsidRPr="00A67D8E" w:rsidRDefault="00A67D8E" w:rsidP="00A67D8E">
      <w:pPr>
        <w:widowControl/>
        <w:tabs>
          <w:tab w:val="right" w:leader="dot" w:pos="9270"/>
        </w:tabs>
        <w:autoSpaceDE/>
        <w:autoSpaceDN/>
        <w:adjustRightInd/>
        <w:snapToGrid w:val="0"/>
        <w:spacing w:before="120" w:after="120"/>
        <w:rPr>
          <w:rFonts w:eastAsia="Calibri"/>
        </w:rPr>
      </w:pPr>
      <w:r w:rsidRPr="00A67D8E">
        <w:rPr>
          <w:rFonts w:eastAsia="Calibri"/>
        </w:rPr>
        <w:t>15. Explanation for Program Changes or Adjustments</w:t>
      </w:r>
      <w:r w:rsidRPr="00A67D8E">
        <w:rPr>
          <w:rFonts w:eastAsia="Calibri"/>
        </w:rPr>
        <w:tab/>
      </w:r>
      <w:r w:rsidR="00E5030A" w:rsidRPr="00B73F2F">
        <w:rPr>
          <w:rFonts w:eastAsia="Calibri"/>
        </w:rPr>
        <w:t>7</w:t>
      </w:r>
    </w:p>
    <w:p w:rsidR="00A67D8E" w:rsidRPr="00A67D8E" w:rsidRDefault="00A67D8E" w:rsidP="00A67D8E">
      <w:pPr>
        <w:widowControl/>
        <w:tabs>
          <w:tab w:val="right" w:leader="dot" w:pos="9270"/>
        </w:tabs>
        <w:autoSpaceDE/>
        <w:autoSpaceDN/>
        <w:adjustRightInd/>
        <w:snapToGrid w:val="0"/>
        <w:spacing w:before="120" w:after="120"/>
        <w:rPr>
          <w:rFonts w:eastAsia="Calibri"/>
        </w:rPr>
      </w:pPr>
      <w:r w:rsidRPr="00A67D8E">
        <w:rPr>
          <w:rFonts w:eastAsia="Calibri"/>
        </w:rPr>
        <w:t>16. Plans for Tabulation and Publication and Project Time Schedule</w:t>
      </w:r>
      <w:r w:rsidRPr="00A67D8E">
        <w:rPr>
          <w:rFonts w:eastAsia="Calibri"/>
        </w:rPr>
        <w:tab/>
      </w:r>
      <w:r w:rsidR="00E5030A" w:rsidRPr="00B73F2F">
        <w:rPr>
          <w:rFonts w:eastAsia="Calibri"/>
        </w:rPr>
        <w:t>7</w:t>
      </w:r>
    </w:p>
    <w:p w:rsidR="00A67D8E" w:rsidRPr="00A67D8E" w:rsidRDefault="00A67D8E" w:rsidP="00A67D8E">
      <w:pPr>
        <w:widowControl/>
        <w:tabs>
          <w:tab w:val="right" w:leader="dot" w:pos="9270"/>
        </w:tabs>
        <w:autoSpaceDE/>
        <w:autoSpaceDN/>
        <w:adjustRightInd/>
        <w:snapToGrid w:val="0"/>
        <w:spacing w:before="120" w:after="120"/>
        <w:rPr>
          <w:rFonts w:eastAsia="Calibri"/>
        </w:rPr>
      </w:pPr>
      <w:r w:rsidRPr="00A67D8E">
        <w:rPr>
          <w:rFonts w:eastAsia="Calibri"/>
        </w:rPr>
        <w:t>17. Reason(s) Display of OMB Expiration Date is Inappropriate</w:t>
      </w:r>
      <w:r w:rsidRPr="00A67D8E">
        <w:rPr>
          <w:rFonts w:eastAsia="Calibri"/>
        </w:rPr>
        <w:tab/>
      </w:r>
      <w:r w:rsidR="00E5030A" w:rsidRPr="00B73F2F">
        <w:rPr>
          <w:rFonts w:eastAsia="Calibri"/>
        </w:rPr>
        <w:t>7</w:t>
      </w:r>
    </w:p>
    <w:p w:rsidR="00A67D8E" w:rsidRPr="00B73F2F" w:rsidRDefault="00A67D8E" w:rsidP="00A67D8E">
      <w:pPr>
        <w:widowControl/>
        <w:autoSpaceDE/>
        <w:autoSpaceDN/>
        <w:adjustRightInd/>
        <w:rPr>
          <w:b/>
          <w:bCs/>
          <w:i/>
          <w:iCs/>
        </w:rPr>
      </w:pPr>
      <w:r w:rsidRPr="00B73F2F">
        <w:rPr>
          <w:rFonts w:eastAsia="Calibri"/>
        </w:rPr>
        <w:t>18. Exceptions to Certification for Paperwork Reduction Act Submissions</w:t>
      </w:r>
      <w:r w:rsidR="00E5030A" w:rsidRPr="00B73F2F">
        <w:rPr>
          <w:rFonts w:eastAsia="Calibri"/>
        </w:rPr>
        <w:t>……………………..7</w:t>
      </w:r>
    </w:p>
    <w:p w:rsidR="00A67D8E" w:rsidRDefault="00A67D8E">
      <w:pPr>
        <w:widowControl/>
        <w:autoSpaceDE/>
        <w:autoSpaceDN/>
        <w:adjustRightInd/>
        <w:rPr>
          <w:b/>
          <w:bCs/>
          <w:iCs/>
          <w:caps/>
        </w:rPr>
      </w:pPr>
      <w:r>
        <w:rPr>
          <w:b/>
          <w:bCs/>
          <w:iCs/>
          <w:caps/>
        </w:rPr>
        <w:br w:type="page"/>
      </w:r>
    </w:p>
    <w:p w:rsidR="00517609" w:rsidRPr="00746515" w:rsidRDefault="00517609">
      <w:pPr>
        <w:jc w:val="center"/>
        <w:rPr>
          <w:b/>
          <w:bCs/>
          <w:iCs/>
          <w:caps/>
        </w:rPr>
      </w:pPr>
      <w:r w:rsidRPr="00746515">
        <w:rPr>
          <w:b/>
          <w:bCs/>
          <w:iCs/>
          <w:caps/>
        </w:rPr>
        <w:lastRenderedPageBreak/>
        <w:t xml:space="preserve">Supporting Statement </w:t>
      </w:r>
    </w:p>
    <w:p w:rsidR="00517609" w:rsidRDefault="00517609"/>
    <w:p w:rsidR="00517609" w:rsidRDefault="009F7C5B" w:rsidP="00746515">
      <w:pPr>
        <w:outlineLvl w:val="0"/>
        <w:rPr>
          <w:b/>
          <w:caps/>
        </w:rPr>
      </w:pPr>
      <w:r w:rsidRPr="009F7C5B">
        <w:rPr>
          <w:b/>
          <w:bCs/>
        </w:rPr>
        <w:t>National Center for Health Statistics (NCHS) Confidentiality Pledge Revision Notice</w:t>
      </w:r>
    </w:p>
    <w:p w:rsidR="00A67D8E" w:rsidRDefault="00A67D8E" w:rsidP="00746515">
      <w:pPr>
        <w:outlineLvl w:val="0"/>
        <w:rPr>
          <w:b/>
          <w:caps/>
        </w:rPr>
      </w:pPr>
    </w:p>
    <w:p w:rsidR="00A67D8E" w:rsidRDefault="00A67D8E" w:rsidP="00746515">
      <w:pPr>
        <w:outlineLvl w:val="0"/>
        <w:rPr>
          <w:b/>
          <w:caps/>
        </w:rPr>
      </w:pPr>
      <w:r w:rsidRPr="00A67D8E">
        <w:rPr>
          <w:b/>
          <w:caps/>
          <w:noProof/>
        </w:rP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3810</wp:posOffset>
                </wp:positionV>
                <wp:extent cx="5532120" cy="2613660"/>
                <wp:effectExtent l="0" t="0" r="1143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2120" cy="2613660"/>
                        </a:xfrm>
                        <a:prstGeom prst="rect">
                          <a:avLst/>
                        </a:prstGeom>
                        <a:solidFill>
                          <a:srgbClr val="FFFFFF"/>
                        </a:solidFill>
                        <a:ln w="9525">
                          <a:solidFill>
                            <a:srgbClr val="000000"/>
                          </a:solidFill>
                          <a:miter lim="800000"/>
                          <a:headEnd/>
                          <a:tailEnd/>
                        </a:ln>
                      </wps:spPr>
                      <wps:txbx>
                        <w:txbxContent>
                          <w:p w:rsidR="00A67D8E" w:rsidRDefault="00A67D8E" w:rsidP="00A67D8E">
                            <w:r>
                              <w:t>•This emergency clearance is being used to obtain Paperwork Reduction Act (PRA) clearance from OMB for the</w:t>
                            </w:r>
                            <w:r w:rsidR="00EB319B">
                              <w:t xml:space="preserve"> NCHS </w:t>
                            </w:r>
                            <w:r>
                              <w:t>Information Collections Requests (ICRs)</w:t>
                            </w:r>
                            <w:r w:rsidR="00EB319B">
                              <w:t xml:space="preserve"> listed in </w:t>
                            </w:r>
                            <w:r w:rsidR="003E5031">
                              <w:t>the table below</w:t>
                            </w:r>
                            <w:r>
                              <w:t>, in order to implement a revised confidentiality pledge that is resulting from mandatory implementation of the Einstein monitoring by the Department of Homeland (DHS)</w:t>
                            </w:r>
                            <w:r w:rsidR="00EB319B">
                              <w:t xml:space="preserve"> as mandated by the Cybersecurity Act of 2015</w:t>
                            </w:r>
                            <w:r>
                              <w:t>.</w:t>
                            </w:r>
                          </w:p>
                          <w:p w:rsidR="00A67D8E" w:rsidRDefault="00A67D8E" w:rsidP="00A67D8E">
                            <w:r>
                              <w:t xml:space="preserve">•This single ICR is being submitted to update </w:t>
                            </w:r>
                            <w:r w:rsidR="00EB319B">
                              <w:t xml:space="preserve">the </w:t>
                            </w:r>
                            <w:r>
                              <w:t xml:space="preserve">NCHS’s confidentiality pledge </w:t>
                            </w:r>
                            <w:r w:rsidR="00EB319B">
                              <w:t xml:space="preserve">within each of </w:t>
                            </w:r>
                            <w:r>
                              <w:t xml:space="preserve">the </w:t>
                            </w:r>
                            <w:r w:rsidR="00EB319B">
                              <w:t>ICRs</w:t>
                            </w:r>
                            <w:r>
                              <w:t xml:space="preserve"> listed in </w:t>
                            </w:r>
                            <w:r w:rsidR="003E5031">
                              <w:t>the table below</w:t>
                            </w:r>
                            <w:r>
                              <w:t>.</w:t>
                            </w:r>
                            <w:r w:rsidR="00EB319B">
                              <w:t xml:space="preserve"> Otherwise, the respective content, scope, burden, and expiration dates related to the respective ICRs will remain unchanged.</w:t>
                            </w:r>
                          </w:p>
                          <w:p w:rsidR="00A67D8E" w:rsidRDefault="00A67D8E" w:rsidP="00A67D8E">
                            <w:r>
                              <w:t>•</w:t>
                            </w:r>
                            <w:r w:rsidR="00EB319B">
                              <w:t xml:space="preserve">The methodological designs </w:t>
                            </w:r>
                            <w:r w:rsidR="00EB319B" w:rsidRPr="00EB319B">
                              <w:t>within the individual ICRs captured by this submission will not change</w:t>
                            </w:r>
                            <w:r>
                              <w:t>.</w:t>
                            </w:r>
                          </w:p>
                          <w:p w:rsidR="00A67D8E" w:rsidRDefault="00A67D8E" w:rsidP="00A67D8E">
                            <w:r>
                              <w:t>•The subpopulation studies within the individual packages will not change.</w:t>
                            </w:r>
                          </w:p>
                          <w:p w:rsidR="00A67D8E" w:rsidRDefault="00A67D8E" w:rsidP="00A67D8E">
                            <w:r>
                              <w:t>•</w:t>
                            </w:r>
                            <w:r w:rsidR="00EB319B">
                              <w:t>The analysis plans within the individual ICRs captured by this submission will not change.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3pt;width:435.6pt;height:205.8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">
                <v:textbox>
                  <w:txbxContent>
                    <w:p w:rsidR="00A67D8E" w:rsidRDefault="00A67D8E" w:rsidP="00A67D8E">
                      <w:r>
                        <w:t>•This emergency clearance is being used to obtain Paperwork Reduction Act (PRA) clearance from OMB for the</w:t>
                      </w:r>
                      <w:r w:rsidR="00EB319B">
                        <w:t xml:space="preserve"> NCHS </w:t>
                      </w:r>
                      <w:r>
                        <w:t>Information Collections Requests (ICRs)</w:t>
                      </w:r>
                      <w:r w:rsidR="00EB319B">
                        <w:t xml:space="preserve"> listed in </w:t>
                      </w:r>
                      <w:r w:rsidR="003E5031">
                        <w:t>the table below</w:t>
                      </w:r>
                      <w:r>
                        <w:t>, in order to implement a revised confidentiality pledge that is resulting from mandatory implementation of the Einstein monitoring by the Department of Homeland (DHS)</w:t>
                      </w:r>
                      <w:r w:rsidR="00EB319B">
                        <w:t xml:space="preserve"> as mandated by the Cybersecurity Act of 2015</w:t>
                      </w:r>
                      <w:r>
                        <w:t>.</w:t>
                      </w:r>
                    </w:p>
                    <w:p w:rsidR="00A67D8E" w:rsidRDefault="00A67D8E" w:rsidP="00A67D8E">
                      <w:r>
                        <w:t xml:space="preserve">•This single ICR is being submitted to update </w:t>
                      </w:r>
                      <w:r w:rsidR="00EB319B">
                        <w:t xml:space="preserve">the </w:t>
                      </w:r>
                      <w:r>
                        <w:t xml:space="preserve">NCHS’s confidentiality pledge </w:t>
                      </w:r>
                      <w:r w:rsidR="00EB319B">
                        <w:t xml:space="preserve">within each of </w:t>
                      </w:r>
                      <w:r>
                        <w:t xml:space="preserve">the </w:t>
                      </w:r>
                      <w:r w:rsidR="00EB319B">
                        <w:t>ICRs</w:t>
                      </w:r>
                      <w:r>
                        <w:t xml:space="preserve"> listed in </w:t>
                      </w:r>
                      <w:r w:rsidR="003E5031">
                        <w:t>the table below</w:t>
                      </w:r>
                      <w:r>
                        <w:t>.</w:t>
                      </w:r>
                      <w:r w:rsidR="00EB319B">
                        <w:t xml:space="preserve"> Otherwise, the respective content, scope, burden, and expiration dates related to the respective ICRs will remain unchanged.</w:t>
                      </w:r>
                    </w:p>
                    <w:p w:rsidR="00A67D8E" w:rsidRDefault="00A67D8E" w:rsidP="00A67D8E">
                      <w:r>
                        <w:t>•</w:t>
                      </w:r>
                      <w:r w:rsidR="00EB319B">
                        <w:t xml:space="preserve">The methodological designs </w:t>
                      </w:r>
                      <w:r w:rsidR="00EB319B" w:rsidRPr="00EB319B">
                        <w:t>within the individual ICRs captured by this submission will not change</w:t>
                      </w:r>
                      <w:r>
                        <w:t>.</w:t>
                      </w:r>
                    </w:p>
                    <w:p w:rsidR="00A67D8E" w:rsidRDefault="00A67D8E" w:rsidP="00A67D8E">
                      <w:r>
                        <w:t>•The subpopulation studies within the individual packages will not change.</w:t>
                      </w:r>
                    </w:p>
                    <w:p w:rsidR="00A67D8E" w:rsidRDefault="00A67D8E" w:rsidP="00A67D8E">
                      <w:r>
                        <w:t>•</w:t>
                      </w:r>
                      <w:r w:rsidR="00EB319B">
                        <w:t>The analysis plans within the individual ICRs captured by this submission will not change.</w:t>
                      </w:r>
                    </w:p>
                  </w:txbxContent>
                </v:textbox>
                <w10:wrap type="square" anchorx="margin"/>
              </v:shape>
            </w:pict>
          </mc:Fallback>
        </mc:AlternateContent>
      </w:r>
    </w:p>
    <w:p w:rsidR="00A67D8E" w:rsidRDefault="00A67D8E" w:rsidP="00746515">
      <w:pPr>
        <w:outlineLvl w:val="0"/>
        <w:rPr>
          <w:b/>
          <w:caps/>
        </w:rPr>
      </w:pPr>
    </w:p>
    <w:p w:rsidR="00A67D8E" w:rsidRDefault="00A67D8E" w:rsidP="00746515">
      <w:pPr>
        <w:outlineLvl w:val="0"/>
        <w:rPr>
          <w:b/>
          <w:caps/>
        </w:rPr>
      </w:pPr>
    </w:p>
    <w:p w:rsidR="00A67D8E" w:rsidRDefault="00A67D8E" w:rsidP="00746515">
      <w:pPr>
        <w:outlineLvl w:val="0"/>
        <w:rPr>
          <w:b/>
          <w:caps/>
        </w:rPr>
      </w:pPr>
    </w:p>
    <w:p w:rsidR="00A67D8E" w:rsidRDefault="00A67D8E" w:rsidP="00746515">
      <w:pPr>
        <w:outlineLvl w:val="0"/>
        <w:rPr>
          <w:b/>
          <w:caps/>
        </w:rPr>
      </w:pPr>
    </w:p>
    <w:p w:rsidR="00A67D8E" w:rsidRDefault="00A67D8E" w:rsidP="00746515">
      <w:pPr>
        <w:outlineLvl w:val="0"/>
        <w:rPr>
          <w:b/>
          <w:caps/>
        </w:rPr>
      </w:pPr>
    </w:p>
    <w:p w:rsidR="00A67D8E" w:rsidRDefault="00A67D8E" w:rsidP="00746515">
      <w:pPr>
        <w:outlineLvl w:val="0"/>
        <w:rPr>
          <w:b/>
          <w:caps/>
        </w:rPr>
      </w:pPr>
    </w:p>
    <w:p w:rsidR="00A67D8E" w:rsidRDefault="00A67D8E" w:rsidP="00746515">
      <w:pPr>
        <w:outlineLvl w:val="0"/>
        <w:rPr>
          <w:b/>
          <w:caps/>
        </w:rPr>
      </w:pPr>
    </w:p>
    <w:p w:rsidR="00A67D8E" w:rsidRDefault="00A67D8E" w:rsidP="00746515">
      <w:pPr>
        <w:outlineLvl w:val="0"/>
        <w:rPr>
          <w:b/>
          <w:caps/>
        </w:rPr>
      </w:pPr>
    </w:p>
    <w:p w:rsidR="00A67D8E" w:rsidRDefault="00A67D8E" w:rsidP="00746515">
      <w:pPr>
        <w:outlineLvl w:val="0"/>
        <w:rPr>
          <w:b/>
          <w:caps/>
        </w:rPr>
      </w:pPr>
    </w:p>
    <w:p w:rsidR="00A67D8E" w:rsidRDefault="00A67D8E" w:rsidP="00746515">
      <w:pPr>
        <w:outlineLvl w:val="0"/>
        <w:rPr>
          <w:b/>
          <w:caps/>
        </w:rPr>
      </w:pPr>
    </w:p>
    <w:p w:rsidR="00A67D8E" w:rsidRDefault="00A67D8E" w:rsidP="00746515">
      <w:pPr>
        <w:outlineLvl w:val="0"/>
        <w:rPr>
          <w:b/>
          <w:caps/>
        </w:rPr>
      </w:pPr>
    </w:p>
    <w:p w:rsidR="00A67D8E" w:rsidRDefault="00A67D8E" w:rsidP="00746515">
      <w:pPr>
        <w:outlineLvl w:val="0"/>
        <w:rPr>
          <w:b/>
          <w:caps/>
        </w:rPr>
      </w:pPr>
    </w:p>
    <w:p w:rsidR="003E5031" w:rsidRDefault="003E5031" w:rsidP="00746515">
      <w:pPr>
        <w:outlineLvl w:val="0"/>
      </w:pPr>
    </w:p>
    <w:p w:rsidR="003E5031" w:rsidRDefault="003E5031" w:rsidP="00746515">
      <w:pPr>
        <w:outlineLvl w:val="0"/>
      </w:pPr>
    </w:p>
    <w:p w:rsidR="003E5031" w:rsidRDefault="003E5031" w:rsidP="00746515">
      <w:pPr>
        <w:outlineLvl w:val="0"/>
      </w:pPr>
    </w:p>
    <w:p w:rsidR="0097747A" w:rsidRPr="00746515" w:rsidRDefault="00E714F8" w:rsidP="00746515">
      <w:pPr>
        <w:outlineLvl w:val="0"/>
        <w:rPr>
          <w:i/>
          <w:iCs/>
        </w:rPr>
      </w:pPr>
      <w:r w:rsidRPr="00E714F8">
        <w:t>This is an emergency request for a new information collection</w:t>
      </w:r>
      <w:r>
        <w:t xml:space="preserve"> to allow for the revision of the NCHS </w:t>
      </w:r>
      <w:r w:rsidRPr="00E714F8">
        <w:t>Confidentiality Pledge</w:t>
      </w:r>
      <w:r>
        <w:t>.</w:t>
      </w:r>
    </w:p>
    <w:p w:rsidR="00D15044" w:rsidRDefault="00D15044" w:rsidP="00D15044">
      <w:pPr>
        <w:tabs>
          <w:tab w:val="left" w:pos="-1440"/>
        </w:tabs>
        <w:outlineLvl w:val="0"/>
      </w:pPr>
    </w:p>
    <w:p w:rsidR="003E5031" w:rsidRDefault="00E714F8" w:rsidP="00E714F8">
      <w:pPr>
        <w:tabs>
          <w:tab w:val="left" w:pos="-1440"/>
        </w:tabs>
        <w:outlineLvl w:val="0"/>
      </w:pPr>
      <w:r>
        <w:t>As per OMB instruction, this single ICR is being submitted to update the NCH</w:t>
      </w:r>
      <w:r w:rsidR="008367A0">
        <w:t>S</w:t>
      </w:r>
      <w:r>
        <w:t xml:space="preserve"> confidentiality pledge for all of the</w:t>
      </w:r>
      <w:r w:rsidR="00014126">
        <w:t xml:space="preserve"> packages listed </w:t>
      </w:r>
      <w:bookmarkStart w:id="0" w:name="_GoBack"/>
      <w:bookmarkEnd w:id="0"/>
      <w:r w:rsidR="003E5031">
        <w:t>below</w:t>
      </w:r>
      <w:r>
        <w:t>.</w:t>
      </w:r>
    </w:p>
    <w:p w:rsidR="003E5031" w:rsidRPr="003E5031" w:rsidRDefault="003E5031" w:rsidP="003E5031">
      <w:pPr>
        <w:tabs>
          <w:tab w:val="left" w:pos="-1440"/>
        </w:tabs>
        <w:outlineLvl w:val="0"/>
      </w:pPr>
    </w:p>
    <w:tbl>
      <w:tblPr>
        <w:tblStyle w:val="TableGrid"/>
        <w:tblW w:w="0" w:type="auto"/>
        <w:tblLook w:val="04A0" w:firstRow="1" w:lastRow="0" w:firstColumn="1" w:lastColumn="0" w:noHBand="0" w:noVBand="1"/>
      </w:tblPr>
      <w:tblGrid>
        <w:gridCol w:w="2124"/>
        <w:gridCol w:w="7226"/>
      </w:tblGrid>
      <w:tr w:rsidR="003E5031" w:rsidRPr="003E5031" w:rsidTr="003E5031">
        <w:tc>
          <w:tcPr>
            <w:tcW w:w="2245" w:type="dxa"/>
            <w:tcBorders>
              <w:top w:val="single" w:sz="4" w:space="0" w:color="auto"/>
              <w:left w:val="single" w:sz="4" w:space="0" w:color="auto"/>
              <w:bottom w:val="single" w:sz="4" w:space="0" w:color="auto"/>
              <w:right w:val="single" w:sz="4" w:space="0" w:color="auto"/>
            </w:tcBorders>
            <w:hideMark/>
          </w:tcPr>
          <w:p w:rsidR="003E5031" w:rsidRPr="003E5031" w:rsidRDefault="003E5031" w:rsidP="003E5031">
            <w:pPr>
              <w:tabs>
                <w:tab w:val="left" w:pos="-1440"/>
              </w:tabs>
              <w:outlineLvl w:val="0"/>
            </w:pPr>
            <w:r w:rsidRPr="003E5031">
              <w:t>OMB Control Number</w:t>
            </w:r>
          </w:p>
        </w:tc>
        <w:tc>
          <w:tcPr>
            <w:tcW w:w="7825" w:type="dxa"/>
            <w:tcBorders>
              <w:top w:val="single" w:sz="4" w:space="0" w:color="auto"/>
              <w:left w:val="single" w:sz="4" w:space="0" w:color="auto"/>
              <w:bottom w:val="single" w:sz="4" w:space="0" w:color="auto"/>
              <w:right w:val="single" w:sz="4" w:space="0" w:color="auto"/>
            </w:tcBorders>
            <w:hideMark/>
          </w:tcPr>
          <w:p w:rsidR="003E5031" w:rsidRPr="003E5031" w:rsidRDefault="003E5031" w:rsidP="003E5031">
            <w:pPr>
              <w:tabs>
                <w:tab w:val="left" w:pos="-1440"/>
              </w:tabs>
              <w:outlineLvl w:val="0"/>
            </w:pPr>
            <w:r w:rsidRPr="003E5031">
              <w:t>Title of Information Collection</w:t>
            </w:r>
          </w:p>
        </w:tc>
      </w:tr>
      <w:tr w:rsidR="003E5031" w:rsidRPr="003E5031" w:rsidTr="003E5031">
        <w:tc>
          <w:tcPr>
            <w:tcW w:w="2245" w:type="dxa"/>
            <w:tcBorders>
              <w:top w:val="single" w:sz="4" w:space="0" w:color="auto"/>
              <w:left w:val="single" w:sz="4" w:space="0" w:color="auto"/>
              <w:bottom w:val="single" w:sz="4" w:space="0" w:color="auto"/>
              <w:right w:val="single" w:sz="4" w:space="0" w:color="auto"/>
            </w:tcBorders>
            <w:hideMark/>
          </w:tcPr>
          <w:p w:rsidR="003E5031" w:rsidRPr="003E5031" w:rsidRDefault="003E5031" w:rsidP="003E5031">
            <w:pPr>
              <w:tabs>
                <w:tab w:val="left" w:pos="-1440"/>
              </w:tabs>
              <w:outlineLvl w:val="0"/>
            </w:pPr>
            <w:r w:rsidRPr="003E5031">
              <w:t>0920-0119</w:t>
            </w:r>
          </w:p>
        </w:tc>
        <w:tc>
          <w:tcPr>
            <w:tcW w:w="7825" w:type="dxa"/>
            <w:tcBorders>
              <w:top w:val="single" w:sz="4" w:space="0" w:color="auto"/>
              <w:left w:val="single" w:sz="4" w:space="0" w:color="auto"/>
              <w:bottom w:val="single" w:sz="4" w:space="0" w:color="auto"/>
              <w:right w:val="single" w:sz="4" w:space="0" w:color="auto"/>
            </w:tcBorders>
            <w:hideMark/>
          </w:tcPr>
          <w:p w:rsidR="003E5031" w:rsidRPr="003E5031" w:rsidRDefault="003E5031" w:rsidP="003E5031">
            <w:pPr>
              <w:tabs>
                <w:tab w:val="left" w:pos="-1440"/>
              </w:tabs>
              <w:outlineLvl w:val="0"/>
            </w:pPr>
            <w:r w:rsidRPr="003E5031">
              <w:t>National Ambulatory Medical Care Survey Supplement on Culturally and Linguistically Appropriate Services (NAMCS CLAS)</w:t>
            </w:r>
          </w:p>
        </w:tc>
      </w:tr>
      <w:tr w:rsidR="003E5031" w:rsidRPr="003E5031" w:rsidTr="003E5031">
        <w:tc>
          <w:tcPr>
            <w:tcW w:w="2245" w:type="dxa"/>
            <w:tcBorders>
              <w:top w:val="single" w:sz="4" w:space="0" w:color="auto"/>
              <w:left w:val="single" w:sz="4" w:space="0" w:color="auto"/>
              <w:bottom w:val="single" w:sz="4" w:space="0" w:color="auto"/>
              <w:right w:val="single" w:sz="4" w:space="0" w:color="auto"/>
            </w:tcBorders>
            <w:hideMark/>
          </w:tcPr>
          <w:p w:rsidR="003E5031" w:rsidRPr="003E5031" w:rsidRDefault="003E5031" w:rsidP="003E5031">
            <w:pPr>
              <w:tabs>
                <w:tab w:val="left" w:pos="-1440"/>
              </w:tabs>
              <w:outlineLvl w:val="0"/>
            </w:pPr>
            <w:r w:rsidRPr="003E5031">
              <w:t>0920-0212</w:t>
            </w:r>
          </w:p>
        </w:tc>
        <w:tc>
          <w:tcPr>
            <w:tcW w:w="7825" w:type="dxa"/>
            <w:tcBorders>
              <w:top w:val="single" w:sz="4" w:space="0" w:color="auto"/>
              <w:left w:val="single" w:sz="4" w:space="0" w:color="auto"/>
              <w:bottom w:val="single" w:sz="4" w:space="0" w:color="auto"/>
              <w:right w:val="single" w:sz="4" w:space="0" w:color="auto"/>
            </w:tcBorders>
            <w:hideMark/>
          </w:tcPr>
          <w:p w:rsidR="003E5031" w:rsidRPr="003E5031" w:rsidRDefault="003E5031" w:rsidP="003E5031">
            <w:pPr>
              <w:tabs>
                <w:tab w:val="left" w:pos="-1440"/>
              </w:tabs>
              <w:outlineLvl w:val="0"/>
            </w:pPr>
            <w:r w:rsidRPr="003E5031">
              <w:t>National Hospital Care Survey</w:t>
            </w:r>
          </w:p>
        </w:tc>
      </w:tr>
      <w:tr w:rsidR="003E5031" w:rsidRPr="003E5031" w:rsidTr="003E5031">
        <w:tc>
          <w:tcPr>
            <w:tcW w:w="2245" w:type="dxa"/>
            <w:tcBorders>
              <w:top w:val="single" w:sz="4" w:space="0" w:color="auto"/>
              <w:left w:val="single" w:sz="4" w:space="0" w:color="auto"/>
              <w:bottom w:val="single" w:sz="4" w:space="0" w:color="auto"/>
              <w:right w:val="single" w:sz="4" w:space="0" w:color="auto"/>
            </w:tcBorders>
            <w:hideMark/>
          </w:tcPr>
          <w:p w:rsidR="003E5031" w:rsidRPr="003E5031" w:rsidRDefault="003E5031" w:rsidP="003E5031">
            <w:pPr>
              <w:tabs>
                <w:tab w:val="left" w:pos="-1440"/>
              </w:tabs>
              <w:outlineLvl w:val="0"/>
            </w:pPr>
            <w:r w:rsidRPr="003E5031">
              <w:t>0920-0213</w:t>
            </w:r>
          </w:p>
        </w:tc>
        <w:tc>
          <w:tcPr>
            <w:tcW w:w="7825" w:type="dxa"/>
            <w:tcBorders>
              <w:top w:val="single" w:sz="4" w:space="0" w:color="auto"/>
              <w:left w:val="single" w:sz="4" w:space="0" w:color="auto"/>
              <w:bottom w:val="single" w:sz="4" w:space="0" w:color="auto"/>
              <w:right w:val="single" w:sz="4" w:space="0" w:color="auto"/>
            </w:tcBorders>
            <w:hideMark/>
          </w:tcPr>
          <w:p w:rsidR="003E5031" w:rsidRPr="003E5031" w:rsidRDefault="003E5031" w:rsidP="003E5031">
            <w:pPr>
              <w:tabs>
                <w:tab w:val="left" w:pos="-1440"/>
              </w:tabs>
              <w:outlineLvl w:val="0"/>
            </w:pPr>
            <w:r w:rsidRPr="003E5031">
              <w:t>NCHS: National Vital Statistics Report Forms</w:t>
            </w:r>
          </w:p>
        </w:tc>
      </w:tr>
      <w:tr w:rsidR="003E5031" w:rsidRPr="003E5031" w:rsidTr="003E5031">
        <w:tc>
          <w:tcPr>
            <w:tcW w:w="2245" w:type="dxa"/>
            <w:tcBorders>
              <w:top w:val="single" w:sz="4" w:space="0" w:color="auto"/>
              <w:left w:val="single" w:sz="4" w:space="0" w:color="auto"/>
              <w:bottom w:val="single" w:sz="4" w:space="0" w:color="auto"/>
              <w:right w:val="single" w:sz="4" w:space="0" w:color="auto"/>
            </w:tcBorders>
            <w:hideMark/>
          </w:tcPr>
          <w:p w:rsidR="003E5031" w:rsidRPr="003E5031" w:rsidRDefault="003E5031" w:rsidP="003E5031">
            <w:pPr>
              <w:tabs>
                <w:tab w:val="left" w:pos="-1440"/>
              </w:tabs>
              <w:outlineLvl w:val="0"/>
            </w:pPr>
            <w:r w:rsidRPr="003E5031">
              <w:t>0920-0214</w:t>
            </w:r>
          </w:p>
        </w:tc>
        <w:tc>
          <w:tcPr>
            <w:tcW w:w="7825" w:type="dxa"/>
            <w:tcBorders>
              <w:top w:val="single" w:sz="4" w:space="0" w:color="auto"/>
              <w:left w:val="single" w:sz="4" w:space="0" w:color="auto"/>
              <w:bottom w:val="single" w:sz="4" w:space="0" w:color="auto"/>
              <w:right w:val="single" w:sz="4" w:space="0" w:color="auto"/>
            </w:tcBorders>
            <w:hideMark/>
          </w:tcPr>
          <w:p w:rsidR="003E5031" w:rsidRPr="003E5031" w:rsidRDefault="003E5031" w:rsidP="003E5031">
            <w:pPr>
              <w:tabs>
                <w:tab w:val="left" w:pos="-1440"/>
              </w:tabs>
              <w:outlineLvl w:val="0"/>
            </w:pPr>
            <w:r w:rsidRPr="003E5031">
              <w:t>National Health Interview Survey</w:t>
            </w:r>
          </w:p>
        </w:tc>
      </w:tr>
      <w:tr w:rsidR="003E5031" w:rsidRPr="003E5031" w:rsidTr="003E5031">
        <w:tc>
          <w:tcPr>
            <w:tcW w:w="2245" w:type="dxa"/>
            <w:tcBorders>
              <w:top w:val="single" w:sz="4" w:space="0" w:color="auto"/>
              <w:left w:val="single" w:sz="4" w:space="0" w:color="auto"/>
              <w:bottom w:val="single" w:sz="4" w:space="0" w:color="auto"/>
              <w:right w:val="single" w:sz="4" w:space="0" w:color="auto"/>
            </w:tcBorders>
            <w:hideMark/>
          </w:tcPr>
          <w:p w:rsidR="003E5031" w:rsidRPr="003E5031" w:rsidRDefault="003E5031" w:rsidP="003E5031">
            <w:pPr>
              <w:tabs>
                <w:tab w:val="left" w:pos="-1440"/>
              </w:tabs>
              <w:outlineLvl w:val="0"/>
            </w:pPr>
            <w:r w:rsidRPr="003E5031">
              <w:t>0920-0215</w:t>
            </w:r>
          </w:p>
        </w:tc>
        <w:tc>
          <w:tcPr>
            <w:tcW w:w="7825" w:type="dxa"/>
            <w:tcBorders>
              <w:top w:val="single" w:sz="4" w:space="0" w:color="auto"/>
              <w:left w:val="single" w:sz="4" w:space="0" w:color="auto"/>
              <w:bottom w:val="single" w:sz="4" w:space="0" w:color="auto"/>
              <w:right w:val="single" w:sz="4" w:space="0" w:color="auto"/>
            </w:tcBorders>
            <w:hideMark/>
          </w:tcPr>
          <w:p w:rsidR="003E5031" w:rsidRPr="003E5031" w:rsidRDefault="003E5031" w:rsidP="003E5031">
            <w:pPr>
              <w:tabs>
                <w:tab w:val="left" w:pos="-1440"/>
              </w:tabs>
              <w:outlineLvl w:val="0"/>
            </w:pPr>
            <w:r w:rsidRPr="003E5031">
              <w:t>Application Form and Related Forms for the Operation of the National Death Index</w:t>
            </w:r>
          </w:p>
        </w:tc>
      </w:tr>
      <w:tr w:rsidR="003E5031" w:rsidRPr="003E5031" w:rsidTr="003E5031">
        <w:tc>
          <w:tcPr>
            <w:tcW w:w="2245" w:type="dxa"/>
            <w:tcBorders>
              <w:top w:val="single" w:sz="4" w:space="0" w:color="auto"/>
              <w:left w:val="single" w:sz="4" w:space="0" w:color="auto"/>
              <w:bottom w:val="single" w:sz="4" w:space="0" w:color="auto"/>
              <w:right w:val="single" w:sz="4" w:space="0" w:color="auto"/>
            </w:tcBorders>
            <w:hideMark/>
          </w:tcPr>
          <w:p w:rsidR="003E5031" w:rsidRPr="003E5031" w:rsidRDefault="003E5031" w:rsidP="003E5031">
            <w:pPr>
              <w:tabs>
                <w:tab w:val="left" w:pos="-1440"/>
              </w:tabs>
              <w:outlineLvl w:val="0"/>
            </w:pPr>
            <w:r w:rsidRPr="003E5031">
              <w:t>0920-0217</w:t>
            </w:r>
          </w:p>
        </w:tc>
        <w:tc>
          <w:tcPr>
            <w:tcW w:w="7825" w:type="dxa"/>
            <w:tcBorders>
              <w:top w:val="single" w:sz="4" w:space="0" w:color="auto"/>
              <w:left w:val="single" w:sz="4" w:space="0" w:color="auto"/>
              <w:bottom w:val="single" w:sz="4" w:space="0" w:color="auto"/>
              <w:right w:val="single" w:sz="4" w:space="0" w:color="auto"/>
            </w:tcBorders>
            <w:hideMark/>
          </w:tcPr>
          <w:p w:rsidR="003E5031" w:rsidRPr="003E5031" w:rsidRDefault="003E5031" w:rsidP="003E5031">
            <w:pPr>
              <w:tabs>
                <w:tab w:val="left" w:pos="-1440"/>
              </w:tabs>
              <w:outlineLvl w:val="0"/>
            </w:pPr>
            <w:r w:rsidRPr="003E5031">
              <w:t>NCHS Application for Vital Statistics Training Form</w:t>
            </w:r>
          </w:p>
        </w:tc>
      </w:tr>
      <w:tr w:rsidR="003E5031" w:rsidRPr="003E5031" w:rsidTr="003E5031">
        <w:tc>
          <w:tcPr>
            <w:tcW w:w="2245" w:type="dxa"/>
            <w:tcBorders>
              <w:top w:val="single" w:sz="4" w:space="0" w:color="auto"/>
              <w:left w:val="single" w:sz="4" w:space="0" w:color="auto"/>
              <w:bottom w:val="single" w:sz="4" w:space="0" w:color="auto"/>
              <w:right w:val="single" w:sz="4" w:space="0" w:color="auto"/>
            </w:tcBorders>
            <w:hideMark/>
          </w:tcPr>
          <w:p w:rsidR="003E5031" w:rsidRPr="003E5031" w:rsidRDefault="003E5031" w:rsidP="003E5031">
            <w:pPr>
              <w:tabs>
                <w:tab w:val="left" w:pos="-1440"/>
              </w:tabs>
              <w:outlineLvl w:val="0"/>
            </w:pPr>
            <w:r w:rsidRPr="003E5031">
              <w:t>0920-0222</w:t>
            </w:r>
          </w:p>
        </w:tc>
        <w:tc>
          <w:tcPr>
            <w:tcW w:w="7825" w:type="dxa"/>
            <w:tcBorders>
              <w:top w:val="single" w:sz="4" w:space="0" w:color="auto"/>
              <w:left w:val="single" w:sz="4" w:space="0" w:color="auto"/>
              <w:bottom w:val="single" w:sz="4" w:space="0" w:color="auto"/>
              <w:right w:val="single" w:sz="4" w:space="0" w:color="auto"/>
            </w:tcBorders>
            <w:hideMark/>
          </w:tcPr>
          <w:p w:rsidR="003E5031" w:rsidRPr="003E5031" w:rsidRDefault="003E5031" w:rsidP="003E5031">
            <w:pPr>
              <w:tabs>
                <w:tab w:val="left" w:pos="-1440"/>
              </w:tabs>
              <w:outlineLvl w:val="0"/>
            </w:pPr>
            <w:r w:rsidRPr="003E5031">
              <w:t>NCHS Questionnaire Design Research Laboratory</w:t>
            </w:r>
          </w:p>
        </w:tc>
      </w:tr>
      <w:tr w:rsidR="003E5031" w:rsidRPr="003E5031" w:rsidTr="003E5031">
        <w:tc>
          <w:tcPr>
            <w:tcW w:w="2245" w:type="dxa"/>
            <w:tcBorders>
              <w:top w:val="single" w:sz="4" w:space="0" w:color="auto"/>
              <w:left w:val="single" w:sz="4" w:space="0" w:color="auto"/>
              <w:bottom w:val="single" w:sz="4" w:space="0" w:color="auto"/>
              <w:right w:val="single" w:sz="4" w:space="0" w:color="auto"/>
            </w:tcBorders>
            <w:hideMark/>
          </w:tcPr>
          <w:p w:rsidR="003E5031" w:rsidRPr="003E5031" w:rsidRDefault="003E5031" w:rsidP="003E5031">
            <w:pPr>
              <w:tabs>
                <w:tab w:val="left" w:pos="-1440"/>
              </w:tabs>
              <w:outlineLvl w:val="0"/>
            </w:pPr>
            <w:r w:rsidRPr="003E5031">
              <w:t>0920-0234</w:t>
            </w:r>
          </w:p>
        </w:tc>
        <w:tc>
          <w:tcPr>
            <w:tcW w:w="7825" w:type="dxa"/>
            <w:tcBorders>
              <w:top w:val="single" w:sz="4" w:space="0" w:color="auto"/>
              <w:left w:val="single" w:sz="4" w:space="0" w:color="auto"/>
              <w:bottom w:val="single" w:sz="4" w:space="0" w:color="auto"/>
              <w:right w:val="single" w:sz="4" w:space="0" w:color="auto"/>
            </w:tcBorders>
            <w:hideMark/>
          </w:tcPr>
          <w:p w:rsidR="003E5031" w:rsidRPr="003E5031" w:rsidRDefault="003E5031" w:rsidP="003E5031">
            <w:pPr>
              <w:tabs>
                <w:tab w:val="left" w:pos="-1440"/>
              </w:tabs>
              <w:outlineLvl w:val="0"/>
            </w:pPr>
            <w:r w:rsidRPr="003E5031">
              <w:t>National Ambulatory Medical Care Survey (NAMCS)</w:t>
            </w:r>
          </w:p>
        </w:tc>
      </w:tr>
      <w:tr w:rsidR="003E5031" w:rsidRPr="003E5031" w:rsidTr="003E5031">
        <w:tc>
          <w:tcPr>
            <w:tcW w:w="2245" w:type="dxa"/>
            <w:tcBorders>
              <w:top w:val="single" w:sz="4" w:space="0" w:color="auto"/>
              <w:left w:val="single" w:sz="4" w:space="0" w:color="auto"/>
              <w:bottom w:val="single" w:sz="4" w:space="0" w:color="auto"/>
              <w:right w:val="single" w:sz="4" w:space="0" w:color="auto"/>
            </w:tcBorders>
            <w:hideMark/>
          </w:tcPr>
          <w:p w:rsidR="003E5031" w:rsidRPr="003E5031" w:rsidRDefault="003E5031" w:rsidP="003E5031">
            <w:pPr>
              <w:tabs>
                <w:tab w:val="left" w:pos="-1440"/>
              </w:tabs>
              <w:outlineLvl w:val="0"/>
            </w:pPr>
            <w:r w:rsidRPr="003E5031">
              <w:t>0920-0278</w:t>
            </w:r>
          </w:p>
        </w:tc>
        <w:tc>
          <w:tcPr>
            <w:tcW w:w="7825" w:type="dxa"/>
            <w:tcBorders>
              <w:top w:val="single" w:sz="4" w:space="0" w:color="auto"/>
              <w:left w:val="single" w:sz="4" w:space="0" w:color="auto"/>
              <w:bottom w:val="single" w:sz="4" w:space="0" w:color="auto"/>
              <w:right w:val="single" w:sz="4" w:space="0" w:color="auto"/>
            </w:tcBorders>
            <w:hideMark/>
          </w:tcPr>
          <w:p w:rsidR="003E5031" w:rsidRPr="003E5031" w:rsidRDefault="003E5031" w:rsidP="003E5031">
            <w:pPr>
              <w:tabs>
                <w:tab w:val="left" w:pos="-1440"/>
              </w:tabs>
              <w:outlineLvl w:val="0"/>
            </w:pPr>
            <w:r w:rsidRPr="003E5031">
              <w:t xml:space="preserve">National Hospital Ambulatory Medical Care Survey </w:t>
            </w:r>
          </w:p>
        </w:tc>
      </w:tr>
      <w:tr w:rsidR="003E5031" w:rsidRPr="003E5031" w:rsidTr="003E5031">
        <w:tc>
          <w:tcPr>
            <w:tcW w:w="2245" w:type="dxa"/>
            <w:tcBorders>
              <w:top w:val="single" w:sz="4" w:space="0" w:color="auto"/>
              <w:left w:val="single" w:sz="4" w:space="0" w:color="auto"/>
              <w:bottom w:val="single" w:sz="4" w:space="0" w:color="auto"/>
              <w:right w:val="single" w:sz="4" w:space="0" w:color="auto"/>
            </w:tcBorders>
            <w:hideMark/>
          </w:tcPr>
          <w:p w:rsidR="003E5031" w:rsidRPr="003E5031" w:rsidRDefault="003E5031" w:rsidP="003E5031">
            <w:pPr>
              <w:tabs>
                <w:tab w:val="left" w:pos="-1440"/>
              </w:tabs>
              <w:outlineLvl w:val="0"/>
            </w:pPr>
            <w:r w:rsidRPr="003E5031">
              <w:t>0920-0314</w:t>
            </w:r>
          </w:p>
        </w:tc>
        <w:tc>
          <w:tcPr>
            <w:tcW w:w="7825" w:type="dxa"/>
            <w:tcBorders>
              <w:top w:val="single" w:sz="4" w:space="0" w:color="auto"/>
              <w:left w:val="single" w:sz="4" w:space="0" w:color="auto"/>
              <w:bottom w:val="single" w:sz="4" w:space="0" w:color="auto"/>
              <w:right w:val="single" w:sz="4" w:space="0" w:color="auto"/>
            </w:tcBorders>
            <w:hideMark/>
          </w:tcPr>
          <w:p w:rsidR="003E5031" w:rsidRPr="003E5031" w:rsidRDefault="003E5031" w:rsidP="003E5031">
            <w:pPr>
              <w:tabs>
                <w:tab w:val="left" w:pos="-1440"/>
              </w:tabs>
              <w:outlineLvl w:val="0"/>
            </w:pPr>
            <w:r w:rsidRPr="003E5031">
              <w:t>National Survey of Family Growth</w:t>
            </w:r>
          </w:p>
        </w:tc>
      </w:tr>
      <w:tr w:rsidR="003E5031" w:rsidRPr="003E5031" w:rsidTr="003E5031">
        <w:tc>
          <w:tcPr>
            <w:tcW w:w="2245" w:type="dxa"/>
            <w:tcBorders>
              <w:top w:val="single" w:sz="4" w:space="0" w:color="auto"/>
              <w:left w:val="single" w:sz="4" w:space="0" w:color="auto"/>
              <w:bottom w:val="single" w:sz="4" w:space="0" w:color="auto"/>
              <w:right w:val="single" w:sz="4" w:space="0" w:color="auto"/>
            </w:tcBorders>
            <w:hideMark/>
          </w:tcPr>
          <w:p w:rsidR="003E5031" w:rsidRPr="003E5031" w:rsidRDefault="003E5031" w:rsidP="003E5031">
            <w:pPr>
              <w:tabs>
                <w:tab w:val="left" w:pos="-1440"/>
              </w:tabs>
              <w:outlineLvl w:val="0"/>
            </w:pPr>
            <w:r w:rsidRPr="003E5031">
              <w:t>0920-0729</w:t>
            </w:r>
          </w:p>
        </w:tc>
        <w:tc>
          <w:tcPr>
            <w:tcW w:w="7825" w:type="dxa"/>
            <w:tcBorders>
              <w:top w:val="single" w:sz="4" w:space="0" w:color="auto"/>
              <w:left w:val="single" w:sz="4" w:space="0" w:color="auto"/>
              <w:bottom w:val="single" w:sz="4" w:space="0" w:color="auto"/>
              <w:right w:val="single" w:sz="4" w:space="0" w:color="auto"/>
            </w:tcBorders>
            <w:hideMark/>
          </w:tcPr>
          <w:p w:rsidR="003E5031" w:rsidRPr="003E5031" w:rsidRDefault="003E5031" w:rsidP="003E5031">
            <w:pPr>
              <w:tabs>
                <w:tab w:val="left" w:pos="-1440"/>
              </w:tabs>
              <w:outlineLvl w:val="0"/>
            </w:pPr>
            <w:r w:rsidRPr="003E5031">
              <w:t>Customer Surveys Generic Clearance for the National Center for Health Statistics</w:t>
            </w:r>
          </w:p>
        </w:tc>
      </w:tr>
      <w:tr w:rsidR="003E5031" w:rsidRPr="003E5031" w:rsidTr="003E5031">
        <w:tc>
          <w:tcPr>
            <w:tcW w:w="2245" w:type="dxa"/>
            <w:tcBorders>
              <w:top w:val="single" w:sz="4" w:space="0" w:color="auto"/>
              <w:left w:val="single" w:sz="4" w:space="0" w:color="auto"/>
              <w:bottom w:val="single" w:sz="4" w:space="0" w:color="auto"/>
              <w:right w:val="single" w:sz="4" w:space="0" w:color="auto"/>
            </w:tcBorders>
            <w:hideMark/>
          </w:tcPr>
          <w:p w:rsidR="003E5031" w:rsidRPr="003E5031" w:rsidRDefault="003E5031" w:rsidP="003E5031">
            <w:pPr>
              <w:tabs>
                <w:tab w:val="left" w:pos="-1440"/>
              </w:tabs>
              <w:outlineLvl w:val="0"/>
            </w:pPr>
            <w:r w:rsidRPr="003E5031">
              <w:t>0920-0943</w:t>
            </w:r>
          </w:p>
        </w:tc>
        <w:tc>
          <w:tcPr>
            <w:tcW w:w="7825" w:type="dxa"/>
            <w:tcBorders>
              <w:top w:val="single" w:sz="4" w:space="0" w:color="auto"/>
              <w:left w:val="single" w:sz="4" w:space="0" w:color="auto"/>
              <w:bottom w:val="single" w:sz="4" w:space="0" w:color="auto"/>
              <w:right w:val="single" w:sz="4" w:space="0" w:color="auto"/>
            </w:tcBorders>
            <w:hideMark/>
          </w:tcPr>
          <w:p w:rsidR="003E5031" w:rsidRPr="003E5031" w:rsidRDefault="003E5031" w:rsidP="003E5031">
            <w:pPr>
              <w:tabs>
                <w:tab w:val="left" w:pos="-1440"/>
              </w:tabs>
              <w:outlineLvl w:val="0"/>
            </w:pPr>
            <w:r w:rsidRPr="003E5031">
              <w:t>Data Collection for the Residential Care Community and Adult Day Services Center Components of the National Study of Long-term Care Providers</w:t>
            </w:r>
          </w:p>
        </w:tc>
      </w:tr>
      <w:tr w:rsidR="003E5031" w:rsidRPr="003E5031" w:rsidTr="003E5031">
        <w:tc>
          <w:tcPr>
            <w:tcW w:w="2245" w:type="dxa"/>
            <w:tcBorders>
              <w:top w:val="single" w:sz="4" w:space="0" w:color="auto"/>
              <w:left w:val="single" w:sz="4" w:space="0" w:color="auto"/>
              <w:bottom w:val="single" w:sz="4" w:space="0" w:color="auto"/>
              <w:right w:val="single" w:sz="4" w:space="0" w:color="auto"/>
            </w:tcBorders>
            <w:hideMark/>
          </w:tcPr>
          <w:p w:rsidR="003E5031" w:rsidRPr="003E5031" w:rsidRDefault="003E5031" w:rsidP="003E5031">
            <w:pPr>
              <w:tabs>
                <w:tab w:val="left" w:pos="-1440"/>
              </w:tabs>
              <w:outlineLvl w:val="0"/>
            </w:pPr>
            <w:r w:rsidRPr="003E5031">
              <w:t>0920-0950</w:t>
            </w:r>
          </w:p>
        </w:tc>
        <w:tc>
          <w:tcPr>
            <w:tcW w:w="7825" w:type="dxa"/>
            <w:tcBorders>
              <w:top w:val="single" w:sz="4" w:space="0" w:color="auto"/>
              <w:left w:val="single" w:sz="4" w:space="0" w:color="auto"/>
              <w:bottom w:val="single" w:sz="4" w:space="0" w:color="auto"/>
              <w:right w:val="single" w:sz="4" w:space="0" w:color="auto"/>
            </w:tcBorders>
            <w:hideMark/>
          </w:tcPr>
          <w:p w:rsidR="003E5031" w:rsidRPr="003E5031" w:rsidRDefault="003E5031" w:rsidP="003E5031">
            <w:pPr>
              <w:tabs>
                <w:tab w:val="left" w:pos="-1440"/>
              </w:tabs>
              <w:outlineLvl w:val="0"/>
            </w:pPr>
            <w:r w:rsidRPr="003E5031">
              <w:t>National Health and Nutrition Examination Survey</w:t>
            </w:r>
          </w:p>
        </w:tc>
      </w:tr>
      <w:tr w:rsidR="003E5031" w:rsidRPr="003E5031" w:rsidTr="003E5031">
        <w:tc>
          <w:tcPr>
            <w:tcW w:w="2245" w:type="dxa"/>
            <w:tcBorders>
              <w:top w:val="single" w:sz="4" w:space="0" w:color="auto"/>
              <w:left w:val="single" w:sz="4" w:space="0" w:color="auto"/>
              <w:bottom w:val="single" w:sz="4" w:space="0" w:color="auto"/>
              <w:right w:val="single" w:sz="4" w:space="0" w:color="auto"/>
            </w:tcBorders>
            <w:hideMark/>
          </w:tcPr>
          <w:p w:rsidR="003E5031" w:rsidRPr="003E5031" w:rsidRDefault="003E5031" w:rsidP="003E5031">
            <w:pPr>
              <w:tabs>
                <w:tab w:val="left" w:pos="-1440"/>
              </w:tabs>
              <w:outlineLvl w:val="0"/>
            </w:pPr>
            <w:r w:rsidRPr="003E5031">
              <w:t>0920-1015</w:t>
            </w:r>
          </w:p>
        </w:tc>
        <w:tc>
          <w:tcPr>
            <w:tcW w:w="7825" w:type="dxa"/>
            <w:tcBorders>
              <w:top w:val="single" w:sz="4" w:space="0" w:color="auto"/>
              <w:left w:val="single" w:sz="4" w:space="0" w:color="auto"/>
              <w:bottom w:val="single" w:sz="4" w:space="0" w:color="auto"/>
              <w:right w:val="single" w:sz="4" w:space="0" w:color="auto"/>
            </w:tcBorders>
            <w:hideMark/>
          </w:tcPr>
          <w:p w:rsidR="003E5031" w:rsidRPr="003E5031" w:rsidRDefault="003E5031" w:rsidP="003E5031">
            <w:pPr>
              <w:tabs>
                <w:tab w:val="left" w:pos="-1440"/>
              </w:tabs>
              <w:outlineLvl w:val="0"/>
            </w:pPr>
            <w:r w:rsidRPr="003E5031">
              <w:t>The National Ambulatory Medical Care Survey (NAMCS) National Electronic Health Record Survey (NEHRS)</w:t>
            </w:r>
          </w:p>
        </w:tc>
      </w:tr>
      <w:tr w:rsidR="003E5031" w:rsidRPr="003E5031" w:rsidTr="003E5031">
        <w:tc>
          <w:tcPr>
            <w:tcW w:w="2245" w:type="dxa"/>
            <w:tcBorders>
              <w:top w:val="single" w:sz="4" w:space="0" w:color="auto"/>
              <w:left w:val="single" w:sz="4" w:space="0" w:color="auto"/>
              <w:bottom w:val="single" w:sz="4" w:space="0" w:color="auto"/>
              <w:right w:val="single" w:sz="4" w:space="0" w:color="auto"/>
            </w:tcBorders>
            <w:hideMark/>
          </w:tcPr>
          <w:p w:rsidR="003E5031" w:rsidRPr="003E5031" w:rsidRDefault="003E5031" w:rsidP="003E5031">
            <w:pPr>
              <w:tabs>
                <w:tab w:val="left" w:pos="-1440"/>
              </w:tabs>
              <w:outlineLvl w:val="0"/>
            </w:pPr>
            <w:r w:rsidRPr="003E5031">
              <w:t>0920-1030</w:t>
            </w:r>
          </w:p>
        </w:tc>
        <w:tc>
          <w:tcPr>
            <w:tcW w:w="7825" w:type="dxa"/>
            <w:tcBorders>
              <w:top w:val="single" w:sz="4" w:space="0" w:color="auto"/>
              <w:left w:val="single" w:sz="4" w:space="0" w:color="auto"/>
              <w:bottom w:val="single" w:sz="4" w:space="0" w:color="auto"/>
              <w:right w:val="single" w:sz="4" w:space="0" w:color="auto"/>
            </w:tcBorders>
            <w:hideMark/>
          </w:tcPr>
          <w:p w:rsidR="003E5031" w:rsidRPr="003E5031" w:rsidRDefault="003E5031" w:rsidP="003E5031">
            <w:pPr>
              <w:tabs>
                <w:tab w:val="left" w:pos="-1440"/>
              </w:tabs>
              <w:outlineLvl w:val="0"/>
            </w:pPr>
            <w:r w:rsidRPr="003E5031">
              <w:t>Developmental Studies to Improve the National Health Care Surveys</w:t>
            </w:r>
          </w:p>
        </w:tc>
      </w:tr>
      <w:tr w:rsidR="003E5031" w:rsidRPr="003E5031" w:rsidTr="003E5031">
        <w:tc>
          <w:tcPr>
            <w:tcW w:w="2245" w:type="dxa"/>
            <w:tcBorders>
              <w:top w:val="single" w:sz="4" w:space="0" w:color="auto"/>
              <w:left w:val="single" w:sz="4" w:space="0" w:color="auto"/>
              <w:bottom w:val="single" w:sz="4" w:space="0" w:color="auto"/>
              <w:right w:val="single" w:sz="4" w:space="0" w:color="auto"/>
            </w:tcBorders>
            <w:hideMark/>
          </w:tcPr>
          <w:p w:rsidR="003E5031" w:rsidRPr="003E5031" w:rsidRDefault="003E5031" w:rsidP="003E5031">
            <w:pPr>
              <w:tabs>
                <w:tab w:val="left" w:pos="-1440"/>
              </w:tabs>
              <w:outlineLvl w:val="0"/>
            </w:pPr>
            <w:r w:rsidRPr="003E5031">
              <w:t>0920-1063</w:t>
            </w:r>
          </w:p>
        </w:tc>
        <w:tc>
          <w:tcPr>
            <w:tcW w:w="7825" w:type="dxa"/>
            <w:tcBorders>
              <w:top w:val="single" w:sz="4" w:space="0" w:color="auto"/>
              <w:left w:val="single" w:sz="4" w:space="0" w:color="auto"/>
              <w:bottom w:val="single" w:sz="4" w:space="0" w:color="auto"/>
              <w:right w:val="single" w:sz="4" w:space="0" w:color="auto"/>
            </w:tcBorders>
            <w:hideMark/>
          </w:tcPr>
          <w:p w:rsidR="003E5031" w:rsidRPr="003E5031" w:rsidRDefault="003E5031" w:rsidP="003E5031">
            <w:pPr>
              <w:tabs>
                <w:tab w:val="left" w:pos="-1440"/>
              </w:tabs>
              <w:outlineLvl w:val="0"/>
            </w:pPr>
            <w:r w:rsidRPr="003E5031">
              <w:t>NAMCS Supplement of Primary Care Policies (NSPCP) for Managing Patients with High Blood Pressure, High Cholesterol, or Diabetes</w:t>
            </w:r>
          </w:p>
        </w:tc>
      </w:tr>
    </w:tbl>
    <w:p w:rsidR="003E5031" w:rsidRDefault="003E5031" w:rsidP="00E714F8">
      <w:pPr>
        <w:tabs>
          <w:tab w:val="left" w:pos="-1440"/>
        </w:tabs>
        <w:outlineLvl w:val="0"/>
      </w:pPr>
    </w:p>
    <w:p w:rsidR="00E714F8" w:rsidRDefault="008367A0" w:rsidP="00E714F8">
      <w:pPr>
        <w:tabs>
          <w:tab w:val="left" w:pos="-1440"/>
        </w:tabs>
        <w:outlineLvl w:val="0"/>
      </w:pPr>
      <w:r>
        <w:t xml:space="preserve">Otherwise, </w:t>
      </w:r>
      <w:r w:rsidR="00E714F8">
        <w:t xml:space="preserve">the content, scope, burden, </w:t>
      </w:r>
      <w:r>
        <w:t xml:space="preserve">and </w:t>
      </w:r>
      <w:r w:rsidR="00E714F8">
        <w:t xml:space="preserve">current expiration dates of </w:t>
      </w:r>
      <w:r>
        <w:t>each respective ICR will remain unchanged</w:t>
      </w:r>
      <w:r w:rsidR="00E714F8">
        <w:t>.</w:t>
      </w:r>
    </w:p>
    <w:p w:rsidR="00E714F8" w:rsidRDefault="00E714F8" w:rsidP="00E714F8">
      <w:pPr>
        <w:tabs>
          <w:tab w:val="left" w:pos="-1440"/>
        </w:tabs>
        <w:outlineLvl w:val="0"/>
      </w:pPr>
    </w:p>
    <w:p w:rsidR="00517609" w:rsidRDefault="00EE222B" w:rsidP="00D15044">
      <w:pPr>
        <w:tabs>
          <w:tab w:val="left" w:pos="-1440"/>
        </w:tabs>
        <w:outlineLvl w:val="0"/>
        <w:rPr>
          <w:b/>
          <w:bCs/>
        </w:rPr>
      </w:pPr>
      <w:r>
        <w:rPr>
          <w:b/>
        </w:rPr>
        <w:t xml:space="preserve">Part </w:t>
      </w:r>
      <w:r w:rsidR="00D15044" w:rsidRPr="008C3AFF">
        <w:rPr>
          <w:b/>
        </w:rPr>
        <w:t>A.</w:t>
      </w:r>
      <w:r w:rsidR="00D15044">
        <w:t xml:space="preserve"> </w:t>
      </w:r>
      <w:r w:rsidR="00517609">
        <w:rPr>
          <w:b/>
          <w:bCs/>
        </w:rPr>
        <w:t xml:space="preserve">Justification  </w:t>
      </w:r>
    </w:p>
    <w:p w:rsidR="00D15044" w:rsidRDefault="00D15044" w:rsidP="00D15044">
      <w:pPr>
        <w:tabs>
          <w:tab w:val="left" w:pos="-1440"/>
        </w:tabs>
        <w:ind w:left="360"/>
        <w:outlineLvl w:val="0"/>
        <w:rPr>
          <w:b/>
          <w:bCs/>
        </w:rPr>
      </w:pPr>
    </w:p>
    <w:p w:rsidR="00D15044" w:rsidRDefault="00D15044" w:rsidP="00D15044">
      <w:pPr>
        <w:outlineLvl w:val="0"/>
        <w:rPr>
          <w:b/>
          <w:bCs/>
        </w:rPr>
      </w:pPr>
      <w:r>
        <w:t xml:space="preserve">1.  </w:t>
      </w:r>
      <w:r>
        <w:rPr>
          <w:b/>
          <w:bCs/>
        </w:rPr>
        <w:t>Circumstances Making the Collection of Information Necessary</w:t>
      </w:r>
    </w:p>
    <w:p w:rsidR="00517609" w:rsidRDefault="00517609">
      <w:pPr>
        <w:tabs>
          <w:tab w:val="left" w:pos="-1440"/>
        </w:tabs>
        <w:rPr>
          <w:b/>
          <w:bCs/>
        </w:rPr>
      </w:pPr>
    </w:p>
    <w:p w:rsidR="008367A0" w:rsidRPr="008367A0" w:rsidRDefault="008367A0" w:rsidP="008367A0">
      <w:pPr>
        <w:rPr>
          <w:bCs/>
        </w:rPr>
      </w:pPr>
      <w:r w:rsidRPr="008367A0">
        <w:rPr>
          <w:bCs/>
        </w:rPr>
        <w:t xml:space="preserve">As part of the Consolidated Appropriations Act for Fiscal Year 2016 signed on December 17, 2015, the Congress included the Federal Cybersecurity Enhancement Act of 2015 (H.R. 2029, Division N, Title II, Subtitle B, Sec. 223).  This Act, among other provisions, permits and requires the Secretary of the Department of Homeland Security to provide Federal civilian agencies’ information technology systems with cybersecurity protection for their Internet traffic.  The technology currently used to provide this protection against cyber malware is known as Einstein 3A; it electronically searches Internet traffic in and out of Federal civilian agencies in real time for malware signatures.  </w:t>
      </w:r>
    </w:p>
    <w:p w:rsidR="008367A0" w:rsidRPr="008367A0" w:rsidRDefault="008367A0" w:rsidP="008367A0">
      <w:pPr>
        <w:rPr>
          <w:bCs/>
        </w:rPr>
      </w:pPr>
    </w:p>
    <w:p w:rsidR="008367A0" w:rsidRPr="008367A0" w:rsidRDefault="008367A0" w:rsidP="008367A0">
      <w:pPr>
        <w:rPr>
          <w:bCs/>
        </w:rPr>
      </w:pPr>
      <w:r w:rsidRPr="008367A0">
        <w:rPr>
          <w:bCs/>
        </w:rPr>
        <w:t xml:space="preserve">When such a signature is found, the Internet packets that contain the malware signature are shunted aside for further inspection by DHS personnel.  Because it is possible that such packets entering or leaving a statistical agency’s information technology system may contain a small portion of confidential statistical data, </w:t>
      </w:r>
      <w:r>
        <w:rPr>
          <w:bCs/>
        </w:rPr>
        <w:t>NCHS</w:t>
      </w:r>
      <w:r w:rsidRPr="008367A0">
        <w:rPr>
          <w:bCs/>
        </w:rPr>
        <w:t xml:space="preserve"> can no longer promise </w:t>
      </w:r>
      <w:r>
        <w:rPr>
          <w:bCs/>
        </w:rPr>
        <w:t>its</w:t>
      </w:r>
      <w:r w:rsidRPr="008367A0">
        <w:rPr>
          <w:bCs/>
        </w:rPr>
        <w:t xml:space="preserve"> respondents that their responses will be seen only by statistical agency personnel or their sworn agents.  However, </w:t>
      </w:r>
      <w:r w:rsidR="00B041CB">
        <w:rPr>
          <w:bCs/>
        </w:rPr>
        <w:t>NCHS</w:t>
      </w:r>
      <w:r w:rsidRPr="008367A0">
        <w:rPr>
          <w:bCs/>
        </w:rPr>
        <w:t xml:space="preserve"> can promise, in accordance with provisions of the Federal Cybersecurity Enhancement Act of 2015, that such monitoring can be used only to protect information and information systems from cybersecurity risks, thereby, in effect, providing stronger protection to the integrity of the respondents’ submissions.</w:t>
      </w:r>
    </w:p>
    <w:p w:rsidR="008367A0" w:rsidRPr="008367A0" w:rsidRDefault="008367A0" w:rsidP="008367A0">
      <w:pPr>
        <w:rPr>
          <w:bCs/>
        </w:rPr>
      </w:pPr>
    </w:p>
    <w:p w:rsidR="008367A0" w:rsidRPr="008367A0" w:rsidRDefault="008367A0" w:rsidP="008367A0">
      <w:pPr>
        <w:rPr>
          <w:bCs/>
        </w:rPr>
      </w:pPr>
      <w:r w:rsidRPr="008367A0">
        <w:rPr>
          <w:bCs/>
        </w:rPr>
        <w:t xml:space="preserve">Consequently, with the passage of the Federal Cybersecurity Enhancement Act of 2015, the Federal statistical community has an opportunity to welcome the further protection of its confidential data offered by DHS’ Einstein 3A cybersecurity protection program. The DHS cybersecurity program’s objective is to protect Federal civilian information systems from malicious malware attacks. The Federal statistical system’s objective is to ensure that the DHS Secretary performs those essential duties in a manner that honors the Government’s statutory promises to the public to protect their confidential data. Given that the Department of Homeland Security is not a Federal statistical agency, both DHS and the Federal statistical system have been successfully engaged in finding a way to balance both objectives and achieve these mutually reinforcing objectives. </w:t>
      </w:r>
    </w:p>
    <w:p w:rsidR="008367A0" w:rsidRPr="008367A0" w:rsidRDefault="008367A0" w:rsidP="008367A0">
      <w:pPr>
        <w:rPr>
          <w:bCs/>
        </w:rPr>
      </w:pPr>
    </w:p>
    <w:p w:rsidR="008367A0" w:rsidRPr="008367A0" w:rsidRDefault="008367A0" w:rsidP="008367A0">
      <w:pPr>
        <w:rPr>
          <w:bCs/>
        </w:rPr>
      </w:pPr>
      <w:r w:rsidRPr="008367A0">
        <w:rPr>
          <w:bCs/>
        </w:rPr>
        <w:t xml:space="preserve">However, </w:t>
      </w:r>
      <w:r w:rsidR="00B041CB" w:rsidRPr="00B041CB">
        <w:rPr>
          <w:bCs/>
        </w:rPr>
        <w:t>the Confidential Information Protection and Statistical Efficiency Act of 2002 (CIPSEA, Title 5 of Public Law 107-347)</w:t>
      </w:r>
      <w:r w:rsidR="00B041CB">
        <w:rPr>
          <w:bCs/>
        </w:rPr>
        <w:t xml:space="preserve"> </w:t>
      </w:r>
      <w:r w:rsidRPr="008367A0">
        <w:rPr>
          <w:bCs/>
        </w:rPr>
        <w:t>promise</w:t>
      </w:r>
      <w:r w:rsidR="00B041CB">
        <w:rPr>
          <w:bCs/>
        </w:rPr>
        <w:t>s</w:t>
      </w:r>
      <w:r w:rsidRPr="008367A0">
        <w:rPr>
          <w:bCs/>
        </w:rPr>
        <w:t xml:space="preserve"> that respondents’ data will be seen only by statistical agency personnel or their sworn agents.  Since it is possible that DHS personnel could see some portion of those confidential data in the course of examining the suspicious Internet packets identified by Einstein 3A sensors, </w:t>
      </w:r>
      <w:r w:rsidR="00B041CB">
        <w:rPr>
          <w:bCs/>
        </w:rPr>
        <w:t>NCHS</w:t>
      </w:r>
      <w:r w:rsidRPr="008367A0">
        <w:rPr>
          <w:bCs/>
        </w:rPr>
        <w:t xml:space="preserve"> need</w:t>
      </w:r>
      <w:r w:rsidR="00B041CB">
        <w:rPr>
          <w:bCs/>
        </w:rPr>
        <w:t>s</w:t>
      </w:r>
      <w:r w:rsidRPr="008367A0">
        <w:rPr>
          <w:bCs/>
        </w:rPr>
        <w:t xml:space="preserve"> to revise </w:t>
      </w:r>
      <w:r w:rsidR="00B041CB">
        <w:rPr>
          <w:bCs/>
        </w:rPr>
        <w:t>its</w:t>
      </w:r>
      <w:r w:rsidRPr="008367A0">
        <w:rPr>
          <w:bCs/>
        </w:rPr>
        <w:t xml:space="preserve"> confidentiality pledge to reflect this process change. </w:t>
      </w:r>
    </w:p>
    <w:p w:rsidR="008367A0" w:rsidRPr="008367A0" w:rsidRDefault="008367A0" w:rsidP="008367A0">
      <w:pPr>
        <w:rPr>
          <w:bCs/>
        </w:rPr>
      </w:pPr>
    </w:p>
    <w:p w:rsidR="008367A0" w:rsidRPr="008367A0" w:rsidRDefault="008367A0" w:rsidP="008367A0">
      <w:pPr>
        <w:rPr>
          <w:bCs/>
        </w:rPr>
      </w:pPr>
      <w:r w:rsidRPr="008367A0">
        <w:rPr>
          <w:bCs/>
        </w:rPr>
        <w:t>The following NCHS statistical confidentiality pledge will now apply to the Information Collections whose Paperwork Reduction Act Office of Management an</w:t>
      </w:r>
      <w:r w:rsidR="003E5031">
        <w:rPr>
          <w:bCs/>
        </w:rPr>
        <w:t xml:space="preserve">d Budget numbers and titles </w:t>
      </w:r>
      <w:r w:rsidRPr="008367A0">
        <w:rPr>
          <w:bCs/>
        </w:rPr>
        <w:t xml:space="preserve">listed </w:t>
      </w:r>
      <w:r w:rsidR="003E5031">
        <w:rPr>
          <w:bCs/>
        </w:rPr>
        <w:t>at the beginning of this supporting statement</w:t>
      </w:r>
      <w:r w:rsidRPr="008367A0">
        <w:rPr>
          <w:bCs/>
        </w:rPr>
        <w:t>.</w:t>
      </w:r>
    </w:p>
    <w:p w:rsidR="008367A0" w:rsidRPr="008367A0" w:rsidRDefault="008367A0" w:rsidP="008367A0">
      <w:pPr>
        <w:rPr>
          <w:bCs/>
        </w:rPr>
      </w:pPr>
    </w:p>
    <w:p w:rsidR="0003252F" w:rsidRPr="005E1E7F" w:rsidRDefault="008367A0" w:rsidP="008367A0">
      <w:pPr>
        <w:rPr>
          <w:i/>
        </w:rPr>
      </w:pPr>
      <w:r w:rsidRPr="005E1E7F">
        <w:rPr>
          <w:bCs/>
          <w:i/>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(42USC 242m)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or she willfully discloses ANY identifiable information about you.  In addition, NCHS complies with the Federal Cybersecurity Enhancement Act of 2015. This law requires the federal government to protect federal computer networks by using computer security programs to identify cybersecurity risks like hacking, internet attacks, and other security weaknesses. If information sent through government networks triggers a cyber threat indicator, the information may be intercepted and reviewed for cyber threats by computer network expe</w:t>
      </w:r>
      <w:r w:rsidR="00B041CB" w:rsidRPr="005E1E7F">
        <w:rPr>
          <w:bCs/>
          <w:i/>
        </w:rPr>
        <w:t xml:space="preserve">rts working for, or on behalf, </w:t>
      </w:r>
      <w:r w:rsidRPr="005E1E7F">
        <w:rPr>
          <w:bCs/>
          <w:i/>
        </w:rPr>
        <w:t xml:space="preserve">of the government.  </w:t>
      </w:r>
    </w:p>
    <w:p w:rsidR="0003252F" w:rsidRPr="0003252F" w:rsidRDefault="0003252F"/>
    <w:p w:rsidR="00517609" w:rsidRDefault="00517609" w:rsidP="004C438D">
      <w:pPr>
        <w:outlineLvl w:val="0"/>
        <w:rPr>
          <w:b/>
          <w:bCs/>
        </w:rPr>
      </w:pPr>
      <w:r>
        <w:t xml:space="preserve">2.  </w:t>
      </w:r>
      <w:r>
        <w:rPr>
          <w:b/>
          <w:bCs/>
        </w:rPr>
        <w:t xml:space="preserve">Purpose and Use of the Information  </w:t>
      </w:r>
    </w:p>
    <w:p w:rsidR="00517609" w:rsidRDefault="00517609">
      <w:pPr>
        <w:rPr>
          <w:b/>
          <w:bCs/>
        </w:rPr>
      </w:pPr>
    </w:p>
    <w:p w:rsidR="0003252F" w:rsidRDefault="00B041CB" w:rsidP="0003252F">
      <w:r>
        <w:t xml:space="preserve">There will be no change from the currently </w:t>
      </w:r>
      <w:r w:rsidR="008707F3">
        <w:t xml:space="preserve">underlying </w:t>
      </w:r>
      <w:r>
        <w:t>approved packages.</w:t>
      </w:r>
    </w:p>
    <w:p w:rsidR="00E5030A" w:rsidRDefault="00E5030A" w:rsidP="004C438D">
      <w:pPr>
        <w:outlineLvl w:val="0"/>
      </w:pPr>
    </w:p>
    <w:p w:rsidR="00517609" w:rsidRDefault="00517609" w:rsidP="004C438D">
      <w:pPr>
        <w:outlineLvl w:val="0"/>
        <w:rPr>
          <w:b/>
          <w:bCs/>
        </w:rPr>
      </w:pPr>
      <w:r>
        <w:t xml:space="preserve">3.  </w:t>
      </w:r>
      <w:r>
        <w:rPr>
          <w:b/>
          <w:bCs/>
        </w:rPr>
        <w:t>Use of Information Technology and Burden Reduction</w:t>
      </w:r>
    </w:p>
    <w:p w:rsidR="00517609" w:rsidRDefault="00517609">
      <w:r>
        <w:t xml:space="preserve"> </w:t>
      </w:r>
    </w:p>
    <w:p w:rsidR="00B041CB" w:rsidRDefault="00B041CB">
      <w:bookmarkStart w:id="1" w:name="OLE_LINK5"/>
      <w:bookmarkStart w:id="2" w:name="OLE_LINK6"/>
      <w:r w:rsidRPr="00B041CB">
        <w:t>There will be no cha</w:t>
      </w:r>
      <w:r w:rsidR="008707F3">
        <w:t xml:space="preserve">nge from the </w:t>
      </w:r>
      <w:r w:rsidRPr="00B041CB">
        <w:t xml:space="preserve">currently approved </w:t>
      </w:r>
      <w:r w:rsidR="008707F3" w:rsidRPr="008707F3">
        <w:t xml:space="preserve">underlying </w:t>
      </w:r>
      <w:r w:rsidRPr="00B041CB">
        <w:t>packages.</w:t>
      </w:r>
    </w:p>
    <w:p w:rsidR="00517609" w:rsidRDefault="00517609">
      <w:r>
        <w:t xml:space="preserve"> </w:t>
      </w:r>
    </w:p>
    <w:p w:rsidR="00517609" w:rsidRDefault="00517609" w:rsidP="004C438D">
      <w:pPr>
        <w:outlineLvl w:val="0"/>
        <w:rPr>
          <w:b/>
          <w:bCs/>
        </w:rPr>
      </w:pPr>
      <w:r>
        <w:t xml:space="preserve">4.  </w:t>
      </w:r>
      <w:r>
        <w:rPr>
          <w:b/>
          <w:bCs/>
        </w:rPr>
        <w:t>Efforts to Identify Duplication and Use of Similar Information</w:t>
      </w:r>
    </w:p>
    <w:p w:rsidR="00517609" w:rsidRDefault="00517609">
      <w:pPr>
        <w:rPr>
          <w:b/>
          <w:bCs/>
        </w:rPr>
      </w:pPr>
      <w:r>
        <w:rPr>
          <w:b/>
          <w:bCs/>
        </w:rPr>
        <w:t xml:space="preserve"> </w:t>
      </w:r>
    </w:p>
    <w:p w:rsidR="00517609" w:rsidRDefault="00B041CB">
      <w:r w:rsidRPr="00B041CB">
        <w:t xml:space="preserve">There will be no change from the currently approved </w:t>
      </w:r>
      <w:r w:rsidR="008707F3" w:rsidRPr="008707F3">
        <w:t>underlying</w:t>
      </w:r>
      <w:r w:rsidR="008707F3" w:rsidRPr="00B041CB">
        <w:t xml:space="preserve"> </w:t>
      </w:r>
      <w:r w:rsidRPr="00B041CB">
        <w:t>packages.</w:t>
      </w:r>
    </w:p>
    <w:p w:rsidR="001F2D4C" w:rsidRDefault="001F2D4C"/>
    <w:bookmarkEnd w:id="1"/>
    <w:bookmarkEnd w:id="2"/>
    <w:p w:rsidR="00517609" w:rsidRDefault="00517609" w:rsidP="004C438D">
      <w:pPr>
        <w:outlineLvl w:val="0"/>
        <w:rPr>
          <w:b/>
          <w:bCs/>
        </w:rPr>
      </w:pPr>
      <w:r>
        <w:t xml:space="preserve">5.  </w:t>
      </w:r>
      <w:r>
        <w:rPr>
          <w:b/>
          <w:bCs/>
        </w:rPr>
        <w:t>Impact on Small Businesses or Other Small Entities</w:t>
      </w:r>
    </w:p>
    <w:p w:rsidR="00517609" w:rsidRDefault="00517609">
      <w:pPr>
        <w:rPr>
          <w:b/>
          <w:bCs/>
        </w:rPr>
      </w:pPr>
    </w:p>
    <w:p w:rsidR="00517609" w:rsidRDefault="00B041CB">
      <w:r w:rsidRPr="00B041CB">
        <w:t>Th</w:t>
      </w:r>
      <w:r w:rsidR="008707F3">
        <w:t xml:space="preserve">ere will be no change from the </w:t>
      </w:r>
      <w:r w:rsidRPr="00B041CB">
        <w:t xml:space="preserve">currently approved </w:t>
      </w:r>
      <w:r w:rsidR="008707F3" w:rsidRPr="008707F3">
        <w:t>underlying</w:t>
      </w:r>
      <w:r w:rsidR="008707F3" w:rsidRPr="00B041CB">
        <w:t xml:space="preserve"> </w:t>
      </w:r>
      <w:r w:rsidRPr="00B041CB">
        <w:t>packages.</w:t>
      </w:r>
      <w:r w:rsidR="00517609">
        <w:t xml:space="preserve">  </w:t>
      </w:r>
    </w:p>
    <w:p w:rsidR="00517609" w:rsidRDefault="00517609"/>
    <w:p w:rsidR="00517609" w:rsidRDefault="00517609" w:rsidP="004C438D">
      <w:pPr>
        <w:outlineLvl w:val="0"/>
        <w:rPr>
          <w:b/>
          <w:bCs/>
        </w:rPr>
      </w:pPr>
      <w:r>
        <w:t xml:space="preserve">6.  </w:t>
      </w:r>
      <w:r>
        <w:rPr>
          <w:b/>
          <w:bCs/>
        </w:rPr>
        <w:t>Consequences of Collecting the Information Less Frequently</w:t>
      </w:r>
    </w:p>
    <w:p w:rsidR="00517609" w:rsidRDefault="00517609">
      <w:pPr>
        <w:rPr>
          <w:b/>
          <w:bCs/>
        </w:rPr>
      </w:pPr>
    </w:p>
    <w:p w:rsidR="00517609" w:rsidRDefault="00B041CB">
      <w:pPr>
        <w:tabs>
          <w:tab w:val="left" w:pos="-1440"/>
        </w:tabs>
        <w:spacing w:line="360" w:lineRule="auto"/>
        <w:ind w:left="720" w:hanging="720"/>
      </w:pPr>
      <w:r w:rsidRPr="00B041CB">
        <w:t>There will b</w:t>
      </w:r>
      <w:r w:rsidR="008707F3">
        <w:t xml:space="preserve">e no change from the </w:t>
      </w:r>
      <w:r w:rsidRPr="00B041CB">
        <w:t xml:space="preserve">currently approved </w:t>
      </w:r>
      <w:r w:rsidR="008707F3" w:rsidRPr="008707F3">
        <w:t xml:space="preserve">underlying </w:t>
      </w:r>
      <w:r w:rsidRPr="00B041CB">
        <w:t>packages.</w:t>
      </w:r>
    </w:p>
    <w:p w:rsidR="00014126" w:rsidRDefault="00014126" w:rsidP="004C438D">
      <w:pPr>
        <w:tabs>
          <w:tab w:val="left" w:pos="-1440"/>
        </w:tabs>
        <w:spacing w:line="360" w:lineRule="auto"/>
        <w:ind w:left="720" w:hanging="720"/>
        <w:outlineLvl w:val="0"/>
      </w:pPr>
      <w:bookmarkStart w:id="3" w:name="OLE_LINK7"/>
      <w:bookmarkStart w:id="4" w:name="OLE_LINK8"/>
    </w:p>
    <w:p w:rsidR="00517609" w:rsidRDefault="00517609" w:rsidP="004C438D">
      <w:pPr>
        <w:tabs>
          <w:tab w:val="left" w:pos="-1440"/>
        </w:tabs>
        <w:spacing w:line="360" w:lineRule="auto"/>
        <w:ind w:left="720" w:hanging="720"/>
        <w:outlineLvl w:val="0"/>
        <w:rPr>
          <w:b/>
          <w:bCs/>
        </w:rPr>
      </w:pPr>
      <w:r>
        <w:t xml:space="preserve">7.  </w:t>
      </w:r>
      <w:r>
        <w:rPr>
          <w:b/>
          <w:bCs/>
        </w:rPr>
        <w:t xml:space="preserve">Specific Circumstances Relating to the Guidelines of 5 CFR 1320.5  </w:t>
      </w:r>
    </w:p>
    <w:bookmarkEnd w:id="3"/>
    <w:bookmarkEnd w:id="4"/>
    <w:p w:rsidR="0003252F" w:rsidRDefault="00B041CB" w:rsidP="004C438D">
      <w:pPr>
        <w:outlineLvl w:val="0"/>
      </w:pPr>
      <w:r w:rsidRPr="00B041CB">
        <w:t>There will be no change from the</w:t>
      </w:r>
      <w:r w:rsidR="008707F3">
        <w:t xml:space="preserve"> currently approved </w:t>
      </w:r>
      <w:r w:rsidR="008707F3" w:rsidRPr="008707F3">
        <w:t xml:space="preserve">underlying </w:t>
      </w:r>
      <w:r w:rsidR="008707F3">
        <w:t>p</w:t>
      </w:r>
      <w:r w:rsidRPr="00B041CB">
        <w:t>ackages.</w:t>
      </w:r>
    </w:p>
    <w:p w:rsidR="00B041CB" w:rsidRDefault="00B041CB" w:rsidP="004C438D">
      <w:pPr>
        <w:outlineLvl w:val="0"/>
      </w:pPr>
    </w:p>
    <w:p w:rsidR="00517609" w:rsidRDefault="00517609" w:rsidP="004C438D">
      <w:pPr>
        <w:outlineLvl w:val="0"/>
        <w:rPr>
          <w:b/>
        </w:rPr>
      </w:pPr>
      <w:r>
        <w:t xml:space="preserve">8.  </w:t>
      </w:r>
      <w:r>
        <w:rPr>
          <w:b/>
        </w:rPr>
        <w:t xml:space="preserve">Comments in Response to the Federal Register Notice and Efforts to Consult Outside Agency  </w:t>
      </w:r>
    </w:p>
    <w:p w:rsidR="00517609" w:rsidRDefault="00517609"/>
    <w:p w:rsidR="00B041CB" w:rsidRDefault="00B041CB">
      <w:r>
        <w:t>This ICR is being submitted under PRA emergency clearance procedures. NCHS will submit a regular 60-day FRN for publication and will consider public comments received in response to that document.</w:t>
      </w:r>
    </w:p>
    <w:p w:rsidR="00B041CB" w:rsidRDefault="00B041CB"/>
    <w:p w:rsidR="00517609" w:rsidRDefault="00517609" w:rsidP="004C438D">
      <w:pPr>
        <w:outlineLvl w:val="0"/>
        <w:rPr>
          <w:b/>
          <w:bCs/>
        </w:rPr>
      </w:pPr>
      <w:r>
        <w:t xml:space="preserve">9.  </w:t>
      </w:r>
      <w:r>
        <w:rPr>
          <w:b/>
          <w:bCs/>
        </w:rPr>
        <w:t>Explanation of Any Pay</w:t>
      </w:r>
      <w:r w:rsidR="00C64B34">
        <w:rPr>
          <w:b/>
          <w:bCs/>
        </w:rPr>
        <w:t>ment</w:t>
      </w:r>
      <w:r>
        <w:rPr>
          <w:b/>
          <w:bCs/>
        </w:rPr>
        <w:t xml:space="preserve"> or Gift to Respondents  </w:t>
      </w:r>
    </w:p>
    <w:p w:rsidR="00517609" w:rsidRDefault="00517609">
      <w:pPr>
        <w:rPr>
          <w:b/>
          <w:bCs/>
        </w:rPr>
      </w:pPr>
    </w:p>
    <w:p w:rsidR="00517609" w:rsidRDefault="00B041CB" w:rsidP="004C438D">
      <w:pPr>
        <w:outlineLvl w:val="0"/>
      </w:pPr>
      <w:r w:rsidRPr="00B041CB">
        <w:t xml:space="preserve">There will be no change from the respective currently approved </w:t>
      </w:r>
      <w:r w:rsidR="008707F3" w:rsidRPr="008707F3">
        <w:t xml:space="preserve">underlying </w:t>
      </w:r>
      <w:r w:rsidRPr="00B041CB">
        <w:t>packages.</w:t>
      </w:r>
    </w:p>
    <w:p w:rsidR="00517609" w:rsidRDefault="00517609"/>
    <w:p w:rsidR="00517609" w:rsidRDefault="00517609" w:rsidP="004C438D">
      <w:pPr>
        <w:outlineLvl w:val="0"/>
        <w:rPr>
          <w:b/>
          <w:bCs/>
        </w:rPr>
      </w:pPr>
      <w:r>
        <w:t xml:space="preserve">10.  </w:t>
      </w:r>
      <w:r>
        <w:rPr>
          <w:b/>
          <w:bCs/>
        </w:rPr>
        <w:t xml:space="preserve">Assurance of Confidentiality Provided to Respondents  </w:t>
      </w:r>
    </w:p>
    <w:p w:rsidR="00EE222B" w:rsidRDefault="00EE222B" w:rsidP="00EE222B">
      <w:pPr>
        <w:rPr>
          <w:b/>
          <w:bCs/>
        </w:rPr>
      </w:pPr>
    </w:p>
    <w:p w:rsidR="00EE222B" w:rsidRPr="00EE222B" w:rsidRDefault="00EE222B" w:rsidP="00EE222B">
      <w:pPr>
        <w:rPr>
          <w:bCs/>
        </w:rPr>
      </w:pPr>
      <w:r w:rsidRPr="00EE222B">
        <w:rPr>
          <w:bCs/>
        </w:rPr>
        <w:t>The following NCHS statistical confidentiality pledge will now apply to the Information Collections whose Paperwork Reduction Act Office of Management and Budget numbers and titles are listed below.</w:t>
      </w:r>
    </w:p>
    <w:p w:rsidR="00EE222B" w:rsidRPr="00EE222B" w:rsidRDefault="00EE222B" w:rsidP="00EE222B">
      <w:pPr>
        <w:rPr>
          <w:bCs/>
        </w:rPr>
      </w:pPr>
    </w:p>
    <w:p w:rsidR="00517609" w:rsidRPr="00EE222B" w:rsidRDefault="00EE222B" w:rsidP="00EE222B">
      <w:pPr>
        <w:rPr>
          <w:bCs/>
        </w:rPr>
      </w:pPr>
      <w:r w:rsidRPr="005E1E7F">
        <w:rPr>
          <w:bCs/>
          <w:i/>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(42USC 242m)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or she willfully discloses ANY identifiable information about you.  In addition, NCHS complies with the Federal Cybersecurity Enhancement Act of 2015. This law requires the federal government to protect federal computer networks by using computer security programs to identify cybersecurity risks like hacking, internet attacks, and other security weaknesses. If information sent through government networks triggers a cyber threat indicator, the information may be intercepted and reviewed for cyber threats by computer network experts working for, or on behalf</w:t>
      </w:r>
      <w:proofErr w:type="gramStart"/>
      <w:r w:rsidRPr="005E1E7F">
        <w:rPr>
          <w:bCs/>
          <w:i/>
        </w:rPr>
        <w:t>,  of</w:t>
      </w:r>
      <w:proofErr w:type="gramEnd"/>
      <w:r w:rsidRPr="005E1E7F">
        <w:rPr>
          <w:bCs/>
          <w:i/>
        </w:rPr>
        <w:t xml:space="preserve"> the government.</w:t>
      </w:r>
    </w:p>
    <w:p w:rsidR="0003252F" w:rsidRDefault="0003252F">
      <w:pPr>
        <w:rPr>
          <w:b/>
          <w:bCs/>
        </w:rPr>
      </w:pPr>
    </w:p>
    <w:p w:rsidR="00517609" w:rsidRDefault="00517609" w:rsidP="004C438D">
      <w:pPr>
        <w:outlineLvl w:val="0"/>
        <w:rPr>
          <w:b/>
          <w:bCs/>
        </w:rPr>
      </w:pPr>
      <w:r>
        <w:t xml:space="preserve">11.  </w:t>
      </w:r>
      <w:r>
        <w:rPr>
          <w:b/>
          <w:bCs/>
        </w:rPr>
        <w:t xml:space="preserve">Justification for Sensitive Questions  </w:t>
      </w:r>
    </w:p>
    <w:p w:rsidR="00DC047B" w:rsidRDefault="00DC047B"/>
    <w:p w:rsidR="00517609" w:rsidRDefault="008707F3">
      <w:r w:rsidRPr="008707F3">
        <w:t>There will be no change from the respective currently approved underlying packages.</w:t>
      </w:r>
    </w:p>
    <w:p w:rsidR="00517609" w:rsidRDefault="00517609"/>
    <w:p w:rsidR="00517609" w:rsidRDefault="00517609" w:rsidP="004C438D">
      <w:pPr>
        <w:widowControl/>
        <w:autoSpaceDE/>
        <w:autoSpaceDN/>
        <w:adjustRightInd/>
        <w:outlineLvl w:val="0"/>
        <w:rPr>
          <w:b/>
        </w:rPr>
      </w:pPr>
      <w:r>
        <w:t xml:space="preserve">12.  </w:t>
      </w:r>
      <w:r>
        <w:rPr>
          <w:b/>
        </w:rPr>
        <w:t xml:space="preserve">Estimates of Annualized Burden Hours and Costs  </w:t>
      </w:r>
    </w:p>
    <w:p w:rsidR="00517609" w:rsidRDefault="00517609" w:rsidP="004C438D">
      <w:pPr>
        <w:widowControl/>
        <w:autoSpaceDE/>
        <w:autoSpaceDN/>
        <w:adjustRightInd/>
        <w:outlineLvl w:val="0"/>
      </w:pPr>
      <w:r>
        <w:t xml:space="preserve"> </w:t>
      </w:r>
    </w:p>
    <w:p w:rsidR="00517609" w:rsidRDefault="008707F3">
      <w:pPr>
        <w:widowControl/>
        <w:autoSpaceDE/>
        <w:autoSpaceDN/>
        <w:adjustRightInd/>
      </w:pPr>
      <w:r w:rsidRPr="008707F3">
        <w:t>There will b</w:t>
      </w:r>
      <w:r>
        <w:t xml:space="preserve">e no change from the </w:t>
      </w:r>
      <w:r w:rsidRPr="008707F3">
        <w:t>currently approved underlying packages.</w:t>
      </w:r>
    </w:p>
    <w:p w:rsidR="008707F3" w:rsidRDefault="008707F3">
      <w:pPr>
        <w:widowControl/>
        <w:autoSpaceDE/>
        <w:autoSpaceDN/>
        <w:adjustRightInd/>
      </w:pPr>
    </w:p>
    <w:p w:rsidR="00014126" w:rsidRDefault="00014126" w:rsidP="004C438D">
      <w:pPr>
        <w:widowControl/>
        <w:autoSpaceDE/>
        <w:autoSpaceDN/>
        <w:adjustRightInd/>
        <w:outlineLvl w:val="0"/>
      </w:pPr>
    </w:p>
    <w:p w:rsidR="00517609" w:rsidRDefault="00517609" w:rsidP="004C438D">
      <w:pPr>
        <w:widowControl/>
        <w:autoSpaceDE/>
        <w:autoSpaceDN/>
        <w:adjustRightInd/>
        <w:outlineLvl w:val="0"/>
        <w:rPr>
          <w:b/>
          <w:bCs/>
        </w:rPr>
      </w:pPr>
      <w:r>
        <w:t xml:space="preserve">13.  </w:t>
      </w:r>
      <w:r>
        <w:rPr>
          <w:b/>
          <w:bCs/>
        </w:rPr>
        <w:t>Estimate</w:t>
      </w:r>
      <w:r w:rsidR="006F5771">
        <w:rPr>
          <w:b/>
          <w:bCs/>
        </w:rPr>
        <w:t>s</w:t>
      </w:r>
      <w:r>
        <w:rPr>
          <w:b/>
          <w:bCs/>
        </w:rPr>
        <w:t xml:space="preserve"> of Other Total </w:t>
      </w:r>
      <w:r w:rsidR="006F5771">
        <w:rPr>
          <w:b/>
          <w:bCs/>
        </w:rPr>
        <w:t xml:space="preserve">Annual </w:t>
      </w:r>
      <w:r>
        <w:rPr>
          <w:b/>
          <w:bCs/>
        </w:rPr>
        <w:t xml:space="preserve">Cost Burden to Respondents or Record Keepers  </w:t>
      </w:r>
    </w:p>
    <w:p w:rsidR="00517609" w:rsidRDefault="00517609">
      <w:pPr>
        <w:widowControl/>
        <w:autoSpaceDE/>
        <w:autoSpaceDN/>
        <w:adjustRightInd/>
        <w:rPr>
          <w:b/>
          <w:bCs/>
        </w:rPr>
      </w:pPr>
    </w:p>
    <w:p w:rsidR="00517609" w:rsidRDefault="008707F3">
      <w:r w:rsidRPr="008707F3">
        <w:t xml:space="preserve">There </w:t>
      </w:r>
      <w:r>
        <w:t xml:space="preserve">are no capital/start-up costs in any of </w:t>
      </w:r>
      <w:r w:rsidRPr="008707F3">
        <w:t>the respective currently approved underlying packages.</w:t>
      </w:r>
    </w:p>
    <w:p w:rsidR="008707F3" w:rsidRDefault="008707F3"/>
    <w:p w:rsidR="00517609" w:rsidRDefault="00517609" w:rsidP="004C438D">
      <w:pPr>
        <w:outlineLvl w:val="0"/>
        <w:rPr>
          <w:b/>
          <w:bCs/>
        </w:rPr>
      </w:pPr>
      <w:r>
        <w:t xml:space="preserve">14.  </w:t>
      </w:r>
      <w:r>
        <w:rPr>
          <w:b/>
          <w:bCs/>
        </w:rPr>
        <w:t xml:space="preserve">Annualized Cost to the Federal Government  </w:t>
      </w:r>
    </w:p>
    <w:p w:rsidR="00517609" w:rsidRDefault="00517609">
      <w:pPr>
        <w:rPr>
          <w:b/>
          <w:bCs/>
        </w:rPr>
      </w:pPr>
    </w:p>
    <w:p w:rsidR="00472524" w:rsidRDefault="008707F3">
      <w:r w:rsidRPr="008707F3">
        <w:t>There will b</w:t>
      </w:r>
      <w:r>
        <w:t xml:space="preserve">e no change from the </w:t>
      </w:r>
      <w:r w:rsidRPr="008707F3">
        <w:t>currently approved underlying packages.</w:t>
      </w:r>
    </w:p>
    <w:p w:rsidR="00472524" w:rsidRDefault="00472524"/>
    <w:p w:rsidR="00517609" w:rsidRDefault="00517609" w:rsidP="004C438D">
      <w:pPr>
        <w:outlineLvl w:val="0"/>
        <w:rPr>
          <w:b/>
          <w:bCs/>
        </w:rPr>
      </w:pPr>
      <w:r>
        <w:t xml:space="preserve">15.  </w:t>
      </w:r>
      <w:r>
        <w:rPr>
          <w:b/>
          <w:bCs/>
        </w:rPr>
        <w:t xml:space="preserve">Explanation for Program Changes or Adjustments  </w:t>
      </w:r>
    </w:p>
    <w:p w:rsidR="00517609" w:rsidRDefault="00517609">
      <w:pPr>
        <w:rPr>
          <w:b/>
          <w:bCs/>
        </w:rPr>
      </w:pPr>
    </w:p>
    <w:p w:rsidR="00A91D20" w:rsidRDefault="008707F3" w:rsidP="004C438D">
      <w:pPr>
        <w:outlineLvl w:val="0"/>
      </w:pPr>
      <w:r w:rsidRPr="008707F3">
        <w:t xml:space="preserve">There will be no change </w:t>
      </w:r>
      <w:r>
        <w:t xml:space="preserve">in respondent burden </w:t>
      </w:r>
      <w:r w:rsidRPr="008707F3">
        <w:t>f</w:t>
      </w:r>
      <w:r>
        <w:t xml:space="preserve">or the </w:t>
      </w:r>
      <w:r w:rsidRPr="008707F3">
        <w:t>currently approved underlying packages</w:t>
      </w:r>
      <w:r>
        <w:t xml:space="preserve"> by the addition of the revised confidentiality language</w:t>
      </w:r>
      <w:r w:rsidRPr="008707F3">
        <w:t>.</w:t>
      </w:r>
    </w:p>
    <w:p w:rsidR="008707F3" w:rsidRDefault="008707F3" w:rsidP="004C438D">
      <w:pPr>
        <w:outlineLvl w:val="0"/>
      </w:pPr>
    </w:p>
    <w:p w:rsidR="00517609" w:rsidRDefault="00517609" w:rsidP="004C438D">
      <w:pPr>
        <w:outlineLvl w:val="0"/>
        <w:rPr>
          <w:b/>
          <w:bCs/>
        </w:rPr>
      </w:pPr>
      <w:r>
        <w:t xml:space="preserve">16.  </w:t>
      </w:r>
      <w:r>
        <w:rPr>
          <w:b/>
          <w:bCs/>
        </w:rPr>
        <w:t>Plans for Tabulation and Publication and Project Time Schedule</w:t>
      </w:r>
    </w:p>
    <w:p w:rsidR="00517609" w:rsidRDefault="00517609">
      <w:r>
        <w:rPr>
          <w:b/>
          <w:bCs/>
        </w:rPr>
        <w:t xml:space="preserve">  </w:t>
      </w:r>
      <w:r>
        <w:t xml:space="preserve"> </w:t>
      </w:r>
    </w:p>
    <w:p w:rsidR="004961CA" w:rsidRDefault="008707F3">
      <w:r w:rsidRPr="008707F3">
        <w:t>There will be no change from the currently approved underlying packages.</w:t>
      </w:r>
    </w:p>
    <w:p w:rsidR="008707F3" w:rsidRDefault="008707F3"/>
    <w:p w:rsidR="00517609" w:rsidRDefault="00517609" w:rsidP="004C438D">
      <w:pPr>
        <w:outlineLvl w:val="0"/>
      </w:pPr>
      <w:r>
        <w:t xml:space="preserve">17.  </w:t>
      </w:r>
      <w:r>
        <w:rPr>
          <w:b/>
          <w:bCs/>
        </w:rPr>
        <w:t>Reason(s) Display of OMB Expiration Date is Inappropriate</w:t>
      </w:r>
      <w:r>
        <w:t xml:space="preserve">  </w:t>
      </w:r>
    </w:p>
    <w:p w:rsidR="00517609" w:rsidRDefault="00517609"/>
    <w:p w:rsidR="00517609" w:rsidRDefault="008707F3">
      <w:r>
        <w:t>No changes to current requests not to display the expiration dates for the currently approved packages.</w:t>
      </w:r>
    </w:p>
    <w:p w:rsidR="008707F3" w:rsidRDefault="008707F3"/>
    <w:p w:rsidR="00517609" w:rsidRDefault="00517609" w:rsidP="004C438D">
      <w:pPr>
        <w:outlineLvl w:val="0"/>
      </w:pPr>
      <w:r>
        <w:t xml:space="preserve">18.  </w:t>
      </w:r>
      <w:r>
        <w:rPr>
          <w:b/>
          <w:bCs/>
        </w:rPr>
        <w:t xml:space="preserve">Exceptions to Certification for Paperwork Reduction Act </w:t>
      </w:r>
      <w:r>
        <w:rPr>
          <w:b/>
        </w:rPr>
        <w:t>Submissions</w:t>
      </w:r>
      <w:r>
        <w:t xml:space="preserve">  </w:t>
      </w:r>
    </w:p>
    <w:p w:rsidR="00517609" w:rsidRDefault="00517609"/>
    <w:p w:rsidR="00517609" w:rsidRDefault="001B6FF2" w:rsidP="004C438D">
      <w:pPr>
        <w:outlineLvl w:val="0"/>
      </w:pPr>
      <w:r>
        <w:t xml:space="preserve">There are no exceptions to the certification. </w:t>
      </w:r>
    </w:p>
    <w:p w:rsidR="00517609" w:rsidRDefault="00517609"/>
    <w:p w:rsidR="008707F3" w:rsidRDefault="008707F3">
      <w:pPr>
        <w:rPr>
          <w:b/>
        </w:rPr>
      </w:pPr>
      <w:r w:rsidRPr="008707F3">
        <w:rPr>
          <w:b/>
        </w:rPr>
        <w:t>Part B – Statistical Methods</w:t>
      </w:r>
    </w:p>
    <w:p w:rsidR="008707F3" w:rsidRDefault="008707F3">
      <w:pPr>
        <w:rPr>
          <w:b/>
        </w:rPr>
      </w:pPr>
    </w:p>
    <w:p w:rsidR="008707F3" w:rsidRDefault="00EE222B">
      <w:r>
        <w:t>NCHS</w:t>
      </w:r>
      <w:r w:rsidR="008707F3" w:rsidRPr="008707F3">
        <w:t xml:space="preserve"> </w:t>
      </w:r>
      <w:r w:rsidR="000D45F6">
        <w:t xml:space="preserve">has determined </w:t>
      </w:r>
      <w:r w:rsidR="008707F3" w:rsidRPr="008707F3">
        <w:t>that Part B is not needed for this ICR, as there are no changes to the statistical methods from those in the currently approved underlying packages.</w:t>
      </w:r>
    </w:p>
    <w:p w:rsidR="00557FA1" w:rsidRPr="00557FA1" w:rsidRDefault="00557FA1" w:rsidP="00BC432A">
      <w:pPr>
        <w:jc w:val="center"/>
        <w:outlineLvl w:val="0"/>
      </w:pPr>
    </w:p>
    <w:sectPr w:rsidR="00557FA1" w:rsidRPr="00557FA1" w:rsidSect="004C438D">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1350" w:right="1440" w:bottom="1170" w:left="1440" w:header="1350" w:footer="117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363B" w:rsidRDefault="0055363B">
      <w:r>
        <w:separator/>
      </w:r>
    </w:p>
  </w:endnote>
  <w:endnote w:type="continuationSeparator" w:id="0">
    <w:p w:rsidR="0055363B" w:rsidRDefault="00553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80D" w:rsidRDefault="006F0129" w:rsidP="004C438D">
    <w:pPr>
      <w:pStyle w:val="Footer"/>
      <w:framePr w:wrap="around" w:vAnchor="text" w:hAnchor="margin" w:xAlign="center" w:y="1"/>
      <w:rPr>
        <w:rStyle w:val="PageNumber"/>
      </w:rPr>
    </w:pPr>
    <w:r>
      <w:rPr>
        <w:rStyle w:val="PageNumber"/>
      </w:rPr>
      <w:fldChar w:fldCharType="begin"/>
    </w:r>
    <w:r w:rsidR="0003580D">
      <w:rPr>
        <w:rStyle w:val="PageNumber"/>
      </w:rPr>
      <w:instrText xml:space="preserve">PAGE  </w:instrText>
    </w:r>
    <w:r>
      <w:rPr>
        <w:rStyle w:val="PageNumber"/>
      </w:rPr>
      <w:fldChar w:fldCharType="end"/>
    </w:r>
  </w:p>
  <w:p w:rsidR="0003580D" w:rsidRDefault="000358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80D" w:rsidRDefault="006F0129" w:rsidP="004C438D">
    <w:pPr>
      <w:pStyle w:val="Footer"/>
      <w:framePr w:wrap="around" w:vAnchor="text" w:hAnchor="margin" w:xAlign="center" w:y="1"/>
      <w:rPr>
        <w:rStyle w:val="PageNumber"/>
      </w:rPr>
    </w:pPr>
    <w:r>
      <w:rPr>
        <w:rStyle w:val="PageNumber"/>
      </w:rPr>
      <w:fldChar w:fldCharType="begin"/>
    </w:r>
    <w:r w:rsidR="0003580D">
      <w:rPr>
        <w:rStyle w:val="PageNumber"/>
      </w:rPr>
      <w:instrText xml:space="preserve">PAGE  </w:instrText>
    </w:r>
    <w:r>
      <w:rPr>
        <w:rStyle w:val="PageNumber"/>
      </w:rPr>
      <w:fldChar w:fldCharType="separate"/>
    </w:r>
    <w:r w:rsidR="00014126">
      <w:rPr>
        <w:rStyle w:val="PageNumber"/>
        <w:noProof/>
      </w:rPr>
      <w:t>6</w:t>
    </w:r>
    <w:r>
      <w:rPr>
        <w:rStyle w:val="PageNumber"/>
      </w:rPr>
      <w:fldChar w:fldCharType="end"/>
    </w:r>
  </w:p>
  <w:p w:rsidR="0003580D" w:rsidRDefault="0003580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126" w:rsidRDefault="000141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363B" w:rsidRDefault="0055363B">
      <w:r>
        <w:separator/>
      </w:r>
    </w:p>
  </w:footnote>
  <w:footnote w:type="continuationSeparator" w:id="0">
    <w:p w:rsidR="0055363B" w:rsidRDefault="005536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126" w:rsidRDefault="000141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FD7" w:rsidRDefault="00813FD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126" w:rsidRDefault="000141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96131F"/>
    <w:multiLevelType w:val="hybridMultilevel"/>
    <w:tmpl w:val="0FB4C6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4D3A9C"/>
    <w:multiLevelType w:val="hybridMultilevel"/>
    <w:tmpl w:val="C5CCA768"/>
    <w:lvl w:ilvl="0" w:tplc="C9A07974">
      <w:start w:val="10"/>
      <w:numFmt w:val="decimal"/>
      <w:lvlText w:val="%1."/>
      <w:lvlJc w:val="left"/>
      <w:pPr>
        <w:tabs>
          <w:tab w:val="num" w:pos="1440"/>
        </w:tabs>
        <w:ind w:left="1440" w:hanging="720"/>
      </w:pPr>
      <w:rPr>
        <w:rFonts w:hint="default"/>
        <w:b/>
      </w:rPr>
    </w:lvl>
    <w:lvl w:ilvl="1" w:tplc="D760313C">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771594D"/>
    <w:multiLevelType w:val="hybridMultilevel"/>
    <w:tmpl w:val="451484B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82378AC"/>
    <w:multiLevelType w:val="hybridMultilevel"/>
    <w:tmpl w:val="198C92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984D18"/>
    <w:multiLevelType w:val="hybridMultilevel"/>
    <w:tmpl w:val="2A16E4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740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E22"/>
    <w:rsid w:val="00014126"/>
    <w:rsid w:val="00020377"/>
    <w:rsid w:val="0003252F"/>
    <w:rsid w:val="0003580D"/>
    <w:rsid w:val="00037303"/>
    <w:rsid w:val="00044E29"/>
    <w:rsid w:val="00086EA3"/>
    <w:rsid w:val="000D45F6"/>
    <w:rsid w:val="00116747"/>
    <w:rsid w:val="00123887"/>
    <w:rsid w:val="00144D8C"/>
    <w:rsid w:val="001A30B9"/>
    <w:rsid w:val="001B6FF2"/>
    <w:rsid w:val="001D17F0"/>
    <w:rsid w:val="001D7E78"/>
    <w:rsid w:val="001F2D4C"/>
    <w:rsid w:val="001F4666"/>
    <w:rsid w:val="00250A35"/>
    <w:rsid w:val="00285AA6"/>
    <w:rsid w:val="00315E22"/>
    <w:rsid w:val="00346EAF"/>
    <w:rsid w:val="0039189D"/>
    <w:rsid w:val="003D0104"/>
    <w:rsid w:val="003E5031"/>
    <w:rsid w:val="003E6BEC"/>
    <w:rsid w:val="00436BDE"/>
    <w:rsid w:val="004653A2"/>
    <w:rsid w:val="0047053D"/>
    <w:rsid w:val="00472524"/>
    <w:rsid w:val="004961CA"/>
    <w:rsid w:val="004C438D"/>
    <w:rsid w:val="004F5B86"/>
    <w:rsid w:val="00516EC9"/>
    <w:rsid w:val="00517609"/>
    <w:rsid w:val="00532573"/>
    <w:rsid w:val="0055363B"/>
    <w:rsid w:val="00557FA1"/>
    <w:rsid w:val="005951B4"/>
    <w:rsid w:val="005D1028"/>
    <w:rsid w:val="005E1E7F"/>
    <w:rsid w:val="006618E4"/>
    <w:rsid w:val="0069113D"/>
    <w:rsid w:val="006E0FAD"/>
    <w:rsid w:val="006F0129"/>
    <w:rsid w:val="006F5771"/>
    <w:rsid w:val="007146FD"/>
    <w:rsid w:val="00746515"/>
    <w:rsid w:val="007C63E7"/>
    <w:rsid w:val="007D6482"/>
    <w:rsid w:val="00813FD7"/>
    <w:rsid w:val="008367A0"/>
    <w:rsid w:val="0085106A"/>
    <w:rsid w:val="008707F3"/>
    <w:rsid w:val="008922FB"/>
    <w:rsid w:val="008C3AFF"/>
    <w:rsid w:val="00900CF7"/>
    <w:rsid w:val="00906B93"/>
    <w:rsid w:val="0093301A"/>
    <w:rsid w:val="0097747A"/>
    <w:rsid w:val="009937D2"/>
    <w:rsid w:val="00995B05"/>
    <w:rsid w:val="009D28F2"/>
    <w:rsid w:val="009D77EF"/>
    <w:rsid w:val="009E55EF"/>
    <w:rsid w:val="009F7C5B"/>
    <w:rsid w:val="00A630C5"/>
    <w:rsid w:val="00A67D8E"/>
    <w:rsid w:val="00A91721"/>
    <w:rsid w:val="00A91D20"/>
    <w:rsid w:val="00AB0A1B"/>
    <w:rsid w:val="00B0240E"/>
    <w:rsid w:val="00B041CB"/>
    <w:rsid w:val="00B22997"/>
    <w:rsid w:val="00B73F2F"/>
    <w:rsid w:val="00BC432A"/>
    <w:rsid w:val="00BE5B79"/>
    <w:rsid w:val="00C62490"/>
    <w:rsid w:val="00C64B34"/>
    <w:rsid w:val="00CA444B"/>
    <w:rsid w:val="00D15044"/>
    <w:rsid w:val="00DC047B"/>
    <w:rsid w:val="00DC6242"/>
    <w:rsid w:val="00E27457"/>
    <w:rsid w:val="00E5030A"/>
    <w:rsid w:val="00E714F8"/>
    <w:rsid w:val="00EB319B"/>
    <w:rsid w:val="00EE222B"/>
    <w:rsid w:val="00EF48D5"/>
    <w:rsid w:val="00F10700"/>
    <w:rsid w:val="00FE6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A35"/>
    <w:pPr>
      <w:widowControl w:val="0"/>
      <w:autoSpaceDE w:val="0"/>
      <w:autoSpaceDN w:val="0"/>
      <w:adjustRightInd w:val="0"/>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50A35"/>
    <w:pPr>
      <w:widowControl/>
      <w:autoSpaceDE/>
      <w:autoSpaceDN/>
      <w:adjustRightInd/>
    </w:pPr>
    <w:rPr>
      <w:sz w:val="20"/>
      <w:szCs w:val="20"/>
    </w:rPr>
  </w:style>
  <w:style w:type="character" w:styleId="EndnoteReference">
    <w:name w:val="endnote reference"/>
    <w:basedOn w:val="DefaultParagraphFont"/>
    <w:semiHidden/>
    <w:rsid w:val="00250A35"/>
    <w:rPr>
      <w:vertAlign w:val="superscript"/>
    </w:rPr>
  </w:style>
  <w:style w:type="paragraph" w:styleId="Footer">
    <w:name w:val="footer"/>
    <w:basedOn w:val="Normal"/>
    <w:rsid w:val="00250A35"/>
    <w:pPr>
      <w:tabs>
        <w:tab w:val="center" w:pos="4320"/>
        <w:tab w:val="right" w:pos="8640"/>
      </w:tabs>
    </w:pPr>
  </w:style>
  <w:style w:type="character" w:styleId="PageNumber">
    <w:name w:val="page number"/>
    <w:basedOn w:val="DefaultParagraphFont"/>
    <w:rsid w:val="00250A35"/>
  </w:style>
  <w:style w:type="character" w:styleId="Hyperlink">
    <w:name w:val="Hyperlink"/>
    <w:basedOn w:val="DefaultParagraphFont"/>
    <w:rsid w:val="00250A35"/>
    <w:rPr>
      <w:color w:val="800000"/>
      <w:u w:val="single"/>
    </w:rPr>
  </w:style>
  <w:style w:type="character" w:styleId="FollowedHyperlink">
    <w:name w:val="FollowedHyperlink"/>
    <w:basedOn w:val="DefaultParagraphFont"/>
    <w:rsid w:val="00250A35"/>
    <w:rPr>
      <w:color w:val="800080"/>
      <w:u w:val="single"/>
    </w:rPr>
  </w:style>
  <w:style w:type="paragraph" w:styleId="DocumentMap">
    <w:name w:val="Document Map"/>
    <w:basedOn w:val="Normal"/>
    <w:semiHidden/>
    <w:rsid w:val="004C438D"/>
    <w:pPr>
      <w:shd w:val="clear" w:color="auto" w:fill="000080"/>
    </w:pPr>
    <w:rPr>
      <w:rFonts w:ascii="Tahoma" w:hAnsi="Tahoma" w:cs="Tahoma"/>
      <w:sz w:val="20"/>
      <w:szCs w:val="20"/>
    </w:rPr>
  </w:style>
  <w:style w:type="paragraph" w:styleId="NormalWeb">
    <w:name w:val="Normal (Web)"/>
    <w:basedOn w:val="Normal"/>
    <w:rsid w:val="00D15044"/>
    <w:pPr>
      <w:widowControl/>
      <w:autoSpaceDE/>
      <w:autoSpaceDN/>
      <w:adjustRightInd/>
      <w:spacing w:before="100" w:beforeAutospacing="1" w:after="100" w:afterAutospacing="1"/>
    </w:pPr>
  </w:style>
  <w:style w:type="paragraph" w:styleId="Header">
    <w:name w:val="header"/>
    <w:basedOn w:val="Normal"/>
    <w:link w:val="HeaderChar"/>
    <w:rsid w:val="00116747"/>
    <w:pPr>
      <w:tabs>
        <w:tab w:val="center" w:pos="4680"/>
        <w:tab w:val="right" w:pos="9360"/>
      </w:tabs>
    </w:pPr>
  </w:style>
  <w:style w:type="character" w:customStyle="1" w:styleId="HeaderChar">
    <w:name w:val="Header Char"/>
    <w:basedOn w:val="DefaultParagraphFont"/>
    <w:link w:val="Header"/>
    <w:rsid w:val="00116747"/>
    <w:rPr>
      <w:sz w:val="24"/>
      <w:szCs w:val="24"/>
    </w:rPr>
  </w:style>
  <w:style w:type="paragraph" w:styleId="ListParagraph">
    <w:name w:val="List Paragraph"/>
    <w:basedOn w:val="Normal"/>
    <w:uiPriority w:val="34"/>
    <w:qFormat/>
    <w:rsid w:val="0047053D"/>
    <w:pPr>
      <w:ind w:left="720"/>
      <w:contextualSpacing/>
    </w:pPr>
  </w:style>
  <w:style w:type="paragraph" w:styleId="BalloonText">
    <w:name w:val="Balloon Text"/>
    <w:basedOn w:val="Normal"/>
    <w:link w:val="BalloonTextChar"/>
    <w:semiHidden/>
    <w:unhideWhenUsed/>
    <w:rsid w:val="00E5030A"/>
    <w:rPr>
      <w:rFonts w:ascii="Segoe UI" w:hAnsi="Segoe UI" w:cs="Segoe UI"/>
      <w:sz w:val="18"/>
      <w:szCs w:val="18"/>
    </w:rPr>
  </w:style>
  <w:style w:type="character" w:customStyle="1" w:styleId="BalloonTextChar">
    <w:name w:val="Balloon Text Char"/>
    <w:basedOn w:val="DefaultParagraphFont"/>
    <w:link w:val="BalloonText"/>
    <w:semiHidden/>
    <w:rsid w:val="00E5030A"/>
    <w:rPr>
      <w:rFonts w:ascii="Segoe UI" w:hAnsi="Segoe UI" w:cs="Segoe UI"/>
      <w:sz w:val="18"/>
      <w:szCs w:val="18"/>
    </w:rPr>
  </w:style>
  <w:style w:type="table" w:styleId="TableGrid">
    <w:name w:val="Table Grid"/>
    <w:basedOn w:val="TableNormal"/>
    <w:rsid w:val="003E5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834460">
      <w:bodyDiv w:val="1"/>
      <w:marLeft w:val="0"/>
      <w:marRight w:val="0"/>
      <w:marTop w:val="0"/>
      <w:marBottom w:val="0"/>
      <w:divBdr>
        <w:top w:val="none" w:sz="0" w:space="0" w:color="auto"/>
        <w:left w:val="none" w:sz="0" w:space="0" w:color="auto"/>
        <w:bottom w:val="none" w:sz="0" w:space="0" w:color="auto"/>
        <w:right w:val="none" w:sz="0" w:space="0" w:color="auto"/>
      </w:divBdr>
    </w:div>
    <w:div w:id="738599794">
      <w:bodyDiv w:val="1"/>
      <w:marLeft w:val="0"/>
      <w:marRight w:val="0"/>
      <w:marTop w:val="0"/>
      <w:marBottom w:val="0"/>
      <w:divBdr>
        <w:top w:val="none" w:sz="0" w:space="0" w:color="auto"/>
        <w:left w:val="none" w:sz="0" w:space="0" w:color="auto"/>
        <w:bottom w:val="none" w:sz="0" w:space="0" w:color="auto"/>
        <w:right w:val="none" w:sz="0" w:space="0" w:color="auto"/>
      </w:divBdr>
    </w:div>
    <w:div w:id="90376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gq1@cdc.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5FC57-7A32-44E8-8A65-801B8A8F7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1768</Words>
  <Characters>10488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12232</CharactersWithSpaces>
  <SharedDoc>false</SharedDoc>
  <HLinks>
    <vt:vector size="24" baseType="variant">
      <vt:variant>
        <vt:i4>6291542</vt:i4>
      </vt:variant>
      <vt:variant>
        <vt:i4>6</vt:i4>
      </vt:variant>
      <vt:variant>
        <vt:i4>0</vt:i4>
      </vt:variant>
      <vt:variant>
        <vt:i4>5</vt:i4>
      </vt:variant>
      <vt:variant>
        <vt:lpwstr>mailto:mpalmer@cdc.gov</vt:lpwstr>
      </vt:variant>
      <vt:variant>
        <vt:lpwstr/>
      </vt:variant>
      <vt:variant>
        <vt:i4>7012440</vt:i4>
      </vt:variant>
      <vt:variant>
        <vt:i4>3</vt:i4>
      </vt:variant>
      <vt:variant>
        <vt:i4>0</vt:i4>
      </vt:variant>
      <vt:variant>
        <vt:i4>5</vt:i4>
      </vt:variant>
      <vt:variant>
        <vt:lpwstr>mailto:pbeatty@cdc.gov</vt:lpwstr>
      </vt:variant>
      <vt:variant>
        <vt:lpwstr/>
      </vt:variant>
      <vt:variant>
        <vt:i4>6291542</vt:i4>
      </vt:variant>
      <vt:variant>
        <vt:i4>0</vt:i4>
      </vt:variant>
      <vt:variant>
        <vt:i4>0</vt:i4>
      </vt:variant>
      <vt:variant>
        <vt:i4>5</vt:i4>
      </vt:variant>
      <vt:variant>
        <vt:lpwstr>mailto:mpalmer@cdc.gov</vt:lpwstr>
      </vt:variant>
      <vt:variant>
        <vt:lpwstr/>
      </vt:variant>
      <vt:variant>
        <vt:i4>7667754</vt:i4>
      </vt:variant>
      <vt:variant>
        <vt:i4>0</vt:i4>
      </vt:variant>
      <vt:variant>
        <vt:i4>0</vt:i4>
      </vt:variant>
      <vt:variant>
        <vt:i4>5</vt:i4>
      </vt:variant>
      <vt:variant>
        <vt:lpwstr>http://www.whitehouse.gov/omb/part/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2017-01-11T16:23:00Z</dcterms:created>
  <dcterms:modified xsi:type="dcterms:W3CDTF">2017-01-11T16:26:00Z</dcterms:modified>
</cp:coreProperties>
</file>