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69" w:rsidRDefault="000D178A" w:rsidP="00B23769">
      <w:pPr>
        <w:jc w:val="center"/>
      </w:pPr>
      <w:bookmarkStart w:id="0" w:name="_GoBack"/>
      <w:bookmarkEnd w:id="0"/>
      <w:r w:rsidRPr="000D178A">
        <w:t>Tobacco Product Standard:  NNN Level of Finished Smokeless Tobacco Products</w:t>
      </w:r>
    </w:p>
    <w:p w:rsidR="000D178A" w:rsidRPr="009A1674" w:rsidRDefault="000D178A" w:rsidP="00B23769">
      <w:pPr>
        <w:jc w:val="center"/>
      </w:pPr>
    </w:p>
    <w:p w:rsidR="000D178A" w:rsidRDefault="000D178A" w:rsidP="00B23769">
      <w:pPr>
        <w:jc w:val="center"/>
      </w:pPr>
      <w:r>
        <w:t>0910-NEW</w:t>
      </w:r>
    </w:p>
    <w:p w:rsidR="00EB7538" w:rsidRPr="009A1674" w:rsidRDefault="00A35D42" w:rsidP="00522E2F">
      <w:pPr>
        <w:jc w:val="center"/>
      </w:pPr>
      <w:r w:rsidRPr="009A1674">
        <w:br/>
      </w:r>
      <w:r w:rsidR="009A1674" w:rsidRPr="007132EC">
        <w:t>RIN ()</w:t>
      </w:r>
    </w:p>
    <w:p w:rsidR="00EB7538" w:rsidRPr="009A1674" w:rsidRDefault="00EB7538" w:rsidP="00B23769">
      <w:pPr>
        <w:jc w:val="center"/>
      </w:pPr>
      <w:r w:rsidRPr="009A1674">
        <w:t>SUPPORTING STATEMENT</w:t>
      </w:r>
    </w:p>
    <w:p w:rsidR="00810FF1" w:rsidRDefault="00810FF1" w:rsidP="00B23769">
      <w:pPr>
        <w:jc w:val="center"/>
        <w:rPr>
          <w:b/>
        </w:rPr>
      </w:pPr>
    </w:p>
    <w:p w:rsidR="00810FF1" w:rsidRPr="00810FF1" w:rsidRDefault="00810FF1" w:rsidP="000D178A">
      <w:r>
        <w:rPr>
          <w:b/>
        </w:rPr>
        <w:t xml:space="preserve">Terms of Clearance: </w:t>
      </w:r>
      <w:r w:rsidR="000D178A">
        <w:t>NA</w:t>
      </w:r>
    </w:p>
    <w:p w:rsidR="00EB7538" w:rsidRDefault="00EB7538" w:rsidP="00EB7538">
      <w:pPr>
        <w:pStyle w:val="NormalWeb"/>
      </w:pPr>
      <w:r>
        <w:rPr>
          <w:b/>
          <w:bCs/>
        </w:rPr>
        <w:t>A. Justification</w:t>
      </w:r>
    </w:p>
    <w:p w:rsidR="0067726D" w:rsidRPr="0067726D" w:rsidRDefault="00EB7538" w:rsidP="0067726D">
      <w:pPr>
        <w:numPr>
          <w:ilvl w:val="0"/>
          <w:numId w:val="1"/>
        </w:numPr>
        <w:spacing w:before="100" w:beforeAutospacing="1" w:after="100" w:afterAutospacing="1"/>
        <w:rPr>
          <w:u w:val="single"/>
        </w:rPr>
      </w:pPr>
      <w:r w:rsidRPr="002746DB">
        <w:rPr>
          <w:u w:val="single"/>
        </w:rPr>
        <w:t>Circumstances Making the Collection of Information Necessary</w:t>
      </w:r>
    </w:p>
    <w:p w:rsidR="0067726D" w:rsidRDefault="0067726D" w:rsidP="00D608DA">
      <w:pPr>
        <w:spacing w:before="100" w:beforeAutospacing="1" w:after="100" w:afterAutospacing="1"/>
        <w:ind w:left="720"/>
      </w:pPr>
      <w:r w:rsidRPr="0067726D">
        <w:t xml:space="preserve">The Tobacco Control Act was enacted on June 22, 2009, amending the Federal Food, Drug, and Cosmetic Act (FD&amp;C Act) and providing FDA with the authority to regulate tobacco products (Pub. </w:t>
      </w:r>
      <w:proofErr w:type="gramStart"/>
      <w:r w:rsidRPr="0067726D">
        <w:t>L. 111-31; 123 Stat. 1776).</w:t>
      </w:r>
      <w:proofErr w:type="gramEnd"/>
      <w:r w:rsidRPr="0067726D">
        <w:t xml:space="preserve">  Among the authorities provided to FDA is the authority to establish tobacco product standards.  To establish a tobacco product standard, section 907(a</w:t>
      </w:r>
      <w:proofErr w:type="gramStart"/>
      <w:r w:rsidRPr="0067726D">
        <w:t>)(</w:t>
      </w:r>
      <w:proofErr w:type="gramEnd"/>
      <w:r w:rsidRPr="0067726D">
        <w:t>3)(A) &amp; (B) of the FD&amp;C Act requires that we find that the standard is appropriate for the protection of the public health</w:t>
      </w:r>
      <w:r>
        <w:t xml:space="preserve">. </w:t>
      </w:r>
      <w:r w:rsidRPr="0067726D">
        <w:t xml:space="preserve">FDA is issuing this proposed rule to address the harm caused by the toxicant </w:t>
      </w:r>
      <w:r w:rsidR="00B85757" w:rsidRPr="00B85757">
        <w:t>N-</w:t>
      </w:r>
      <w:proofErr w:type="spellStart"/>
      <w:r w:rsidR="00B85757" w:rsidRPr="00B85757">
        <w:t>nitrosonornicotine</w:t>
      </w:r>
      <w:proofErr w:type="spellEnd"/>
      <w:r w:rsidR="00B85757" w:rsidRPr="00B85757">
        <w:t xml:space="preserve"> </w:t>
      </w:r>
      <w:r w:rsidR="00B85757">
        <w:t>(</w:t>
      </w:r>
      <w:r w:rsidRPr="0067726D">
        <w:t>NNN</w:t>
      </w:r>
      <w:r w:rsidR="00B85757">
        <w:t>)</w:t>
      </w:r>
      <w:r w:rsidRPr="0067726D">
        <w:t xml:space="preserve"> in smokeless tobacco products.  </w:t>
      </w:r>
    </w:p>
    <w:p w:rsidR="00544138" w:rsidRPr="001B18D6" w:rsidRDefault="00EB7538" w:rsidP="001B18D6">
      <w:pPr>
        <w:numPr>
          <w:ilvl w:val="0"/>
          <w:numId w:val="1"/>
        </w:numPr>
        <w:spacing w:before="100" w:beforeAutospacing="1" w:after="100" w:afterAutospacing="1"/>
        <w:rPr>
          <w:u w:val="single"/>
        </w:rPr>
      </w:pPr>
      <w:r w:rsidRPr="002746DB">
        <w:rPr>
          <w:u w:val="single"/>
        </w:rPr>
        <w:t xml:space="preserve">Purpose and Use of the Information Collection </w:t>
      </w:r>
    </w:p>
    <w:p w:rsidR="00522E2F" w:rsidRDefault="00522E2F" w:rsidP="00522E2F">
      <w:pPr>
        <w:ind w:left="720"/>
      </w:pPr>
      <w:r w:rsidRPr="000D178A">
        <w:t xml:space="preserve">The respondents </w:t>
      </w:r>
      <w:r>
        <w:t xml:space="preserve">are </w:t>
      </w:r>
      <w:r w:rsidRPr="000D178A">
        <w:t xml:space="preserve">manufacturers of smokeless tobacco products.  </w:t>
      </w:r>
    </w:p>
    <w:p w:rsidR="000D178A" w:rsidRDefault="000D178A" w:rsidP="00522E2F">
      <w:pPr>
        <w:ind w:left="720"/>
      </w:pPr>
      <w:r w:rsidRPr="000D178A">
        <w:t xml:space="preserve">The provisions of this standard would apply to finished smokeless tobacco products.  Finished smokeless tobacco product means a smokeless tobacco product, including all parts and components, packaged for consumer use, except for components, parts, or accessories sold without tobacco.  </w:t>
      </w:r>
    </w:p>
    <w:p w:rsidR="00522E2F" w:rsidRDefault="00522E2F" w:rsidP="00522E2F">
      <w:pPr>
        <w:ind w:left="720"/>
      </w:pPr>
    </w:p>
    <w:p w:rsidR="00522E2F" w:rsidRDefault="00522E2F" w:rsidP="00522E2F">
      <w:pPr>
        <w:ind w:left="720"/>
      </w:pPr>
      <w:r w:rsidRPr="00522E2F">
        <w:t xml:space="preserve">Products with higher NNN levels pose higher risks of cancer and FDA finds that establishing a NNN limit in finished smokeless tobacco products is appropriate for the protection of the public health. Proposed § 1132.10 would require that the mean level of NNN in any batch of finished smokeless tobacco products not exceed 1.0 µg/g of tobacco (on a dry weight basis) at any time through the product’s labeled expiration date as determined by testing in compliance with § 1132.12.  Proposed §§ 1132.12, 1132.14, 1132.16, and 1132.18 would establish product testing and sampling plan requirements.  Proposed § 1132.12 would require two types of testing for smokeless tobacco products—stability testing and batch testing.  Proposed § 1132.12(a) would require initial and annual stability testing to assess the stability of the NNN level in finished smokeless tobacco products and to establish and verify the product’s expiration date and storage conditions (either room temperature or refrigeration).  Proposed § 1132.12(b) would require manufacturers to conduct batch testing on each batch of finished smokeless tobacco product to determine whether the products conform to the proposed NNN limit.  Proposed § 1132.12(c) would require the tobacco product manufacturer to document all testing.  Proposed §§ 1132.14 and 1132.16 would establish the standard and alternative </w:t>
      </w:r>
      <w:r w:rsidRPr="00522E2F">
        <w:lastRenderedPageBreak/>
        <w:t>test methods.  If a tobacco product manufacturer were to choose not to use the standard test method in § 1132.14 to test its smokeless tobacco products, the manufacturer would be required to use a validated alternative test method that conforms to the requirements of proposed § 1132.16.  Proposed § 1132.16(a) would require that, before using a validated alternative test method, the manufacturer notify the Center for Tobacco Products.</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D5D57" w:rsidRDefault="006D5D57" w:rsidP="00811EBE">
      <w:pPr>
        <w:ind w:left="720"/>
      </w:pPr>
      <w:r w:rsidRPr="00811EBE">
        <w:t xml:space="preserve">FDA </w:t>
      </w:r>
      <w:r w:rsidR="00DE776B">
        <w:t xml:space="preserve">encourages electronic submission. FDA </w:t>
      </w:r>
      <w:r w:rsidRPr="00811EBE">
        <w:t xml:space="preserve">estimates that </w:t>
      </w:r>
      <w:r w:rsidR="00811EBE" w:rsidRPr="00811EBE">
        <w:t>87</w:t>
      </w:r>
      <w:r w:rsidR="00DE776B">
        <w:t>% of those</w:t>
      </w:r>
      <w:r w:rsidRPr="00811EBE">
        <w:t xml:space="preserve"> respondents </w:t>
      </w:r>
      <w:r w:rsidR="00DE776B">
        <w:t>who chose to submit an alternative test method will use electronic means.</w:t>
      </w:r>
    </w:p>
    <w:p w:rsidR="00DC3788" w:rsidRPr="0041670D" w:rsidRDefault="00DC3788" w:rsidP="00811EBE">
      <w:pPr>
        <w:rPr>
          <w:b/>
        </w:rPr>
      </w:pPr>
    </w:p>
    <w:p w:rsidR="00843752" w:rsidRDefault="005C55C2" w:rsidP="00F207A4">
      <w:pPr>
        <w:ind w:left="720"/>
      </w:pPr>
      <w:r>
        <w:t>Explain any</w:t>
      </w:r>
      <w:r w:rsidR="00843752">
        <w:t xml:space="preserve"> consideration given to use technology to reduce the burden</w:t>
      </w:r>
      <w:r>
        <w:t>.</w:t>
      </w:r>
      <w:r w:rsidR="00843752">
        <w:t xml:space="preserve"> How can FDA use technology to impr</w:t>
      </w:r>
      <w:r>
        <w:t>ove this information collection</w:t>
      </w:r>
      <w:r w:rsidR="003E527E">
        <w:t xml:space="preserve">? </w:t>
      </w:r>
      <w:r w:rsidR="00443969">
        <w:t xml:space="preserve">Explain, in detail, </w:t>
      </w:r>
      <w:r>
        <w:t xml:space="preserve">any obstacles or </w:t>
      </w:r>
      <w:r w:rsidR="003E527E">
        <w:t xml:space="preserve">mitigating </w:t>
      </w:r>
      <w:r>
        <w:t xml:space="preserve">circumstances that prevent FDA from </w:t>
      </w:r>
      <w:r w:rsidR="00443969">
        <w:t>incorporating electronic submission.</w:t>
      </w:r>
      <w:r w:rsidR="006D5D57">
        <w:t xml:space="preserve"> </w:t>
      </w:r>
    </w:p>
    <w:p w:rsidR="006D5D57" w:rsidRDefault="006D5D57" w:rsidP="002A1210">
      <w:pPr>
        <w:ind w:left="720"/>
      </w:pPr>
    </w:p>
    <w:p w:rsidR="00A96221" w:rsidRDefault="005C55C2" w:rsidP="005C55C2">
      <w:pPr>
        <w:autoSpaceDE w:val="0"/>
        <w:autoSpaceDN w:val="0"/>
        <w:adjustRightInd w:val="0"/>
        <w:ind w:left="720"/>
      </w:pPr>
      <w:r>
        <w:t xml:space="preserve">Electronic respondent reporting has become an important issue at OMB. The Government Paperwork Elimination Act (GPEA), Public Law 105-277, title XVII, was signed into law on October 21, 1998. GPEA requires Federal agencies, to allow individuals or entities that deal with the agencies the option to submit information or transact business with the agency electronically, when practicable, and to maintain records electronically, </w:t>
      </w:r>
      <w:r w:rsidRPr="005C55C2">
        <w:t>when practicable.</w:t>
      </w:r>
      <w:r>
        <w:rPr>
          <w:b/>
        </w:rPr>
        <w:t xml:space="preserve"> </w:t>
      </w:r>
      <w:r>
        <w:t>Its goal is to encourage agencies to incorporate technologically improved respondent reporting as this process typically lowers burden to the respondent. Therefore, all decisions NOT to utilize electronic respondent reporting must be strongly justified.</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73648" w:rsidRPr="00C9243D" w:rsidRDefault="00873648" w:rsidP="00715890">
      <w:pPr>
        <w:ind w:left="720"/>
      </w:pPr>
      <w:r w:rsidRPr="00C9243D">
        <w:t xml:space="preserve">This information collection is not duplicative.  </w:t>
      </w:r>
      <w:r w:rsidR="00715890">
        <w:t>Section 907 of t</w:t>
      </w:r>
      <w:r w:rsidRPr="00C9243D">
        <w:t>he FD&amp;C Act is the</w:t>
      </w:r>
      <w:r>
        <w:t xml:space="preserve"> only legislation</w:t>
      </w:r>
      <w:r w:rsidR="00715890" w:rsidRPr="00715890">
        <w:t xml:space="preserve"> </w:t>
      </w:r>
      <w:r w:rsidR="00715890">
        <w:t xml:space="preserve">which authorizes the federal government to </w:t>
      </w:r>
      <w:r w:rsidR="00715890" w:rsidRPr="00715890">
        <w:t>promulgate tobacco product standards that are appropriate for the protection of the public health</w:t>
      </w:r>
      <w:r w:rsidRPr="00C9243D">
        <w:t>.  The FDA is the only Federal</w:t>
      </w:r>
      <w:r>
        <w:t xml:space="preserve"> agency responsible for smokeless tobacco product testing</w:t>
      </w:r>
      <w:r w:rsidRPr="00C9243D">
        <w:t>, and the primary Federal regulatory authority with respect to the manufacture, marketing, and distribution of tobacco products.  Therefore, no duplication of data exists.</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BF3170" w:rsidRDefault="00086C1A" w:rsidP="00DE776B">
      <w:pPr>
        <w:ind w:left="720"/>
        <w:rPr>
          <w:color w:val="000000"/>
        </w:rPr>
      </w:pPr>
      <w:r w:rsidRPr="00086C1A">
        <w:rPr>
          <w:color w:val="000000"/>
        </w:rPr>
        <w:t>FDA anticipates that the proposed rule would have a</w:t>
      </w:r>
      <w:r w:rsidR="00DE776B">
        <w:rPr>
          <w:color w:val="000000"/>
        </w:rPr>
        <w:t>n</w:t>
      </w:r>
      <w:r w:rsidRPr="00086C1A">
        <w:rPr>
          <w:color w:val="000000"/>
        </w:rPr>
        <w:t xml:space="preserve"> impact on a number of </w:t>
      </w:r>
      <w:r>
        <w:rPr>
          <w:color w:val="000000"/>
        </w:rPr>
        <w:t xml:space="preserve">small </w:t>
      </w:r>
      <w:r w:rsidRPr="00086C1A">
        <w:rPr>
          <w:color w:val="000000"/>
        </w:rPr>
        <w:t xml:space="preserve">entities. </w:t>
      </w:r>
      <w:r>
        <w:rPr>
          <w:color w:val="000000"/>
        </w:rPr>
        <w:t>A</w:t>
      </w:r>
      <w:r w:rsidRPr="00086C1A">
        <w:rPr>
          <w:color w:val="000000"/>
        </w:rPr>
        <w:t>pproximately 72 percent of entities that would be affected by the proposed rule are estimated to be small</w:t>
      </w:r>
      <w:r>
        <w:rPr>
          <w:color w:val="000000"/>
        </w:rPr>
        <w:t xml:space="preserve">. </w:t>
      </w:r>
    </w:p>
    <w:p w:rsidR="00BF3170" w:rsidRDefault="00BF3170" w:rsidP="00086C1A">
      <w:pPr>
        <w:ind w:left="720"/>
        <w:rPr>
          <w:color w:val="000000"/>
        </w:rPr>
      </w:pPr>
    </w:p>
    <w:p w:rsidR="00F207A4" w:rsidRDefault="00086C1A" w:rsidP="00491CF5">
      <w:pPr>
        <w:ind w:left="720"/>
      </w:pPr>
      <w:r>
        <w:rPr>
          <w:color w:val="000000"/>
        </w:rPr>
        <w:t xml:space="preserve">The proposed rule offers </w:t>
      </w:r>
      <w:r w:rsidRPr="00086C1A">
        <w:rPr>
          <w:color w:val="000000"/>
        </w:rPr>
        <w:t>regulatory alternatives</w:t>
      </w:r>
      <w:r w:rsidR="00BF3170">
        <w:rPr>
          <w:color w:val="000000"/>
        </w:rPr>
        <w:t>,</w:t>
      </w:r>
      <w:r w:rsidRPr="00086C1A">
        <w:rPr>
          <w:color w:val="000000"/>
        </w:rPr>
        <w:t xml:space="preserve"> Alternative 2 (establish a less stringent NNN standard)</w:t>
      </w:r>
      <w:r w:rsidR="00BF3170">
        <w:rPr>
          <w:color w:val="000000"/>
        </w:rPr>
        <w:t>,</w:t>
      </w:r>
      <w:r w:rsidRPr="00086C1A">
        <w:rPr>
          <w:color w:val="000000"/>
        </w:rPr>
        <w:t xml:space="preserve"> and Alternative 3 (extensio</w:t>
      </w:r>
      <w:r w:rsidR="00BF3170">
        <w:rPr>
          <w:color w:val="000000"/>
        </w:rPr>
        <w:t xml:space="preserve">n of the effective date) </w:t>
      </w:r>
      <w:r w:rsidRPr="00086C1A">
        <w:rPr>
          <w:color w:val="000000"/>
        </w:rPr>
        <w:t xml:space="preserve">that would reduce costs for affected entities </w:t>
      </w:r>
      <w:r w:rsidR="00BF3170">
        <w:rPr>
          <w:color w:val="000000"/>
        </w:rPr>
        <w:t>both</w:t>
      </w:r>
      <w:r w:rsidRPr="00086C1A">
        <w:rPr>
          <w:color w:val="000000"/>
        </w:rPr>
        <w:t xml:space="preserve"> offer potential regulatory relief options for small businesses.</w:t>
      </w:r>
    </w:p>
    <w:p w:rsidR="00A2130A" w:rsidRPr="00A2130A" w:rsidRDefault="00EB7538" w:rsidP="00A2130A">
      <w:pPr>
        <w:numPr>
          <w:ilvl w:val="0"/>
          <w:numId w:val="1"/>
        </w:numPr>
        <w:spacing w:before="100" w:beforeAutospacing="1" w:after="100" w:afterAutospacing="1"/>
        <w:rPr>
          <w:u w:val="single"/>
        </w:rPr>
      </w:pPr>
      <w:r w:rsidRPr="004C6979">
        <w:rPr>
          <w:u w:val="single"/>
        </w:rPr>
        <w:t>Consequences of Collecting the Information Less Frequently</w:t>
      </w:r>
    </w:p>
    <w:p w:rsidR="00A2130A" w:rsidRDefault="00A2130A" w:rsidP="00A2130A">
      <w:pPr>
        <w:ind w:left="720"/>
      </w:pPr>
      <w:r>
        <w:lastRenderedPageBreak/>
        <w:t xml:space="preserve">FDA issued this proposed standard to address the harm to smokeless tobacco users caused by NNN by establishing a limit for NNN in finished smokeless tobacco products (see proposed § 1132.10), thereby reducing exposure to this harmful toxicant.  NNN levels vary substantially across subcategories of smokeless tobacco products (e.g., moist snuff, chewing tobacco, dry snuff) and within product subcategories (e.g., moist snuff).  If FDA collects this information less frequently products with higher NNN levels will be on the market. Higher NNN levels pose higher risks of cancer, and establishing a limit for NNN in finished smokeless tobacco products is appropriate for the protection of the public health.  </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8108FA" w:rsidP="008108FA">
      <w:pPr>
        <w:ind w:left="720"/>
      </w:pPr>
      <w:r>
        <w:t>There are no special circumstances for this collection of in</w:t>
      </w:r>
      <w:r w:rsidR="001B18D6">
        <w:t>formation.</w:t>
      </w:r>
    </w:p>
    <w:p w:rsidR="00705086" w:rsidRPr="00434C5F" w:rsidRDefault="00EB7538" w:rsidP="00434C5F">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705086" w:rsidRDefault="00705086" w:rsidP="00705086">
      <w:pPr>
        <w:ind w:left="720"/>
        <w:rPr>
          <w:b/>
        </w:rPr>
      </w:pPr>
      <w:r w:rsidRPr="0000532C">
        <w:t xml:space="preserve">As required by section 3506(c)(2)(B) of the Paperwork Reduction Act of 1995 (PRA), FDA provided an opportunity for public comment on the information collection requirements of the proposed rule that published in the FEDERAL REGISTER of </w:t>
      </w:r>
      <w:r w:rsidR="0000532C" w:rsidRPr="0000532C">
        <w:t>January 23, 2017</w:t>
      </w:r>
      <w:r w:rsidRPr="0000532C">
        <w:t xml:space="preserve"> (</w:t>
      </w:r>
      <w:r w:rsidR="0000532C" w:rsidRPr="0000532C">
        <w:t>82 FR 8004</w:t>
      </w:r>
      <w:r w:rsidR="0000532C">
        <w:t>).</w:t>
      </w:r>
    </w:p>
    <w:p w:rsidR="00DE776B" w:rsidRDefault="00DE776B" w:rsidP="00705086">
      <w:pPr>
        <w:ind w:left="720"/>
      </w:pPr>
    </w:p>
    <w:p w:rsidR="00705086" w:rsidRDefault="00DE776B" w:rsidP="00DE776B">
      <w:pPr>
        <w:ind w:left="720"/>
      </w:pPr>
      <w:r w:rsidRPr="00DE776B">
        <w:t>There was no impact or overlap with other agencies that would necessitate obtaining their views regarding recordkeeping, data availability, disclosure, reporting format or other above outlined items for this notice of proposed rulemaking/information collection.</w:t>
      </w:r>
    </w:p>
    <w:p w:rsidR="00CD77C3" w:rsidRPr="001A6236" w:rsidRDefault="00EB7538" w:rsidP="00E00EA0">
      <w:pPr>
        <w:numPr>
          <w:ilvl w:val="0"/>
          <w:numId w:val="1"/>
        </w:numPr>
        <w:spacing w:before="100" w:beforeAutospacing="1" w:after="100" w:afterAutospacing="1"/>
        <w:rPr>
          <w:u w:val="single"/>
        </w:rPr>
      </w:pPr>
      <w:r w:rsidRPr="001A6236">
        <w:rPr>
          <w:u w:val="single"/>
        </w:rPr>
        <w:t>Explanation of Any Payment or Gift to Respondents</w:t>
      </w:r>
    </w:p>
    <w:p w:rsidR="003D29FC" w:rsidRDefault="003D29FC" w:rsidP="003D29FC">
      <w:pPr>
        <w:ind w:left="720"/>
      </w:pPr>
      <w:r w:rsidRPr="00E17FC7">
        <w:t>This information collection does not provide for any payment or gift to respondents.</w:t>
      </w:r>
    </w:p>
    <w:p w:rsidR="00CD77C3"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DE776B" w:rsidRDefault="00DE776B" w:rsidP="00DE776B">
      <w:pPr>
        <w:ind w:left="720"/>
      </w:pPr>
      <w:r>
        <w:t>Section 906(c) of the FD&amp;C Act  prohibits FDA from disclosing any information reported to FDA if that information is confidential commercial or trade secret information exempt from disclosure under FOIA Exemption 4 (5 U.S.C. 552(b)(4)).  The provision contains exceptions allowing disclosure of the information to other officers of employees concerned with carrying out the tobacco products chapter of the FD&amp;C Act and, when relevant, in any proceeding under the tobacco products chapter of the FD&amp;C Act.  Section 301(j) of the FD&amp;C Act generally prohibits release of trade secret information obtained by FDA outside of the Department of Health and Human Services, except to courts when relevant in any judicial proceeding under the FD&amp;C Act and to Congress in response to an authorized Congressional request.</w:t>
      </w:r>
    </w:p>
    <w:p w:rsidR="00DE776B" w:rsidRPr="004C6979" w:rsidRDefault="00DE776B" w:rsidP="00DE776B">
      <w:pPr>
        <w:spacing w:before="100" w:beforeAutospacing="1" w:after="100" w:afterAutospacing="1"/>
        <w:ind w:left="720"/>
        <w:rPr>
          <w:u w:val="single"/>
        </w:rPr>
      </w:pPr>
      <w:r>
        <w:t xml:space="preserve">FDA’s general policy on disclosure of FDA records is contained in 21 CFR 20.20. </w:t>
      </w:r>
      <w:r w:rsidRPr="00DE776B">
        <w:t>Information is handled, stored and disposed of in accordance with records management requirements (44 U.S.C. 3301)</w:t>
      </w:r>
    </w:p>
    <w:p w:rsidR="004C6979" w:rsidRPr="004C6979" w:rsidRDefault="00EB7538" w:rsidP="00EB7538">
      <w:pPr>
        <w:numPr>
          <w:ilvl w:val="0"/>
          <w:numId w:val="1"/>
        </w:numPr>
        <w:spacing w:before="100" w:beforeAutospacing="1" w:after="100" w:afterAutospacing="1"/>
        <w:rPr>
          <w:u w:val="single"/>
        </w:rPr>
      </w:pPr>
      <w:r w:rsidRPr="004C6979">
        <w:rPr>
          <w:u w:val="single"/>
        </w:rPr>
        <w:lastRenderedPageBreak/>
        <w:t>Justification for Sensitive Questions</w:t>
      </w:r>
    </w:p>
    <w:p w:rsidR="001B18D6" w:rsidRDefault="001B18D6" w:rsidP="001B18D6">
      <w:pPr>
        <w:ind w:left="720"/>
      </w:pPr>
      <w:r w:rsidRPr="00404874">
        <w:t>This information collection does not contain questions of a sensitive nature.</w:t>
      </w:r>
    </w:p>
    <w:p w:rsidR="00885B09" w:rsidRPr="00491CF5" w:rsidRDefault="00EB7538" w:rsidP="00491CF5">
      <w:pPr>
        <w:numPr>
          <w:ilvl w:val="0"/>
          <w:numId w:val="1"/>
        </w:numPr>
        <w:spacing w:before="100" w:beforeAutospacing="1" w:after="100" w:afterAutospacing="1"/>
        <w:rPr>
          <w:u w:val="single"/>
        </w:rPr>
      </w:pPr>
      <w:r w:rsidRPr="004C6979">
        <w:rPr>
          <w:u w:val="single"/>
        </w:rPr>
        <w:t>Estimates of Annualized Burden Hours and Costs</w:t>
      </w:r>
      <w:r w:rsidR="00885B09" w:rsidRPr="00491CF5">
        <w:rPr>
          <w:i/>
        </w:rPr>
        <w:t>.</w:t>
      </w:r>
    </w:p>
    <w:p w:rsidR="004C6979" w:rsidRDefault="004C6979" w:rsidP="004C6979"/>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4C6979"/>
    <w:p w:rsidR="00434C5F" w:rsidRPr="00434C5F" w:rsidRDefault="00434C5F" w:rsidP="00434C5F">
      <w:pPr>
        <w:spacing w:line="480" w:lineRule="auto"/>
        <w:ind w:firstLine="720"/>
        <w:contextualSpacing/>
      </w:pPr>
      <w:r w:rsidRPr="00434C5F">
        <w:t>FDA estimates the burden of this collection of information as follows: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1606"/>
        <w:gridCol w:w="1895"/>
        <w:gridCol w:w="1942"/>
        <w:gridCol w:w="1380"/>
        <w:gridCol w:w="1179"/>
      </w:tblGrid>
      <w:tr w:rsidR="00434C5F" w:rsidRPr="00434C5F" w:rsidTr="0027258D">
        <w:trPr>
          <w:cantSplit/>
          <w:trHeight w:val="20"/>
          <w:tblHeader/>
        </w:trPr>
        <w:tc>
          <w:tcPr>
            <w:tcW w:w="4999" w:type="pct"/>
            <w:gridSpan w:val="6"/>
            <w:tcBorders>
              <w:top w:val="nil"/>
              <w:left w:val="nil"/>
              <w:right w:val="nil"/>
            </w:tcBorders>
            <w:shd w:val="clear" w:color="auto" w:fill="auto"/>
          </w:tcPr>
          <w:p w:rsidR="00434C5F" w:rsidRPr="00434C5F" w:rsidRDefault="00434C5F" w:rsidP="00434C5F">
            <w:pPr>
              <w:jc w:val="center"/>
            </w:pPr>
            <w:r w:rsidRPr="00434C5F">
              <w:t>Table 1.--Estimated Annual Reporting Burden</w:t>
            </w:r>
            <w:r w:rsidRPr="00434C5F">
              <w:rPr>
                <w:vertAlign w:val="superscript"/>
              </w:rPr>
              <w:t>1</w:t>
            </w:r>
          </w:p>
        </w:tc>
      </w:tr>
      <w:tr w:rsidR="00434C5F" w:rsidRPr="00434C5F" w:rsidTr="0027258D">
        <w:trPr>
          <w:cantSplit/>
          <w:trHeight w:val="20"/>
          <w:tblHeader/>
        </w:trPr>
        <w:tc>
          <w:tcPr>
            <w:tcW w:w="785" w:type="pct"/>
            <w:shd w:val="clear" w:color="auto" w:fill="auto"/>
          </w:tcPr>
          <w:p w:rsidR="00434C5F" w:rsidRPr="00434C5F" w:rsidRDefault="00434C5F" w:rsidP="00434C5F">
            <w:pPr>
              <w:jc w:val="center"/>
            </w:pPr>
            <w:r w:rsidRPr="00434C5F">
              <w:t xml:space="preserve">"21 CFR Part" </w:t>
            </w:r>
          </w:p>
          <w:p w:rsidR="00434C5F" w:rsidRPr="00434C5F" w:rsidRDefault="00434C5F" w:rsidP="00434C5F">
            <w:pPr>
              <w:jc w:val="center"/>
            </w:pPr>
          </w:p>
        </w:tc>
        <w:tc>
          <w:tcPr>
            <w:tcW w:w="846" w:type="pct"/>
            <w:shd w:val="clear" w:color="auto" w:fill="auto"/>
          </w:tcPr>
          <w:p w:rsidR="00434C5F" w:rsidRPr="00434C5F" w:rsidRDefault="00434C5F" w:rsidP="00434C5F">
            <w:pPr>
              <w:jc w:val="center"/>
            </w:pPr>
            <w:r w:rsidRPr="00434C5F">
              <w:t>No. of Respondents</w:t>
            </w:r>
          </w:p>
        </w:tc>
        <w:tc>
          <w:tcPr>
            <w:tcW w:w="998" w:type="pct"/>
            <w:shd w:val="clear" w:color="auto" w:fill="auto"/>
          </w:tcPr>
          <w:p w:rsidR="00434C5F" w:rsidRPr="00434C5F" w:rsidRDefault="00434C5F" w:rsidP="00434C5F">
            <w:pPr>
              <w:jc w:val="center"/>
            </w:pPr>
            <w:r w:rsidRPr="00434C5F">
              <w:rPr>
                <w:bCs/>
              </w:rPr>
              <w:t>No. of Responses per Respondent</w:t>
            </w:r>
          </w:p>
        </w:tc>
        <w:tc>
          <w:tcPr>
            <w:tcW w:w="1023" w:type="pct"/>
            <w:shd w:val="clear" w:color="auto" w:fill="auto"/>
          </w:tcPr>
          <w:p w:rsidR="00434C5F" w:rsidRPr="00434C5F" w:rsidRDefault="00434C5F" w:rsidP="00434C5F">
            <w:pPr>
              <w:jc w:val="center"/>
            </w:pPr>
            <w:r w:rsidRPr="00434C5F">
              <w:t>Total Annual Responses</w:t>
            </w:r>
          </w:p>
        </w:tc>
        <w:tc>
          <w:tcPr>
            <w:tcW w:w="727" w:type="pct"/>
            <w:shd w:val="clear" w:color="auto" w:fill="auto"/>
          </w:tcPr>
          <w:p w:rsidR="00434C5F" w:rsidRPr="00434C5F" w:rsidRDefault="00434C5F" w:rsidP="00434C5F">
            <w:pPr>
              <w:jc w:val="center"/>
            </w:pPr>
            <w:r w:rsidRPr="00434C5F">
              <w:rPr>
                <w:bCs/>
              </w:rPr>
              <w:t>Average Burden per Response</w:t>
            </w:r>
          </w:p>
        </w:tc>
        <w:tc>
          <w:tcPr>
            <w:tcW w:w="621" w:type="pct"/>
            <w:shd w:val="clear" w:color="auto" w:fill="auto"/>
          </w:tcPr>
          <w:p w:rsidR="00434C5F" w:rsidRPr="00434C5F" w:rsidRDefault="00434C5F" w:rsidP="00434C5F">
            <w:pPr>
              <w:jc w:val="center"/>
            </w:pPr>
            <w:r w:rsidRPr="00434C5F">
              <w:t>Total Hours</w:t>
            </w:r>
          </w:p>
        </w:tc>
      </w:tr>
      <w:tr w:rsidR="00434C5F" w:rsidRPr="00434C5F" w:rsidTr="0027258D">
        <w:trPr>
          <w:cantSplit/>
          <w:trHeight w:val="20"/>
        </w:trPr>
        <w:tc>
          <w:tcPr>
            <w:tcW w:w="785" w:type="pct"/>
            <w:shd w:val="clear" w:color="auto" w:fill="auto"/>
          </w:tcPr>
          <w:p w:rsidR="00434C5F" w:rsidRPr="00434C5F" w:rsidRDefault="00434C5F" w:rsidP="00434C5F">
            <w:r w:rsidRPr="00434C5F">
              <w:t xml:space="preserve">§1132.16 Alternative Test Method (FDA </w:t>
            </w:r>
            <w:r w:rsidRPr="00434C5F">
              <w:br/>
              <w:t>Form 3979)</w:t>
            </w:r>
          </w:p>
        </w:tc>
        <w:tc>
          <w:tcPr>
            <w:tcW w:w="846" w:type="pct"/>
            <w:shd w:val="clear" w:color="auto" w:fill="auto"/>
          </w:tcPr>
          <w:p w:rsidR="00434C5F" w:rsidRPr="00434C5F" w:rsidRDefault="00434C5F" w:rsidP="00434C5F">
            <w:pPr>
              <w:jc w:val="right"/>
            </w:pPr>
            <w:r w:rsidRPr="00434C5F">
              <w:t>23</w:t>
            </w:r>
          </w:p>
        </w:tc>
        <w:tc>
          <w:tcPr>
            <w:tcW w:w="998" w:type="pct"/>
            <w:shd w:val="clear" w:color="auto" w:fill="auto"/>
          </w:tcPr>
          <w:p w:rsidR="00434C5F" w:rsidRPr="00434C5F" w:rsidRDefault="00434C5F" w:rsidP="00434C5F">
            <w:pPr>
              <w:jc w:val="right"/>
            </w:pPr>
            <w:r w:rsidRPr="00434C5F">
              <w:t>1</w:t>
            </w:r>
          </w:p>
        </w:tc>
        <w:tc>
          <w:tcPr>
            <w:tcW w:w="1023" w:type="pct"/>
            <w:shd w:val="clear" w:color="auto" w:fill="auto"/>
          </w:tcPr>
          <w:p w:rsidR="00434C5F" w:rsidRPr="00434C5F" w:rsidRDefault="00434C5F" w:rsidP="00434C5F">
            <w:pPr>
              <w:jc w:val="right"/>
            </w:pPr>
            <w:r w:rsidRPr="00434C5F">
              <w:t>23</w:t>
            </w:r>
          </w:p>
        </w:tc>
        <w:tc>
          <w:tcPr>
            <w:tcW w:w="727" w:type="pct"/>
            <w:shd w:val="clear" w:color="auto" w:fill="auto"/>
          </w:tcPr>
          <w:p w:rsidR="00434C5F" w:rsidRPr="00434C5F" w:rsidRDefault="00434C5F" w:rsidP="00434C5F">
            <w:pPr>
              <w:jc w:val="right"/>
            </w:pPr>
            <w:r w:rsidRPr="00434C5F">
              <w:t>20</w:t>
            </w:r>
          </w:p>
        </w:tc>
        <w:tc>
          <w:tcPr>
            <w:tcW w:w="621" w:type="pct"/>
            <w:shd w:val="clear" w:color="auto" w:fill="auto"/>
          </w:tcPr>
          <w:p w:rsidR="00434C5F" w:rsidRPr="00434C5F" w:rsidRDefault="00434C5F" w:rsidP="00434C5F">
            <w:pPr>
              <w:jc w:val="right"/>
            </w:pPr>
            <w:r w:rsidRPr="00434C5F">
              <w:t>460</w:t>
            </w:r>
          </w:p>
        </w:tc>
      </w:tr>
      <w:tr w:rsidR="00434C5F" w:rsidRPr="00434C5F" w:rsidTr="0027258D">
        <w:trPr>
          <w:cantSplit/>
          <w:trHeight w:val="20"/>
        </w:trPr>
        <w:tc>
          <w:tcPr>
            <w:tcW w:w="785" w:type="pct"/>
            <w:shd w:val="clear" w:color="auto" w:fill="auto"/>
          </w:tcPr>
          <w:p w:rsidR="00434C5F" w:rsidRPr="00434C5F" w:rsidRDefault="00434C5F" w:rsidP="00434C5F">
            <w:r w:rsidRPr="00434C5F">
              <w:t>§1132.16 Waiver from Electronic Submission</w:t>
            </w:r>
          </w:p>
        </w:tc>
        <w:tc>
          <w:tcPr>
            <w:tcW w:w="846" w:type="pct"/>
            <w:shd w:val="clear" w:color="auto" w:fill="auto"/>
          </w:tcPr>
          <w:p w:rsidR="00434C5F" w:rsidRPr="00434C5F" w:rsidRDefault="00434C5F" w:rsidP="00434C5F">
            <w:pPr>
              <w:jc w:val="right"/>
            </w:pPr>
            <w:r w:rsidRPr="00434C5F">
              <w:t>2</w:t>
            </w:r>
          </w:p>
        </w:tc>
        <w:tc>
          <w:tcPr>
            <w:tcW w:w="998" w:type="pct"/>
            <w:shd w:val="clear" w:color="auto" w:fill="auto"/>
          </w:tcPr>
          <w:p w:rsidR="00434C5F" w:rsidRPr="00434C5F" w:rsidRDefault="00434C5F" w:rsidP="00434C5F">
            <w:pPr>
              <w:jc w:val="right"/>
            </w:pPr>
            <w:r w:rsidRPr="00434C5F">
              <w:t>1</w:t>
            </w:r>
          </w:p>
        </w:tc>
        <w:tc>
          <w:tcPr>
            <w:tcW w:w="1023" w:type="pct"/>
            <w:shd w:val="clear" w:color="auto" w:fill="auto"/>
          </w:tcPr>
          <w:p w:rsidR="00434C5F" w:rsidRPr="00434C5F" w:rsidRDefault="00434C5F" w:rsidP="00434C5F">
            <w:pPr>
              <w:jc w:val="right"/>
            </w:pPr>
            <w:r w:rsidRPr="00434C5F">
              <w:t>2</w:t>
            </w:r>
          </w:p>
        </w:tc>
        <w:tc>
          <w:tcPr>
            <w:tcW w:w="727" w:type="pct"/>
            <w:shd w:val="clear" w:color="auto" w:fill="auto"/>
          </w:tcPr>
          <w:p w:rsidR="00434C5F" w:rsidRPr="00434C5F" w:rsidRDefault="00434C5F" w:rsidP="00434C5F">
            <w:pPr>
              <w:jc w:val="right"/>
            </w:pPr>
            <w:r w:rsidRPr="00434C5F">
              <w:t>.75</w:t>
            </w:r>
          </w:p>
        </w:tc>
        <w:tc>
          <w:tcPr>
            <w:tcW w:w="621" w:type="pct"/>
            <w:shd w:val="clear" w:color="auto" w:fill="auto"/>
          </w:tcPr>
          <w:p w:rsidR="00434C5F" w:rsidRPr="00434C5F" w:rsidRDefault="00434C5F" w:rsidP="00434C5F">
            <w:pPr>
              <w:jc w:val="right"/>
            </w:pPr>
            <w:r w:rsidRPr="00434C5F">
              <w:t>2</w:t>
            </w:r>
          </w:p>
        </w:tc>
      </w:tr>
      <w:tr w:rsidR="00434C5F" w:rsidRPr="00434C5F" w:rsidTr="0027258D">
        <w:trPr>
          <w:cantSplit/>
          <w:trHeight w:val="20"/>
        </w:trPr>
        <w:tc>
          <w:tcPr>
            <w:tcW w:w="2629" w:type="pct"/>
            <w:gridSpan w:val="3"/>
            <w:shd w:val="clear" w:color="auto" w:fill="auto"/>
          </w:tcPr>
          <w:p w:rsidR="00434C5F" w:rsidRPr="00434C5F" w:rsidRDefault="00434C5F" w:rsidP="00434C5F">
            <w:r w:rsidRPr="00434C5F">
              <w:t>Total</w:t>
            </w:r>
          </w:p>
        </w:tc>
        <w:tc>
          <w:tcPr>
            <w:tcW w:w="1750" w:type="pct"/>
            <w:gridSpan w:val="2"/>
            <w:shd w:val="clear" w:color="auto" w:fill="auto"/>
          </w:tcPr>
          <w:p w:rsidR="00434C5F" w:rsidRPr="00434C5F" w:rsidRDefault="00434C5F" w:rsidP="00434C5F"/>
        </w:tc>
        <w:tc>
          <w:tcPr>
            <w:tcW w:w="621" w:type="pct"/>
            <w:shd w:val="clear" w:color="auto" w:fill="auto"/>
          </w:tcPr>
          <w:p w:rsidR="00434C5F" w:rsidRPr="00434C5F" w:rsidRDefault="00434C5F" w:rsidP="00434C5F">
            <w:pPr>
              <w:jc w:val="right"/>
            </w:pPr>
            <w:r w:rsidRPr="00434C5F">
              <w:fldChar w:fldCharType="begin"/>
            </w:r>
            <w:r w:rsidRPr="00434C5F">
              <w:instrText xml:space="preserve"> =SUM(ABOVE) </w:instrText>
            </w:r>
            <w:r w:rsidRPr="00434C5F">
              <w:fldChar w:fldCharType="separate"/>
            </w:r>
            <w:r w:rsidRPr="00434C5F">
              <w:rPr>
                <w:noProof/>
              </w:rPr>
              <w:t>462</w:t>
            </w:r>
            <w:r w:rsidRPr="00434C5F">
              <w:fldChar w:fldCharType="end"/>
            </w:r>
          </w:p>
        </w:tc>
      </w:tr>
    </w:tbl>
    <w:p w:rsidR="00434C5F" w:rsidRPr="00434C5F" w:rsidRDefault="00434C5F" w:rsidP="00434C5F">
      <w:pPr>
        <w:rPr>
          <w:sz w:val="20"/>
          <w:szCs w:val="20"/>
        </w:rPr>
      </w:pPr>
      <w:r w:rsidRPr="00434C5F">
        <w:rPr>
          <w:sz w:val="20"/>
          <w:szCs w:val="20"/>
          <w:vertAlign w:val="superscript"/>
        </w:rPr>
        <w:t>1</w:t>
      </w:r>
      <w:r w:rsidRPr="00434C5F">
        <w:rPr>
          <w:sz w:val="20"/>
          <w:szCs w:val="20"/>
        </w:rPr>
        <w:t xml:space="preserve"> There are no capital costs or operating and maintenance costs associated with this collection of information. </w:t>
      </w:r>
    </w:p>
    <w:p w:rsidR="00434C5F" w:rsidRPr="00434C5F" w:rsidRDefault="00434C5F" w:rsidP="00434C5F">
      <w:pPr>
        <w:rPr>
          <w:sz w:val="20"/>
          <w:szCs w:val="20"/>
          <w:vertAlign w:val="superscript"/>
        </w:rPr>
      </w:pPr>
      <w:r w:rsidRPr="00434C5F">
        <w:rPr>
          <w:sz w:val="20"/>
          <w:szCs w:val="20"/>
          <w:vertAlign w:val="superscript"/>
        </w:rPr>
        <w:t xml:space="preserve">2 </w:t>
      </w:r>
      <w:r w:rsidRPr="00434C5F">
        <w:rPr>
          <w:sz w:val="20"/>
          <w:szCs w:val="20"/>
        </w:rPr>
        <w:t>The burden in the reporting chart corresponds to Table 23 “Estimated Costs to Industry Associated with Notifications to FDA Regarding Use of Alternative Testing Methods” in the RIA.</w:t>
      </w:r>
    </w:p>
    <w:p w:rsidR="00434C5F" w:rsidRPr="00434C5F" w:rsidRDefault="00434C5F" w:rsidP="00434C5F"/>
    <w:p w:rsidR="00434C5F" w:rsidRPr="00434C5F" w:rsidRDefault="00434C5F" w:rsidP="00434C5F">
      <w:pPr>
        <w:jc w:val="center"/>
      </w:pPr>
      <w:r w:rsidRPr="00434C5F">
        <w:t>Table 2.--Estimated Annual Recordkeeping Burden</w:t>
      </w:r>
    </w:p>
    <w:p w:rsidR="00434C5F" w:rsidRPr="00434C5F" w:rsidRDefault="00434C5F" w:rsidP="00434C5F">
      <w:pPr>
        <w:jc w:val="center"/>
      </w:pPr>
    </w:p>
    <w:tbl>
      <w:tblPr>
        <w:tblpPr w:leftFromText="180" w:rightFromText="180" w:vertAnchor="text" w:horzAnchor="margin" w:tblpY="-38"/>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728"/>
        <w:gridCol w:w="1633"/>
        <w:gridCol w:w="1238"/>
        <w:gridCol w:w="1757"/>
        <w:gridCol w:w="1201"/>
      </w:tblGrid>
      <w:tr w:rsidR="00434C5F" w:rsidRPr="00434C5F" w:rsidTr="0027258D">
        <w:trPr>
          <w:trHeight w:val="706"/>
          <w:tblHeader/>
        </w:trPr>
        <w:tc>
          <w:tcPr>
            <w:tcW w:w="1043" w:type="pct"/>
            <w:shd w:val="clear" w:color="auto" w:fill="auto"/>
          </w:tcPr>
          <w:p w:rsidR="00434C5F" w:rsidRPr="00434C5F" w:rsidRDefault="00434C5F" w:rsidP="00434C5F">
            <w:pPr>
              <w:jc w:val="center"/>
            </w:pPr>
            <w:r w:rsidRPr="00434C5F">
              <w:t>Activity (units)</w:t>
            </w:r>
          </w:p>
          <w:p w:rsidR="00434C5F" w:rsidRPr="00434C5F" w:rsidRDefault="00434C5F" w:rsidP="00434C5F">
            <w:pPr>
              <w:jc w:val="right"/>
            </w:pPr>
          </w:p>
        </w:tc>
        <w:tc>
          <w:tcPr>
            <w:tcW w:w="905" w:type="pct"/>
            <w:shd w:val="clear" w:color="auto" w:fill="auto"/>
          </w:tcPr>
          <w:p w:rsidR="00434C5F" w:rsidRPr="00434C5F" w:rsidRDefault="00434C5F" w:rsidP="00434C5F">
            <w:pPr>
              <w:jc w:val="right"/>
            </w:pPr>
            <w:r w:rsidRPr="00434C5F">
              <w:t xml:space="preserve">No. of </w:t>
            </w:r>
            <w:proofErr w:type="spellStart"/>
            <w:r w:rsidRPr="00434C5F">
              <w:t>Recordkeepers</w:t>
            </w:r>
            <w:proofErr w:type="spellEnd"/>
          </w:p>
        </w:tc>
        <w:tc>
          <w:tcPr>
            <w:tcW w:w="855" w:type="pct"/>
            <w:shd w:val="clear" w:color="auto" w:fill="auto"/>
          </w:tcPr>
          <w:p w:rsidR="00434C5F" w:rsidRPr="00434C5F" w:rsidRDefault="00434C5F" w:rsidP="00434C5F">
            <w:pPr>
              <w:jc w:val="right"/>
            </w:pPr>
            <w:r w:rsidRPr="00434C5F">
              <w:rPr>
                <w:bCs/>
              </w:rPr>
              <w:t xml:space="preserve">No. of Records per </w:t>
            </w:r>
            <w:proofErr w:type="spellStart"/>
            <w:r w:rsidRPr="00434C5F">
              <w:rPr>
                <w:bCs/>
              </w:rPr>
              <w:t>Recordkeeper</w:t>
            </w:r>
            <w:proofErr w:type="spellEnd"/>
          </w:p>
        </w:tc>
        <w:tc>
          <w:tcPr>
            <w:tcW w:w="648" w:type="pct"/>
            <w:shd w:val="clear" w:color="auto" w:fill="auto"/>
          </w:tcPr>
          <w:p w:rsidR="00434C5F" w:rsidRPr="00434C5F" w:rsidRDefault="00434C5F" w:rsidP="00434C5F">
            <w:pPr>
              <w:jc w:val="right"/>
            </w:pPr>
            <w:r w:rsidRPr="00434C5F">
              <w:t>Total Annual Records</w:t>
            </w:r>
          </w:p>
        </w:tc>
        <w:tc>
          <w:tcPr>
            <w:tcW w:w="920" w:type="pct"/>
            <w:shd w:val="clear" w:color="auto" w:fill="auto"/>
          </w:tcPr>
          <w:p w:rsidR="00434C5F" w:rsidRPr="00434C5F" w:rsidRDefault="00434C5F" w:rsidP="00434C5F">
            <w:pPr>
              <w:jc w:val="right"/>
            </w:pPr>
            <w:r w:rsidRPr="00434C5F">
              <w:rPr>
                <w:bCs/>
              </w:rPr>
              <w:t xml:space="preserve">Average Burden per Recordkeeping </w:t>
            </w:r>
          </w:p>
        </w:tc>
        <w:tc>
          <w:tcPr>
            <w:tcW w:w="629" w:type="pct"/>
            <w:shd w:val="clear" w:color="auto" w:fill="auto"/>
          </w:tcPr>
          <w:p w:rsidR="00434C5F" w:rsidRPr="00434C5F" w:rsidRDefault="00434C5F" w:rsidP="00434C5F">
            <w:pPr>
              <w:jc w:val="right"/>
            </w:pPr>
            <w:r w:rsidRPr="00434C5F">
              <w:t>Total Hours</w:t>
            </w:r>
          </w:p>
        </w:tc>
      </w:tr>
      <w:tr w:rsidR="00434C5F" w:rsidRPr="00434C5F" w:rsidTr="0027258D">
        <w:trPr>
          <w:trHeight w:val="337"/>
          <w:tblHeader/>
        </w:trPr>
        <w:tc>
          <w:tcPr>
            <w:tcW w:w="1043" w:type="pct"/>
            <w:shd w:val="clear" w:color="auto" w:fill="auto"/>
          </w:tcPr>
          <w:p w:rsidR="00434C5F" w:rsidRPr="00434C5F" w:rsidRDefault="00434C5F" w:rsidP="00434C5F">
            <w:pPr>
              <w:rPr>
                <w:color w:val="000000"/>
              </w:rPr>
            </w:pPr>
            <w:r w:rsidRPr="00434C5F">
              <w:rPr>
                <w:color w:val="000000"/>
              </w:rPr>
              <w:t>Change in process (Formulations)</w:t>
            </w:r>
          </w:p>
        </w:tc>
        <w:tc>
          <w:tcPr>
            <w:tcW w:w="905" w:type="pct"/>
            <w:shd w:val="clear" w:color="auto" w:fill="auto"/>
          </w:tcPr>
          <w:p w:rsidR="00434C5F" w:rsidRPr="00434C5F" w:rsidRDefault="00434C5F" w:rsidP="00434C5F">
            <w:pPr>
              <w:jc w:val="right"/>
              <w:rPr>
                <w:color w:val="000000"/>
              </w:rPr>
            </w:pPr>
            <w:r w:rsidRPr="00434C5F">
              <w:rPr>
                <w:color w:val="000000"/>
              </w:rPr>
              <w:t>68</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68</w:t>
            </w:r>
          </w:p>
        </w:tc>
        <w:tc>
          <w:tcPr>
            <w:tcW w:w="920" w:type="pct"/>
            <w:shd w:val="clear" w:color="auto" w:fill="auto"/>
          </w:tcPr>
          <w:p w:rsidR="00434C5F" w:rsidRPr="00434C5F" w:rsidRDefault="00434C5F" w:rsidP="00434C5F">
            <w:pPr>
              <w:jc w:val="right"/>
            </w:pPr>
            <w:r w:rsidRPr="00434C5F">
              <w:t>8</w:t>
            </w:r>
          </w:p>
          <w:p w:rsidR="00434C5F" w:rsidRPr="00434C5F" w:rsidRDefault="00434C5F" w:rsidP="00434C5F">
            <w:pPr>
              <w:jc w:val="right"/>
            </w:pPr>
          </w:p>
        </w:tc>
        <w:tc>
          <w:tcPr>
            <w:tcW w:w="629" w:type="pct"/>
            <w:shd w:val="clear" w:color="auto" w:fill="auto"/>
          </w:tcPr>
          <w:p w:rsidR="00434C5F" w:rsidRPr="00434C5F" w:rsidRDefault="00434C5F" w:rsidP="00434C5F">
            <w:pPr>
              <w:jc w:val="right"/>
            </w:pPr>
            <w:r w:rsidRPr="00434C5F">
              <w:t>544</w:t>
            </w:r>
          </w:p>
        </w:tc>
      </w:tr>
      <w:tr w:rsidR="00434C5F" w:rsidRPr="00434C5F" w:rsidTr="0027258D">
        <w:trPr>
          <w:trHeight w:val="453"/>
          <w:tblHeader/>
        </w:trPr>
        <w:tc>
          <w:tcPr>
            <w:tcW w:w="1043" w:type="pct"/>
            <w:shd w:val="clear" w:color="auto" w:fill="auto"/>
          </w:tcPr>
          <w:p w:rsidR="00434C5F" w:rsidRPr="00434C5F" w:rsidRDefault="00434C5F" w:rsidP="00434C5F">
            <w:pPr>
              <w:rPr>
                <w:color w:val="000000"/>
              </w:rPr>
            </w:pPr>
            <w:r w:rsidRPr="00434C5F">
              <w:rPr>
                <w:color w:val="000000"/>
              </w:rPr>
              <w:t>Ingredient change (Formulations)</w:t>
            </w:r>
          </w:p>
        </w:tc>
        <w:tc>
          <w:tcPr>
            <w:tcW w:w="905" w:type="pct"/>
            <w:shd w:val="clear" w:color="auto" w:fill="auto"/>
          </w:tcPr>
          <w:p w:rsidR="00434C5F" w:rsidRPr="00434C5F" w:rsidRDefault="00434C5F" w:rsidP="00434C5F">
            <w:pPr>
              <w:jc w:val="right"/>
              <w:rPr>
                <w:color w:val="000000"/>
              </w:rPr>
            </w:pPr>
            <w:r w:rsidRPr="00434C5F">
              <w:rPr>
                <w:color w:val="000000"/>
              </w:rPr>
              <w:t>28</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28</w:t>
            </w:r>
          </w:p>
        </w:tc>
        <w:tc>
          <w:tcPr>
            <w:tcW w:w="920" w:type="pct"/>
            <w:shd w:val="clear" w:color="auto" w:fill="auto"/>
          </w:tcPr>
          <w:p w:rsidR="00434C5F" w:rsidRPr="00434C5F" w:rsidRDefault="00434C5F" w:rsidP="00434C5F">
            <w:pPr>
              <w:jc w:val="right"/>
            </w:pPr>
            <w:r w:rsidRPr="00434C5F">
              <w:t>8</w:t>
            </w:r>
          </w:p>
        </w:tc>
        <w:tc>
          <w:tcPr>
            <w:tcW w:w="629" w:type="pct"/>
            <w:shd w:val="clear" w:color="auto" w:fill="auto"/>
          </w:tcPr>
          <w:p w:rsidR="00434C5F" w:rsidRPr="00434C5F" w:rsidRDefault="00434C5F" w:rsidP="00434C5F">
            <w:pPr>
              <w:jc w:val="right"/>
            </w:pPr>
            <w:r w:rsidRPr="00434C5F">
              <w:t>224</w:t>
            </w:r>
          </w:p>
        </w:tc>
      </w:tr>
      <w:tr w:rsidR="00434C5F" w:rsidRPr="00434C5F" w:rsidTr="0027258D">
        <w:trPr>
          <w:trHeight w:val="319"/>
          <w:tblHeader/>
        </w:trPr>
        <w:tc>
          <w:tcPr>
            <w:tcW w:w="1043" w:type="pct"/>
            <w:shd w:val="clear" w:color="auto" w:fill="auto"/>
          </w:tcPr>
          <w:p w:rsidR="00434C5F" w:rsidRPr="00434C5F" w:rsidRDefault="00434C5F" w:rsidP="00434C5F">
            <w:pPr>
              <w:rPr>
                <w:color w:val="000000"/>
              </w:rPr>
            </w:pPr>
            <w:r w:rsidRPr="00434C5F">
              <w:rPr>
                <w:color w:val="000000"/>
              </w:rPr>
              <w:t>No change (Formulations)</w:t>
            </w:r>
          </w:p>
        </w:tc>
        <w:tc>
          <w:tcPr>
            <w:tcW w:w="905" w:type="pct"/>
            <w:shd w:val="clear" w:color="auto" w:fill="auto"/>
          </w:tcPr>
          <w:p w:rsidR="00434C5F" w:rsidRPr="00434C5F" w:rsidRDefault="00434C5F" w:rsidP="00434C5F">
            <w:pPr>
              <w:jc w:val="right"/>
              <w:rPr>
                <w:color w:val="000000"/>
              </w:rPr>
            </w:pPr>
            <w:r w:rsidRPr="00434C5F">
              <w:rPr>
                <w:color w:val="000000"/>
              </w:rPr>
              <w:t>60</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60</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240</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rPr>
                <w:color w:val="000000"/>
              </w:rPr>
              <w:t>Labeling records, annual after year 1 (UPCs)</w:t>
            </w:r>
          </w:p>
        </w:tc>
        <w:tc>
          <w:tcPr>
            <w:tcW w:w="905" w:type="pct"/>
            <w:shd w:val="clear" w:color="auto" w:fill="auto"/>
          </w:tcPr>
          <w:p w:rsidR="00434C5F" w:rsidRPr="00434C5F" w:rsidRDefault="00434C5F" w:rsidP="00434C5F">
            <w:pPr>
              <w:jc w:val="right"/>
              <w:rPr>
                <w:color w:val="000000"/>
              </w:rPr>
            </w:pPr>
            <w:r w:rsidRPr="00434C5F">
              <w:rPr>
                <w:color w:val="000000"/>
              </w:rPr>
              <w:t>1255</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1255</w:t>
            </w:r>
          </w:p>
        </w:tc>
        <w:tc>
          <w:tcPr>
            <w:tcW w:w="920" w:type="pct"/>
            <w:shd w:val="clear" w:color="auto" w:fill="auto"/>
          </w:tcPr>
          <w:p w:rsidR="00434C5F" w:rsidRPr="00434C5F" w:rsidRDefault="00434C5F" w:rsidP="00434C5F">
            <w:pPr>
              <w:jc w:val="right"/>
            </w:pPr>
            <w:r w:rsidRPr="00434C5F">
              <w:t>2</w:t>
            </w:r>
          </w:p>
        </w:tc>
        <w:tc>
          <w:tcPr>
            <w:tcW w:w="629" w:type="pct"/>
            <w:shd w:val="clear" w:color="auto" w:fill="auto"/>
          </w:tcPr>
          <w:p w:rsidR="00434C5F" w:rsidRPr="00434C5F" w:rsidRDefault="00434C5F" w:rsidP="00434C5F">
            <w:pPr>
              <w:jc w:val="right"/>
            </w:pPr>
            <w:r w:rsidRPr="00434C5F">
              <w:t>2,510</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rPr>
                <w:color w:val="000000"/>
              </w:rPr>
              <w:t>Initial Stability Testing records (Manufacturers)</w:t>
            </w:r>
          </w:p>
        </w:tc>
        <w:tc>
          <w:tcPr>
            <w:tcW w:w="905" w:type="pct"/>
            <w:shd w:val="clear" w:color="auto" w:fill="auto"/>
          </w:tcPr>
          <w:p w:rsidR="00434C5F" w:rsidRPr="00434C5F" w:rsidRDefault="00434C5F" w:rsidP="00434C5F">
            <w:pPr>
              <w:jc w:val="right"/>
              <w:rPr>
                <w:color w:val="000000"/>
              </w:rPr>
            </w:pPr>
            <w:r w:rsidRPr="00434C5F">
              <w:rPr>
                <w:color w:val="000000"/>
              </w:rPr>
              <w:t>23</w:t>
            </w:r>
          </w:p>
        </w:tc>
        <w:tc>
          <w:tcPr>
            <w:tcW w:w="855" w:type="pct"/>
            <w:shd w:val="clear" w:color="auto" w:fill="auto"/>
          </w:tcPr>
          <w:p w:rsidR="00434C5F" w:rsidRPr="00434C5F" w:rsidRDefault="00434C5F" w:rsidP="00434C5F">
            <w:pPr>
              <w:jc w:val="right"/>
            </w:pPr>
            <w:r w:rsidRPr="00434C5F">
              <w:t>8</w:t>
            </w:r>
          </w:p>
        </w:tc>
        <w:tc>
          <w:tcPr>
            <w:tcW w:w="648" w:type="pct"/>
            <w:shd w:val="clear" w:color="auto" w:fill="auto"/>
          </w:tcPr>
          <w:p w:rsidR="00434C5F" w:rsidRPr="00434C5F" w:rsidRDefault="00434C5F" w:rsidP="00434C5F">
            <w:pPr>
              <w:jc w:val="right"/>
              <w:rPr>
                <w:color w:val="000000"/>
              </w:rPr>
            </w:pPr>
            <w:r w:rsidRPr="00434C5F">
              <w:rPr>
                <w:color w:val="000000"/>
              </w:rPr>
              <w:t>184</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736</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rPr>
                <w:color w:val="000000"/>
              </w:rPr>
              <w:lastRenderedPageBreak/>
              <w:t>Annual Stability Testing records (Manufacturers)</w:t>
            </w:r>
          </w:p>
        </w:tc>
        <w:tc>
          <w:tcPr>
            <w:tcW w:w="905" w:type="pct"/>
            <w:shd w:val="clear" w:color="auto" w:fill="auto"/>
          </w:tcPr>
          <w:p w:rsidR="00434C5F" w:rsidRPr="00434C5F" w:rsidRDefault="00434C5F" w:rsidP="00434C5F">
            <w:pPr>
              <w:jc w:val="right"/>
              <w:rPr>
                <w:color w:val="000000"/>
              </w:rPr>
            </w:pPr>
            <w:r w:rsidRPr="00434C5F">
              <w:rPr>
                <w:color w:val="000000"/>
              </w:rPr>
              <w:t>23</w:t>
            </w:r>
          </w:p>
        </w:tc>
        <w:tc>
          <w:tcPr>
            <w:tcW w:w="855" w:type="pct"/>
            <w:shd w:val="clear" w:color="auto" w:fill="auto"/>
          </w:tcPr>
          <w:p w:rsidR="00434C5F" w:rsidRPr="00434C5F" w:rsidRDefault="00434C5F" w:rsidP="00434C5F">
            <w:pPr>
              <w:jc w:val="right"/>
            </w:pPr>
            <w:r w:rsidRPr="00434C5F">
              <w:t>3</w:t>
            </w:r>
          </w:p>
        </w:tc>
        <w:tc>
          <w:tcPr>
            <w:tcW w:w="648" w:type="pct"/>
            <w:shd w:val="clear" w:color="auto" w:fill="auto"/>
          </w:tcPr>
          <w:p w:rsidR="00434C5F" w:rsidRPr="00434C5F" w:rsidRDefault="00434C5F" w:rsidP="00434C5F">
            <w:pPr>
              <w:jc w:val="right"/>
              <w:rPr>
                <w:color w:val="000000"/>
              </w:rPr>
            </w:pPr>
            <w:r w:rsidRPr="00434C5F">
              <w:rPr>
                <w:color w:val="000000"/>
              </w:rPr>
              <w:t>69</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276</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t>Batch Testing (products)</w:t>
            </w:r>
          </w:p>
        </w:tc>
        <w:tc>
          <w:tcPr>
            <w:tcW w:w="905" w:type="pct"/>
            <w:shd w:val="clear" w:color="auto" w:fill="auto"/>
          </w:tcPr>
          <w:p w:rsidR="00434C5F" w:rsidRPr="00434C5F" w:rsidRDefault="00434C5F" w:rsidP="00434C5F">
            <w:pPr>
              <w:jc w:val="right"/>
              <w:rPr>
                <w:color w:val="000000"/>
              </w:rPr>
            </w:pPr>
            <w:r w:rsidRPr="00434C5F">
              <w:t>784</w:t>
            </w:r>
          </w:p>
        </w:tc>
        <w:tc>
          <w:tcPr>
            <w:tcW w:w="855" w:type="pct"/>
            <w:shd w:val="clear" w:color="auto" w:fill="auto"/>
          </w:tcPr>
          <w:p w:rsidR="00434C5F" w:rsidRPr="00434C5F" w:rsidRDefault="00434C5F" w:rsidP="00434C5F">
            <w:pPr>
              <w:jc w:val="right"/>
            </w:pPr>
            <w:r w:rsidRPr="00434C5F">
              <w:t>28</w:t>
            </w:r>
          </w:p>
        </w:tc>
        <w:tc>
          <w:tcPr>
            <w:tcW w:w="648" w:type="pct"/>
            <w:shd w:val="clear" w:color="auto" w:fill="auto"/>
          </w:tcPr>
          <w:p w:rsidR="00434C5F" w:rsidRPr="00434C5F" w:rsidRDefault="00434C5F" w:rsidP="00434C5F">
            <w:pPr>
              <w:jc w:val="right"/>
              <w:rPr>
                <w:color w:val="000000"/>
              </w:rPr>
            </w:pPr>
            <w:r w:rsidRPr="00434C5F">
              <w:t>21,952</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87,808</w:t>
            </w:r>
          </w:p>
        </w:tc>
      </w:tr>
      <w:tr w:rsidR="00434C5F" w:rsidRPr="00434C5F" w:rsidTr="0027258D">
        <w:trPr>
          <w:trHeight w:val="490"/>
          <w:tblHeader/>
        </w:trPr>
        <w:tc>
          <w:tcPr>
            <w:tcW w:w="1043" w:type="pct"/>
            <w:shd w:val="clear" w:color="auto" w:fill="auto"/>
          </w:tcPr>
          <w:p w:rsidR="00434C5F" w:rsidRPr="00434C5F" w:rsidRDefault="00434C5F" w:rsidP="00434C5F">
            <w:pPr>
              <w:rPr>
                <w:color w:val="000000"/>
              </w:rPr>
            </w:pPr>
            <w:r w:rsidRPr="00434C5F">
              <w:rPr>
                <w:color w:val="000000"/>
              </w:rPr>
              <w:t>Batch Testing Records (Manufacturers)</w:t>
            </w:r>
          </w:p>
        </w:tc>
        <w:tc>
          <w:tcPr>
            <w:tcW w:w="905" w:type="pct"/>
            <w:shd w:val="clear" w:color="auto" w:fill="auto"/>
          </w:tcPr>
          <w:p w:rsidR="00434C5F" w:rsidRPr="00434C5F" w:rsidRDefault="00434C5F" w:rsidP="00434C5F">
            <w:pPr>
              <w:jc w:val="right"/>
              <w:rPr>
                <w:color w:val="000000"/>
              </w:rPr>
            </w:pPr>
            <w:r w:rsidRPr="00434C5F">
              <w:rPr>
                <w:color w:val="000000"/>
              </w:rPr>
              <w:t>23</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23</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92</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rPr>
                <w:color w:val="000000"/>
              </w:rPr>
              <w:t>Procedures for nonconforming products and related investigations (Manufacturers)</w:t>
            </w:r>
          </w:p>
        </w:tc>
        <w:tc>
          <w:tcPr>
            <w:tcW w:w="905" w:type="pct"/>
            <w:shd w:val="clear" w:color="auto" w:fill="auto"/>
          </w:tcPr>
          <w:p w:rsidR="00434C5F" w:rsidRPr="00434C5F" w:rsidRDefault="00434C5F" w:rsidP="00434C5F">
            <w:pPr>
              <w:jc w:val="right"/>
              <w:rPr>
                <w:color w:val="000000"/>
              </w:rPr>
            </w:pPr>
            <w:r w:rsidRPr="00434C5F">
              <w:rPr>
                <w:color w:val="000000"/>
              </w:rPr>
              <w:t>23</w:t>
            </w:r>
          </w:p>
        </w:tc>
        <w:tc>
          <w:tcPr>
            <w:tcW w:w="855" w:type="pct"/>
            <w:shd w:val="clear" w:color="auto" w:fill="auto"/>
          </w:tcPr>
          <w:p w:rsidR="00434C5F" w:rsidRPr="00434C5F" w:rsidRDefault="00434C5F" w:rsidP="00434C5F">
            <w:pPr>
              <w:jc w:val="right"/>
            </w:pPr>
            <w:r w:rsidRPr="00434C5F">
              <w:t>1</w:t>
            </w:r>
          </w:p>
        </w:tc>
        <w:tc>
          <w:tcPr>
            <w:tcW w:w="648" w:type="pct"/>
            <w:shd w:val="clear" w:color="auto" w:fill="auto"/>
          </w:tcPr>
          <w:p w:rsidR="00434C5F" w:rsidRPr="00434C5F" w:rsidRDefault="00434C5F" w:rsidP="00434C5F">
            <w:pPr>
              <w:jc w:val="right"/>
              <w:rPr>
                <w:color w:val="000000"/>
              </w:rPr>
            </w:pPr>
            <w:r w:rsidRPr="00434C5F">
              <w:rPr>
                <w:color w:val="000000"/>
              </w:rPr>
              <w:t>23</w:t>
            </w:r>
          </w:p>
        </w:tc>
        <w:tc>
          <w:tcPr>
            <w:tcW w:w="920" w:type="pct"/>
            <w:shd w:val="clear" w:color="auto" w:fill="auto"/>
          </w:tcPr>
          <w:p w:rsidR="00434C5F" w:rsidRPr="00434C5F" w:rsidRDefault="00434C5F" w:rsidP="00434C5F">
            <w:pPr>
              <w:jc w:val="right"/>
            </w:pPr>
            <w:r w:rsidRPr="00434C5F">
              <w:t>4</w:t>
            </w:r>
          </w:p>
        </w:tc>
        <w:tc>
          <w:tcPr>
            <w:tcW w:w="629" w:type="pct"/>
            <w:shd w:val="clear" w:color="auto" w:fill="auto"/>
          </w:tcPr>
          <w:p w:rsidR="00434C5F" w:rsidRPr="00434C5F" w:rsidRDefault="00434C5F" w:rsidP="00434C5F">
            <w:pPr>
              <w:jc w:val="right"/>
            </w:pPr>
            <w:r w:rsidRPr="00434C5F">
              <w:t>92</w:t>
            </w:r>
          </w:p>
        </w:tc>
      </w:tr>
      <w:tr w:rsidR="00434C5F" w:rsidRPr="00434C5F" w:rsidTr="0027258D">
        <w:trPr>
          <w:trHeight w:val="724"/>
          <w:tblHeader/>
        </w:trPr>
        <w:tc>
          <w:tcPr>
            <w:tcW w:w="1043" w:type="pct"/>
            <w:shd w:val="clear" w:color="auto" w:fill="auto"/>
          </w:tcPr>
          <w:p w:rsidR="00434C5F" w:rsidRPr="00434C5F" w:rsidRDefault="00434C5F" w:rsidP="00434C5F">
            <w:pPr>
              <w:rPr>
                <w:color w:val="000000"/>
              </w:rPr>
            </w:pPr>
            <w:r w:rsidRPr="00434C5F">
              <w:rPr>
                <w:color w:val="000000"/>
              </w:rPr>
              <w:t>Notifications, alternate testing methods (Manufacturers)</w:t>
            </w:r>
          </w:p>
        </w:tc>
        <w:tc>
          <w:tcPr>
            <w:tcW w:w="905" w:type="pct"/>
            <w:shd w:val="clear" w:color="auto" w:fill="auto"/>
          </w:tcPr>
          <w:p w:rsidR="00434C5F" w:rsidRPr="00434C5F" w:rsidRDefault="00434C5F" w:rsidP="00434C5F">
            <w:pPr>
              <w:jc w:val="right"/>
              <w:rPr>
                <w:color w:val="000000"/>
              </w:rPr>
            </w:pPr>
            <w:r w:rsidRPr="00434C5F">
              <w:rPr>
                <w:color w:val="000000"/>
              </w:rPr>
              <w:t>23</w:t>
            </w:r>
          </w:p>
        </w:tc>
        <w:tc>
          <w:tcPr>
            <w:tcW w:w="855" w:type="pct"/>
            <w:shd w:val="clear" w:color="auto" w:fill="auto"/>
          </w:tcPr>
          <w:p w:rsidR="00434C5F" w:rsidRPr="00434C5F" w:rsidRDefault="00434C5F" w:rsidP="00434C5F">
            <w:pPr>
              <w:jc w:val="right"/>
            </w:pPr>
            <w:r w:rsidRPr="00434C5F">
              <w:t>2</w:t>
            </w:r>
          </w:p>
        </w:tc>
        <w:tc>
          <w:tcPr>
            <w:tcW w:w="648" w:type="pct"/>
            <w:shd w:val="clear" w:color="auto" w:fill="auto"/>
          </w:tcPr>
          <w:p w:rsidR="00434C5F" w:rsidRPr="00434C5F" w:rsidRDefault="00434C5F" w:rsidP="00434C5F">
            <w:pPr>
              <w:jc w:val="right"/>
              <w:rPr>
                <w:color w:val="000000"/>
              </w:rPr>
            </w:pPr>
            <w:r w:rsidRPr="00434C5F">
              <w:rPr>
                <w:color w:val="000000"/>
              </w:rPr>
              <w:t>46</w:t>
            </w:r>
          </w:p>
        </w:tc>
        <w:tc>
          <w:tcPr>
            <w:tcW w:w="920" w:type="pct"/>
            <w:shd w:val="clear" w:color="auto" w:fill="auto"/>
          </w:tcPr>
          <w:p w:rsidR="00434C5F" w:rsidRPr="00434C5F" w:rsidRDefault="00434C5F" w:rsidP="00434C5F">
            <w:pPr>
              <w:jc w:val="right"/>
            </w:pPr>
            <w:r w:rsidRPr="00434C5F">
              <w:t>0.75</w:t>
            </w:r>
          </w:p>
        </w:tc>
        <w:tc>
          <w:tcPr>
            <w:tcW w:w="629" w:type="pct"/>
            <w:shd w:val="clear" w:color="auto" w:fill="auto"/>
          </w:tcPr>
          <w:p w:rsidR="00434C5F" w:rsidRPr="00434C5F" w:rsidRDefault="00434C5F" w:rsidP="00434C5F">
            <w:pPr>
              <w:jc w:val="right"/>
            </w:pPr>
            <w:r w:rsidRPr="00434C5F">
              <w:t>35</w:t>
            </w:r>
          </w:p>
        </w:tc>
      </w:tr>
      <w:tr w:rsidR="00434C5F" w:rsidRPr="00434C5F" w:rsidTr="0027258D">
        <w:trPr>
          <w:trHeight w:val="301"/>
          <w:tblHeader/>
        </w:trPr>
        <w:tc>
          <w:tcPr>
            <w:tcW w:w="4371" w:type="pct"/>
            <w:gridSpan w:val="5"/>
            <w:shd w:val="clear" w:color="auto" w:fill="auto"/>
          </w:tcPr>
          <w:p w:rsidR="00434C5F" w:rsidRPr="00434C5F" w:rsidRDefault="00434C5F" w:rsidP="00434C5F">
            <w:r w:rsidRPr="00434C5F">
              <w:t>Total</w:t>
            </w:r>
          </w:p>
        </w:tc>
        <w:tc>
          <w:tcPr>
            <w:tcW w:w="629" w:type="pct"/>
            <w:shd w:val="clear" w:color="auto" w:fill="auto"/>
          </w:tcPr>
          <w:p w:rsidR="00434C5F" w:rsidRPr="00434C5F" w:rsidRDefault="00434C5F" w:rsidP="00434C5F">
            <w:pPr>
              <w:jc w:val="right"/>
            </w:pPr>
            <w:r w:rsidRPr="00434C5F">
              <w:fldChar w:fldCharType="begin"/>
            </w:r>
            <w:r w:rsidRPr="00434C5F">
              <w:instrText xml:space="preserve"> =SUM(ABOVE) </w:instrText>
            </w:r>
            <w:r w:rsidRPr="00434C5F">
              <w:fldChar w:fldCharType="end"/>
            </w:r>
            <w:r w:rsidRPr="00434C5F">
              <w:fldChar w:fldCharType="begin"/>
            </w:r>
            <w:r w:rsidRPr="00434C5F">
              <w:instrText xml:space="preserve"> =SUM(ABOVE) </w:instrText>
            </w:r>
            <w:r w:rsidRPr="00434C5F">
              <w:fldChar w:fldCharType="separate"/>
            </w:r>
            <w:r w:rsidRPr="00434C5F">
              <w:rPr>
                <w:noProof/>
              </w:rPr>
              <w:t>92,557</w:t>
            </w:r>
            <w:r w:rsidRPr="00434C5F">
              <w:fldChar w:fldCharType="end"/>
            </w:r>
            <w:r w:rsidRPr="00434C5F">
              <w:t xml:space="preserve"> </w:t>
            </w:r>
          </w:p>
        </w:tc>
      </w:tr>
    </w:tbl>
    <w:p w:rsidR="00434C5F" w:rsidRPr="00434C5F" w:rsidRDefault="00DE776B" w:rsidP="00434C5F">
      <w:pPr>
        <w:rPr>
          <w:sz w:val="20"/>
          <w:szCs w:val="20"/>
          <w:vertAlign w:val="superscript"/>
        </w:rPr>
      </w:pPr>
      <w:r>
        <w:rPr>
          <w:sz w:val="20"/>
          <w:szCs w:val="20"/>
          <w:vertAlign w:val="superscript"/>
        </w:rPr>
        <w:t>1</w:t>
      </w:r>
      <w:r w:rsidR="00434C5F" w:rsidRPr="00434C5F">
        <w:rPr>
          <w:sz w:val="20"/>
          <w:szCs w:val="20"/>
          <w:vertAlign w:val="superscript"/>
        </w:rPr>
        <w:t xml:space="preserve"> </w:t>
      </w:r>
      <w:r w:rsidR="00434C5F" w:rsidRPr="00434C5F">
        <w:rPr>
          <w:sz w:val="20"/>
          <w:szCs w:val="20"/>
        </w:rPr>
        <w:t>The burden in the recordkeeping chart corresponds to Table 24 “Estimated Recordkeeping Costs to Industry” and Table 13 “Estimated Number of Batch Tests” in the RIA.</w:t>
      </w:r>
    </w:p>
    <w:p w:rsidR="00434C5F" w:rsidRPr="00434C5F" w:rsidRDefault="00434C5F" w:rsidP="00434C5F"/>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806"/>
        <w:gridCol w:w="1722"/>
        <w:gridCol w:w="1722"/>
        <w:gridCol w:w="1262"/>
        <w:gridCol w:w="1209"/>
      </w:tblGrid>
      <w:tr w:rsidR="00434C5F" w:rsidRPr="00434C5F" w:rsidTr="0027258D">
        <w:trPr>
          <w:cantSplit/>
          <w:trHeight w:val="257"/>
        </w:trPr>
        <w:tc>
          <w:tcPr>
            <w:tcW w:w="5000" w:type="pct"/>
            <w:gridSpan w:val="6"/>
            <w:tcBorders>
              <w:top w:val="nil"/>
              <w:left w:val="nil"/>
              <w:right w:val="nil"/>
            </w:tcBorders>
          </w:tcPr>
          <w:p w:rsidR="00434C5F" w:rsidRPr="00434C5F" w:rsidRDefault="00434C5F" w:rsidP="00434C5F">
            <w:pPr>
              <w:jc w:val="center"/>
            </w:pPr>
            <w:r w:rsidRPr="00434C5F">
              <w:t>Table 3.--Estimated Annual Third-Party Disclosure Burden</w:t>
            </w:r>
          </w:p>
        </w:tc>
      </w:tr>
      <w:tr w:rsidR="00434C5F" w:rsidRPr="00434C5F" w:rsidTr="00DE776B">
        <w:trPr>
          <w:cantSplit/>
          <w:trHeight w:val="692"/>
          <w:tblHeader/>
        </w:trPr>
        <w:tc>
          <w:tcPr>
            <w:tcW w:w="951" w:type="pct"/>
          </w:tcPr>
          <w:p w:rsidR="00434C5F" w:rsidRPr="00434C5F" w:rsidRDefault="00434C5F" w:rsidP="00434C5F">
            <w:pPr>
              <w:jc w:val="center"/>
            </w:pPr>
            <w:r w:rsidRPr="00434C5F">
              <w:t>Activity (units)</w:t>
            </w:r>
          </w:p>
          <w:p w:rsidR="00434C5F" w:rsidRPr="00434C5F" w:rsidRDefault="00434C5F" w:rsidP="00434C5F">
            <w:pPr>
              <w:jc w:val="center"/>
            </w:pPr>
          </w:p>
        </w:tc>
        <w:tc>
          <w:tcPr>
            <w:tcW w:w="947" w:type="pct"/>
          </w:tcPr>
          <w:p w:rsidR="00434C5F" w:rsidRPr="00434C5F" w:rsidRDefault="00434C5F" w:rsidP="00434C5F">
            <w:pPr>
              <w:jc w:val="center"/>
            </w:pPr>
            <w:r w:rsidRPr="00434C5F">
              <w:t>No. of Respondents</w:t>
            </w:r>
          </w:p>
        </w:tc>
        <w:tc>
          <w:tcPr>
            <w:tcW w:w="903" w:type="pct"/>
          </w:tcPr>
          <w:p w:rsidR="00434C5F" w:rsidRPr="00434C5F" w:rsidRDefault="00434C5F" w:rsidP="00434C5F">
            <w:pPr>
              <w:jc w:val="center"/>
            </w:pPr>
            <w:r w:rsidRPr="00434C5F">
              <w:rPr>
                <w:bCs/>
              </w:rPr>
              <w:t>No. of Disclosures per Respondent</w:t>
            </w:r>
          </w:p>
        </w:tc>
        <w:tc>
          <w:tcPr>
            <w:tcW w:w="903" w:type="pct"/>
          </w:tcPr>
          <w:p w:rsidR="00434C5F" w:rsidRPr="00434C5F" w:rsidRDefault="00434C5F" w:rsidP="00434C5F">
            <w:pPr>
              <w:jc w:val="center"/>
            </w:pPr>
            <w:r w:rsidRPr="00434C5F">
              <w:t>Total Annual Disclosures</w:t>
            </w:r>
          </w:p>
        </w:tc>
        <w:tc>
          <w:tcPr>
            <w:tcW w:w="662" w:type="pct"/>
          </w:tcPr>
          <w:p w:rsidR="00434C5F" w:rsidRPr="00434C5F" w:rsidRDefault="00434C5F" w:rsidP="00434C5F">
            <w:pPr>
              <w:jc w:val="center"/>
            </w:pPr>
            <w:r w:rsidRPr="00434C5F">
              <w:rPr>
                <w:bCs/>
              </w:rPr>
              <w:t>Average Burden per Disclosure</w:t>
            </w:r>
          </w:p>
        </w:tc>
        <w:tc>
          <w:tcPr>
            <w:tcW w:w="634" w:type="pct"/>
          </w:tcPr>
          <w:p w:rsidR="00434C5F" w:rsidRPr="00434C5F" w:rsidRDefault="00434C5F" w:rsidP="00434C5F">
            <w:pPr>
              <w:jc w:val="center"/>
            </w:pPr>
            <w:r w:rsidRPr="00434C5F">
              <w:t>Total Hours</w:t>
            </w:r>
          </w:p>
        </w:tc>
      </w:tr>
      <w:tr w:rsidR="00434C5F" w:rsidRPr="00434C5F" w:rsidTr="00DE776B">
        <w:trPr>
          <w:cantSplit/>
          <w:trHeight w:val="476"/>
          <w:tblHeader/>
        </w:trPr>
        <w:tc>
          <w:tcPr>
            <w:tcW w:w="951" w:type="pct"/>
          </w:tcPr>
          <w:p w:rsidR="00434C5F" w:rsidRPr="00434C5F" w:rsidRDefault="00434C5F" w:rsidP="00434C5F">
            <w:r w:rsidRPr="00434C5F">
              <w:t>Package Labeling Change Minor (UPCs)</w:t>
            </w:r>
          </w:p>
        </w:tc>
        <w:tc>
          <w:tcPr>
            <w:tcW w:w="947" w:type="pct"/>
          </w:tcPr>
          <w:p w:rsidR="00434C5F" w:rsidRPr="00434C5F" w:rsidRDefault="00434C5F" w:rsidP="00434C5F">
            <w:pPr>
              <w:jc w:val="right"/>
            </w:pPr>
            <w:r w:rsidRPr="00434C5F">
              <w:t>459</w:t>
            </w:r>
          </w:p>
        </w:tc>
        <w:tc>
          <w:tcPr>
            <w:tcW w:w="903" w:type="pct"/>
          </w:tcPr>
          <w:p w:rsidR="00434C5F" w:rsidRPr="00434C5F" w:rsidRDefault="00434C5F" w:rsidP="00434C5F">
            <w:pPr>
              <w:jc w:val="right"/>
              <w:rPr>
                <w:bCs/>
              </w:rPr>
            </w:pPr>
            <w:r w:rsidRPr="00434C5F">
              <w:rPr>
                <w:bCs/>
              </w:rPr>
              <w:t>1</w:t>
            </w:r>
          </w:p>
        </w:tc>
        <w:tc>
          <w:tcPr>
            <w:tcW w:w="903" w:type="pct"/>
          </w:tcPr>
          <w:p w:rsidR="00434C5F" w:rsidRPr="00434C5F" w:rsidRDefault="00434C5F" w:rsidP="00434C5F">
            <w:pPr>
              <w:jc w:val="right"/>
            </w:pPr>
            <w:r w:rsidRPr="00434C5F">
              <w:t>459</w:t>
            </w:r>
          </w:p>
        </w:tc>
        <w:tc>
          <w:tcPr>
            <w:tcW w:w="662" w:type="pct"/>
          </w:tcPr>
          <w:p w:rsidR="00434C5F" w:rsidRPr="00434C5F" w:rsidRDefault="00434C5F" w:rsidP="00434C5F">
            <w:pPr>
              <w:jc w:val="right"/>
              <w:rPr>
                <w:bCs/>
              </w:rPr>
            </w:pPr>
            <w:r w:rsidRPr="00434C5F">
              <w:rPr>
                <w:bCs/>
              </w:rPr>
              <w:t>10</w:t>
            </w:r>
          </w:p>
        </w:tc>
        <w:tc>
          <w:tcPr>
            <w:tcW w:w="634" w:type="pct"/>
          </w:tcPr>
          <w:p w:rsidR="00434C5F" w:rsidRPr="00434C5F" w:rsidRDefault="00434C5F" w:rsidP="00434C5F">
            <w:pPr>
              <w:jc w:val="right"/>
            </w:pPr>
            <w:r w:rsidRPr="00434C5F">
              <w:t>4,590</w:t>
            </w:r>
          </w:p>
        </w:tc>
      </w:tr>
      <w:tr w:rsidR="00434C5F" w:rsidRPr="00434C5F" w:rsidTr="00DE776B">
        <w:trPr>
          <w:cantSplit/>
          <w:trHeight w:val="760"/>
        </w:trPr>
        <w:tc>
          <w:tcPr>
            <w:tcW w:w="951" w:type="pct"/>
          </w:tcPr>
          <w:p w:rsidR="00434C5F" w:rsidRPr="00434C5F" w:rsidRDefault="00434C5F" w:rsidP="00434C5F">
            <w:r w:rsidRPr="00434C5F">
              <w:t>Package Labeling Change Major  (UPCs)</w:t>
            </w:r>
          </w:p>
        </w:tc>
        <w:tc>
          <w:tcPr>
            <w:tcW w:w="947" w:type="pct"/>
          </w:tcPr>
          <w:p w:rsidR="00434C5F" w:rsidRPr="00434C5F" w:rsidRDefault="00434C5F" w:rsidP="00434C5F">
            <w:pPr>
              <w:jc w:val="right"/>
            </w:pPr>
            <w:r w:rsidRPr="00434C5F">
              <w:t>8</w:t>
            </w:r>
          </w:p>
        </w:tc>
        <w:tc>
          <w:tcPr>
            <w:tcW w:w="903" w:type="pct"/>
          </w:tcPr>
          <w:p w:rsidR="00434C5F" w:rsidRPr="00434C5F" w:rsidRDefault="00434C5F" w:rsidP="00434C5F">
            <w:pPr>
              <w:jc w:val="right"/>
            </w:pPr>
            <w:r w:rsidRPr="00434C5F">
              <w:t>1</w:t>
            </w:r>
          </w:p>
        </w:tc>
        <w:tc>
          <w:tcPr>
            <w:tcW w:w="903" w:type="pct"/>
          </w:tcPr>
          <w:p w:rsidR="00434C5F" w:rsidRPr="00434C5F" w:rsidRDefault="00434C5F" w:rsidP="00434C5F">
            <w:pPr>
              <w:jc w:val="right"/>
            </w:pPr>
            <w:r w:rsidRPr="00434C5F">
              <w:t>8</w:t>
            </w:r>
          </w:p>
        </w:tc>
        <w:tc>
          <w:tcPr>
            <w:tcW w:w="662" w:type="pct"/>
          </w:tcPr>
          <w:p w:rsidR="00434C5F" w:rsidRPr="00434C5F" w:rsidRDefault="00434C5F" w:rsidP="00434C5F">
            <w:pPr>
              <w:jc w:val="right"/>
            </w:pPr>
            <w:r w:rsidRPr="00434C5F">
              <w:t>23</w:t>
            </w:r>
          </w:p>
        </w:tc>
        <w:tc>
          <w:tcPr>
            <w:tcW w:w="634" w:type="pct"/>
          </w:tcPr>
          <w:p w:rsidR="00434C5F" w:rsidRPr="00434C5F" w:rsidRDefault="00434C5F" w:rsidP="00434C5F">
            <w:pPr>
              <w:jc w:val="right"/>
            </w:pPr>
            <w:r w:rsidRPr="00434C5F">
              <w:t>184</w:t>
            </w:r>
          </w:p>
        </w:tc>
      </w:tr>
      <w:tr w:rsidR="00434C5F" w:rsidRPr="00434C5F" w:rsidTr="0027258D">
        <w:trPr>
          <w:cantSplit/>
          <w:trHeight w:val="701"/>
        </w:trPr>
        <w:tc>
          <w:tcPr>
            <w:tcW w:w="951" w:type="pct"/>
          </w:tcPr>
          <w:p w:rsidR="00434C5F" w:rsidRPr="00434C5F" w:rsidRDefault="00434C5F" w:rsidP="00434C5F">
            <w:r w:rsidRPr="00434C5F">
              <w:t>Initial Stability Testing (one time) (Products)</w:t>
            </w:r>
          </w:p>
        </w:tc>
        <w:tc>
          <w:tcPr>
            <w:tcW w:w="947" w:type="pct"/>
          </w:tcPr>
          <w:p w:rsidR="00434C5F" w:rsidRPr="00434C5F" w:rsidRDefault="00434C5F" w:rsidP="00434C5F">
            <w:pPr>
              <w:jc w:val="right"/>
            </w:pPr>
            <w:r w:rsidRPr="00434C5F">
              <w:t>784</w:t>
            </w:r>
          </w:p>
        </w:tc>
        <w:tc>
          <w:tcPr>
            <w:tcW w:w="903" w:type="pct"/>
          </w:tcPr>
          <w:p w:rsidR="00434C5F" w:rsidRPr="00434C5F" w:rsidRDefault="00434C5F" w:rsidP="00434C5F">
            <w:pPr>
              <w:jc w:val="right"/>
            </w:pPr>
            <w:r w:rsidRPr="00434C5F">
              <w:t>168</w:t>
            </w:r>
          </w:p>
        </w:tc>
        <w:tc>
          <w:tcPr>
            <w:tcW w:w="903" w:type="pct"/>
          </w:tcPr>
          <w:p w:rsidR="00434C5F" w:rsidRPr="00434C5F" w:rsidRDefault="00434C5F" w:rsidP="00434C5F">
            <w:pPr>
              <w:jc w:val="right"/>
            </w:pPr>
            <w:r w:rsidRPr="00434C5F">
              <w:t>131,712</w:t>
            </w:r>
          </w:p>
        </w:tc>
        <w:tc>
          <w:tcPr>
            <w:tcW w:w="662" w:type="pct"/>
          </w:tcPr>
          <w:p w:rsidR="00434C5F" w:rsidRPr="00434C5F" w:rsidRDefault="00434C5F" w:rsidP="00434C5F">
            <w:pPr>
              <w:jc w:val="right"/>
            </w:pPr>
            <w:r w:rsidRPr="00434C5F">
              <w:t>2</w:t>
            </w:r>
          </w:p>
        </w:tc>
        <w:tc>
          <w:tcPr>
            <w:tcW w:w="634" w:type="pct"/>
          </w:tcPr>
          <w:p w:rsidR="00434C5F" w:rsidRPr="00434C5F" w:rsidRDefault="00434C5F" w:rsidP="00434C5F">
            <w:pPr>
              <w:jc w:val="right"/>
            </w:pPr>
            <w:r w:rsidRPr="00434C5F">
              <w:t>263,424</w:t>
            </w:r>
          </w:p>
        </w:tc>
      </w:tr>
      <w:tr w:rsidR="00434C5F" w:rsidRPr="00434C5F" w:rsidTr="0027258D">
        <w:trPr>
          <w:cantSplit/>
          <w:trHeight w:val="701"/>
        </w:trPr>
        <w:tc>
          <w:tcPr>
            <w:tcW w:w="951" w:type="pct"/>
          </w:tcPr>
          <w:p w:rsidR="00434C5F" w:rsidRPr="00434C5F" w:rsidRDefault="00434C5F" w:rsidP="00434C5F">
            <w:r w:rsidRPr="00434C5F">
              <w:t>Initial Stability Testing (recurring) (Products)</w:t>
            </w:r>
          </w:p>
        </w:tc>
        <w:tc>
          <w:tcPr>
            <w:tcW w:w="947" w:type="pct"/>
          </w:tcPr>
          <w:p w:rsidR="00434C5F" w:rsidRPr="00434C5F" w:rsidRDefault="00434C5F" w:rsidP="00434C5F">
            <w:pPr>
              <w:jc w:val="right"/>
            </w:pPr>
            <w:r w:rsidRPr="00434C5F">
              <w:t>784</w:t>
            </w:r>
          </w:p>
        </w:tc>
        <w:tc>
          <w:tcPr>
            <w:tcW w:w="903" w:type="pct"/>
          </w:tcPr>
          <w:p w:rsidR="00434C5F" w:rsidRPr="00434C5F" w:rsidRDefault="00434C5F" w:rsidP="00434C5F">
            <w:pPr>
              <w:jc w:val="right"/>
            </w:pPr>
            <w:r w:rsidRPr="00434C5F">
              <w:t>6.72</w:t>
            </w:r>
          </w:p>
        </w:tc>
        <w:tc>
          <w:tcPr>
            <w:tcW w:w="903" w:type="pct"/>
          </w:tcPr>
          <w:p w:rsidR="00434C5F" w:rsidRPr="00434C5F" w:rsidRDefault="00434C5F" w:rsidP="00434C5F">
            <w:pPr>
              <w:jc w:val="right"/>
            </w:pPr>
            <w:r w:rsidRPr="00434C5F">
              <w:t>5,268</w:t>
            </w:r>
          </w:p>
        </w:tc>
        <w:tc>
          <w:tcPr>
            <w:tcW w:w="662" w:type="pct"/>
          </w:tcPr>
          <w:p w:rsidR="00434C5F" w:rsidRPr="00434C5F" w:rsidRDefault="00434C5F" w:rsidP="00434C5F">
            <w:pPr>
              <w:jc w:val="right"/>
            </w:pPr>
            <w:r w:rsidRPr="00434C5F">
              <w:t>2</w:t>
            </w:r>
          </w:p>
        </w:tc>
        <w:tc>
          <w:tcPr>
            <w:tcW w:w="634" w:type="pct"/>
          </w:tcPr>
          <w:p w:rsidR="00434C5F" w:rsidRPr="00434C5F" w:rsidRDefault="00434C5F" w:rsidP="00434C5F">
            <w:pPr>
              <w:jc w:val="right"/>
            </w:pPr>
            <w:r w:rsidRPr="00434C5F">
              <w:t>10,536</w:t>
            </w:r>
          </w:p>
        </w:tc>
      </w:tr>
      <w:tr w:rsidR="00434C5F" w:rsidRPr="00434C5F" w:rsidTr="0027258D">
        <w:trPr>
          <w:cantSplit/>
          <w:trHeight w:val="494"/>
        </w:trPr>
        <w:tc>
          <w:tcPr>
            <w:tcW w:w="951" w:type="pct"/>
          </w:tcPr>
          <w:p w:rsidR="00434C5F" w:rsidRPr="00434C5F" w:rsidRDefault="00434C5F" w:rsidP="00434C5F">
            <w:r w:rsidRPr="00434C5F">
              <w:t>Annual Stability Testing (Products)</w:t>
            </w:r>
          </w:p>
        </w:tc>
        <w:tc>
          <w:tcPr>
            <w:tcW w:w="947" w:type="pct"/>
          </w:tcPr>
          <w:p w:rsidR="00434C5F" w:rsidRPr="00434C5F" w:rsidRDefault="00434C5F" w:rsidP="00434C5F">
            <w:pPr>
              <w:jc w:val="right"/>
            </w:pPr>
            <w:r w:rsidRPr="00434C5F">
              <w:t>784</w:t>
            </w:r>
          </w:p>
        </w:tc>
        <w:tc>
          <w:tcPr>
            <w:tcW w:w="903" w:type="pct"/>
          </w:tcPr>
          <w:p w:rsidR="00434C5F" w:rsidRPr="00434C5F" w:rsidRDefault="00434C5F" w:rsidP="00434C5F">
            <w:pPr>
              <w:jc w:val="right"/>
            </w:pPr>
            <w:r w:rsidRPr="00434C5F">
              <w:t>60.48</w:t>
            </w:r>
          </w:p>
        </w:tc>
        <w:tc>
          <w:tcPr>
            <w:tcW w:w="903" w:type="pct"/>
          </w:tcPr>
          <w:p w:rsidR="00434C5F" w:rsidRPr="00434C5F" w:rsidRDefault="00434C5F" w:rsidP="00434C5F">
            <w:pPr>
              <w:jc w:val="right"/>
            </w:pPr>
            <w:r w:rsidRPr="00434C5F">
              <w:t>47,416</w:t>
            </w:r>
          </w:p>
        </w:tc>
        <w:tc>
          <w:tcPr>
            <w:tcW w:w="662" w:type="pct"/>
          </w:tcPr>
          <w:p w:rsidR="00434C5F" w:rsidRPr="00434C5F" w:rsidRDefault="00434C5F" w:rsidP="00434C5F">
            <w:pPr>
              <w:jc w:val="right"/>
            </w:pPr>
            <w:r w:rsidRPr="00434C5F">
              <w:t>2</w:t>
            </w:r>
          </w:p>
        </w:tc>
        <w:tc>
          <w:tcPr>
            <w:tcW w:w="634" w:type="pct"/>
          </w:tcPr>
          <w:p w:rsidR="00434C5F" w:rsidRPr="00434C5F" w:rsidRDefault="00434C5F" w:rsidP="00434C5F">
            <w:pPr>
              <w:jc w:val="right"/>
            </w:pPr>
            <w:r w:rsidRPr="00434C5F">
              <w:t>94,832</w:t>
            </w:r>
          </w:p>
        </w:tc>
      </w:tr>
      <w:tr w:rsidR="00434C5F" w:rsidRPr="00434C5F" w:rsidTr="0027258D">
        <w:trPr>
          <w:cantSplit/>
          <w:trHeight w:val="350"/>
        </w:trPr>
        <w:tc>
          <w:tcPr>
            <w:tcW w:w="951" w:type="pct"/>
          </w:tcPr>
          <w:p w:rsidR="00434C5F" w:rsidRPr="00434C5F" w:rsidRDefault="00434C5F" w:rsidP="00434C5F">
            <w:r w:rsidRPr="00434C5F">
              <w:lastRenderedPageBreak/>
              <w:t>Sampling Plans (Products)</w:t>
            </w:r>
          </w:p>
        </w:tc>
        <w:tc>
          <w:tcPr>
            <w:tcW w:w="947" w:type="pct"/>
          </w:tcPr>
          <w:p w:rsidR="00434C5F" w:rsidRPr="00434C5F" w:rsidRDefault="00434C5F" w:rsidP="00434C5F">
            <w:pPr>
              <w:jc w:val="right"/>
            </w:pPr>
            <w:r w:rsidRPr="00434C5F">
              <w:t>784</w:t>
            </w:r>
          </w:p>
        </w:tc>
        <w:tc>
          <w:tcPr>
            <w:tcW w:w="903" w:type="pct"/>
          </w:tcPr>
          <w:p w:rsidR="00434C5F" w:rsidRPr="00434C5F" w:rsidRDefault="00434C5F" w:rsidP="00434C5F">
            <w:pPr>
              <w:jc w:val="right"/>
            </w:pPr>
            <w:r w:rsidRPr="00434C5F">
              <w:t>1</w:t>
            </w:r>
          </w:p>
        </w:tc>
        <w:tc>
          <w:tcPr>
            <w:tcW w:w="903" w:type="pct"/>
          </w:tcPr>
          <w:p w:rsidR="00434C5F" w:rsidRPr="00434C5F" w:rsidRDefault="00434C5F" w:rsidP="00434C5F">
            <w:pPr>
              <w:jc w:val="right"/>
            </w:pPr>
            <w:r w:rsidRPr="00434C5F">
              <w:t>784</w:t>
            </w:r>
          </w:p>
        </w:tc>
        <w:tc>
          <w:tcPr>
            <w:tcW w:w="662" w:type="pct"/>
          </w:tcPr>
          <w:p w:rsidR="00434C5F" w:rsidRPr="00434C5F" w:rsidRDefault="00434C5F" w:rsidP="00434C5F">
            <w:pPr>
              <w:jc w:val="right"/>
            </w:pPr>
            <w:r w:rsidRPr="00434C5F">
              <w:t>2</w:t>
            </w:r>
          </w:p>
        </w:tc>
        <w:tc>
          <w:tcPr>
            <w:tcW w:w="634" w:type="pct"/>
          </w:tcPr>
          <w:p w:rsidR="00434C5F" w:rsidRPr="00434C5F" w:rsidRDefault="00434C5F" w:rsidP="00434C5F">
            <w:pPr>
              <w:jc w:val="right"/>
            </w:pPr>
            <w:r w:rsidRPr="00434C5F">
              <w:t>1,568</w:t>
            </w:r>
          </w:p>
        </w:tc>
      </w:tr>
      <w:tr w:rsidR="00434C5F" w:rsidRPr="00434C5F" w:rsidTr="0027258D">
        <w:trPr>
          <w:cantSplit/>
          <w:trHeight w:val="246"/>
        </w:trPr>
        <w:tc>
          <w:tcPr>
            <w:tcW w:w="4366" w:type="pct"/>
            <w:gridSpan w:val="5"/>
          </w:tcPr>
          <w:p w:rsidR="00434C5F" w:rsidRPr="00434C5F" w:rsidRDefault="00434C5F" w:rsidP="00434C5F">
            <w:r w:rsidRPr="00434C5F">
              <w:t>Total</w:t>
            </w:r>
          </w:p>
        </w:tc>
        <w:tc>
          <w:tcPr>
            <w:tcW w:w="634" w:type="pct"/>
          </w:tcPr>
          <w:p w:rsidR="00434C5F" w:rsidRPr="00434C5F" w:rsidRDefault="00434C5F" w:rsidP="00434C5F">
            <w:pPr>
              <w:jc w:val="right"/>
            </w:pPr>
            <w:r w:rsidRPr="00434C5F">
              <w:fldChar w:fldCharType="begin"/>
            </w:r>
            <w:r w:rsidRPr="00434C5F">
              <w:instrText xml:space="preserve"> =SUM(ABOVE) </w:instrText>
            </w:r>
            <w:r w:rsidRPr="00434C5F">
              <w:fldChar w:fldCharType="separate"/>
            </w:r>
            <w:r w:rsidRPr="00434C5F">
              <w:rPr>
                <w:noProof/>
              </w:rPr>
              <w:t>370,360</w:t>
            </w:r>
            <w:r w:rsidRPr="00434C5F">
              <w:fldChar w:fldCharType="end"/>
            </w:r>
          </w:p>
        </w:tc>
      </w:tr>
    </w:tbl>
    <w:p w:rsidR="00DE776B" w:rsidRPr="00DE776B" w:rsidRDefault="00DE776B" w:rsidP="00DE776B">
      <w:pPr>
        <w:rPr>
          <w:vertAlign w:val="superscript"/>
        </w:rPr>
      </w:pPr>
      <w:proofErr w:type="gramStart"/>
      <w:r>
        <w:rPr>
          <w:sz w:val="20"/>
          <w:szCs w:val="20"/>
          <w:vertAlign w:val="superscript"/>
        </w:rPr>
        <w:t>1</w:t>
      </w:r>
      <w:r w:rsidRPr="00434C5F">
        <w:rPr>
          <w:sz w:val="20"/>
          <w:szCs w:val="20"/>
          <w:vertAlign w:val="superscript"/>
        </w:rPr>
        <w:t xml:space="preserve">  </w:t>
      </w:r>
      <w:r w:rsidRPr="00434C5F">
        <w:rPr>
          <w:sz w:val="20"/>
          <w:szCs w:val="20"/>
        </w:rPr>
        <w:t>The</w:t>
      </w:r>
      <w:proofErr w:type="gramEnd"/>
      <w:r w:rsidRPr="00434C5F">
        <w:rPr>
          <w:sz w:val="20"/>
          <w:szCs w:val="20"/>
        </w:rPr>
        <w:t xml:space="preserve"> burden in the third-party disclosure chart corresponds to Table 12 “Estimated Costs Associated with Proposed Stability Testing Requirements” and Table 15 “Products with Expiration and Storage Information” in the RIA</w:t>
      </w:r>
      <w:r w:rsidRPr="00434C5F">
        <w:t>.</w:t>
      </w:r>
    </w:p>
    <w:p w:rsidR="00434C5F" w:rsidRPr="00434C5F" w:rsidRDefault="00434C5F" w:rsidP="00434C5F">
      <w:pPr>
        <w:rPr>
          <w:sz w:val="20"/>
          <w:szCs w:val="20"/>
        </w:rPr>
      </w:pPr>
    </w:p>
    <w:p w:rsidR="00434C5F" w:rsidRPr="00434C5F" w:rsidRDefault="00434C5F" w:rsidP="00434C5F">
      <w:pPr>
        <w:rPr>
          <w:sz w:val="20"/>
          <w:szCs w:val="20"/>
        </w:rPr>
      </w:pPr>
    </w:p>
    <w:p w:rsidR="00434C5F" w:rsidRPr="00434C5F" w:rsidRDefault="00434C5F" w:rsidP="0000532C">
      <w:pPr>
        <w:ind w:firstLine="720"/>
        <w:rPr>
          <w:szCs w:val="20"/>
        </w:rPr>
      </w:pPr>
      <w:r w:rsidRPr="00434C5F">
        <w:rPr>
          <w:szCs w:val="20"/>
        </w:rPr>
        <w:t xml:space="preserve">FDA’s burden estimates are based on the regulatory impact analysis, agency expertise, registration and listing data, company revenue information from Dunn &amp; Bradstreet, and comparing to other online sources in order to categorize the entities and number of products. </w:t>
      </w:r>
    </w:p>
    <w:p w:rsidR="00434C5F" w:rsidRDefault="00434C5F" w:rsidP="0000532C">
      <w:pPr>
        <w:rPr>
          <w:szCs w:val="20"/>
        </w:rPr>
      </w:pPr>
      <w:r w:rsidRPr="00434C5F">
        <w:rPr>
          <w:szCs w:val="20"/>
        </w:rPr>
        <w:t xml:space="preserve">Table 9 describes the annual reporting burden as a result of the requirements proposed in § 1132.16 submitting a notification of an alternative test method and requesting a waiver from electronic submission of such a notification.  FDA estimates that it will receive 23 notifications for alternative test methods using FDA form 3979 (Ref. 145) for a total of 460 hours.  Because some of the manufacturers may currently be conducting these reports, the RIA anticipates that there would be between 1 and 23 manufacturers affected.  For PRA purposes we have used the high estimate of 23.  </w:t>
      </w:r>
      <w:r w:rsidR="00DE776B">
        <w:rPr>
          <w:szCs w:val="20"/>
        </w:rPr>
        <w:t xml:space="preserve">Although </w:t>
      </w:r>
      <w:r w:rsidRPr="00434C5F">
        <w:rPr>
          <w:szCs w:val="20"/>
        </w:rPr>
        <w:t xml:space="preserve">FDA </w:t>
      </w:r>
      <w:r w:rsidR="00DE776B">
        <w:rPr>
          <w:szCs w:val="20"/>
        </w:rPr>
        <w:t xml:space="preserve">encourages electronic submission, FDA </w:t>
      </w:r>
      <w:r w:rsidRPr="00434C5F">
        <w:rPr>
          <w:szCs w:val="20"/>
        </w:rPr>
        <w:t>estimates that 2 respondents will submit a waiver request from electronic submission. Therefore, the total estimated reporting burden for this proposed rule is 462 hours.</w:t>
      </w:r>
    </w:p>
    <w:p w:rsidR="0000532C" w:rsidRPr="00434C5F" w:rsidRDefault="0000532C" w:rsidP="0000532C">
      <w:pPr>
        <w:rPr>
          <w:szCs w:val="20"/>
        </w:rPr>
      </w:pPr>
    </w:p>
    <w:p w:rsidR="00434C5F" w:rsidRDefault="00434C5F" w:rsidP="0000532C">
      <w:pPr>
        <w:ind w:firstLine="720"/>
        <w:rPr>
          <w:szCs w:val="20"/>
        </w:rPr>
      </w:pPr>
      <w:r w:rsidRPr="00434C5F">
        <w:rPr>
          <w:szCs w:val="20"/>
        </w:rPr>
        <w:t>Table 10 outlines the recordkeeping requirements that are proposed in §1132.32.  We note that recordkeeping time burden activities are derived from the respective models (RTI International, 2015a; RTI International, 2015a; RTI International, 2015b).  FDA estimates recordkeeping time burden related to product reformulation (change in process, ingredient change, and no change) to involve 156 formulations for total of 1,008 hours.  For recordkeeping burden related to certain labeling records, FDA estimates that after year one 1,255 affected UPC records will be kept annually for a total of 2,510 hours.</w:t>
      </w:r>
      <w:r w:rsidRPr="00434C5F">
        <w:t xml:space="preserve"> </w:t>
      </w:r>
      <w:r w:rsidRPr="00434C5F">
        <w:rPr>
          <w:szCs w:val="20"/>
        </w:rPr>
        <w:t xml:space="preserve"> The number of Universal Product Codes (UPCs) subject to these recordkeeping requirements is determined by multiplying the number of UPCs in each product category by the percent of products with expiration date information.  </w:t>
      </w:r>
    </w:p>
    <w:p w:rsidR="0000532C" w:rsidRPr="00434C5F" w:rsidRDefault="0000532C" w:rsidP="0000532C">
      <w:pPr>
        <w:ind w:firstLine="720"/>
        <w:rPr>
          <w:szCs w:val="20"/>
        </w:rPr>
      </w:pPr>
    </w:p>
    <w:p w:rsidR="00434C5F" w:rsidRDefault="00434C5F" w:rsidP="0000532C">
      <w:pPr>
        <w:ind w:firstLine="720"/>
        <w:rPr>
          <w:szCs w:val="20"/>
        </w:rPr>
      </w:pPr>
      <w:r w:rsidRPr="00434C5F">
        <w:rPr>
          <w:szCs w:val="20"/>
        </w:rPr>
        <w:t>We estimate that batch testing will be conducted for 784 products (21,952 tests per year) for a total of 87,808 hours.  Proposed §1132.32 requires records to be maintained for stability and batch tests.  FDA estimates that 23 manufacturers will maintain records related to initial stability testing, annual stability testing, and batch testing for a total of 1104 hours.  Records are also required to be maintained of procedures for nonconforming products and related investigations.  We estimate that 23 manufacturers will maintain these records for a total of 92 hours.  Proposed §1132.32 requires manufacturers to maintain all notifications of an alternative test method.  We estimate that 23 manufacturers will maintain these records for a total of 35 burden hours. Therefore, the total estimated recordkeeping hours are 92,557.</w:t>
      </w:r>
    </w:p>
    <w:p w:rsidR="0000532C" w:rsidRPr="00434C5F" w:rsidRDefault="0000532C" w:rsidP="0000532C">
      <w:pPr>
        <w:ind w:firstLine="720"/>
        <w:rPr>
          <w:szCs w:val="20"/>
        </w:rPr>
      </w:pPr>
    </w:p>
    <w:p w:rsidR="00434C5F" w:rsidRDefault="00434C5F" w:rsidP="0000532C">
      <w:pPr>
        <w:ind w:firstLine="720"/>
        <w:rPr>
          <w:szCs w:val="20"/>
        </w:rPr>
      </w:pPr>
      <w:r w:rsidRPr="00434C5F">
        <w:rPr>
          <w:szCs w:val="20"/>
        </w:rPr>
        <w:t xml:space="preserve">Table 11 represents third party disclosures (package labeling) that a respondent must display.  This table also covers the proposed stability testing that must occur for the label.  Labeling burden is estimated by using data on the number of active UPCs from Nielsen Inc., and the estimated percentage of products with expiration and storage information come from FDA Registration and Listing database (as of March 1, 2016).  To derive the number of UPCs subject to a labeling change that includes storage information, we assume that only those products that are currently refrigerated but for which we did not find evidence that the labeling exists would </w:t>
      </w:r>
      <w:r w:rsidRPr="00434C5F">
        <w:rPr>
          <w:szCs w:val="20"/>
        </w:rPr>
        <w:lastRenderedPageBreak/>
        <w:t xml:space="preserve">incur such labeling change.  Thus, we estimate that these different products that would likely be affected by labeling changes would include up to 467 UPCs (derived by assuming that each product would be associated with one unique UPC). </w:t>
      </w:r>
    </w:p>
    <w:p w:rsidR="0000532C" w:rsidRPr="00434C5F" w:rsidRDefault="0000532C" w:rsidP="0000532C">
      <w:pPr>
        <w:ind w:firstLine="720"/>
        <w:rPr>
          <w:szCs w:val="20"/>
        </w:rPr>
      </w:pPr>
    </w:p>
    <w:p w:rsidR="00434C5F" w:rsidRDefault="00434C5F" w:rsidP="0000532C">
      <w:pPr>
        <w:ind w:firstLine="720"/>
        <w:rPr>
          <w:szCs w:val="20"/>
        </w:rPr>
      </w:pPr>
      <w:r w:rsidRPr="00434C5F">
        <w:rPr>
          <w:szCs w:val="20"/>
        </w:rPr>
        <w:t>Since all products already have either an expiration date or a manufactured on date, adding an expiration date or storage conditions to labeling would be considered a minor change if product label redesign is not needed and major if product label redesign is needed.</w:t>
      </w:r>
      <w:r w:rsidRPr="00434C5F">
        <w:t xml:space="preserve">  </w:t>
      </w:r>
      <w:r w:rsidRPr="00434C5F">
        <w:rPr>
          <w:szCs w:val="20"/>
        </w:rPr>
        <w:t xml:space="preserve">FDA believes that labeling changes associated with adding storage information is assumed to be “major” to incorporate uncertainty regarding product label redesign.  We estimate that 459 affected UPCs will undergo minor labeling changes for a total of 4,590 hours.  Additionally, FDA estimates that 8 affected UPCs will undergo major labeling changes regarding storage information for a total of 184 hours. </w:t>
      </w:r>
    </w:p>
    <w:p w:rsidR="0000532C" w:rsidRPr="00434C5F" w:rsidRDefault="0000532C" w:rsidP="0000532C">
      <w:pPr>
        <w:ind w:firstLine="720"/>
        <w:rPr>
          <w:szCs w:val="20"/>
        </w:rPr>
      </w:pPr>
    </w:p>
    <w:p w:rsidR="00434C5F" w:rsidRDefault="00434C5F" w:rsidP="0000532C">
      <w:pPr>
        <w:ind w:firstLine="720"/>
        <w:rPr>
          <w:szCs w:val="20"/>
        </w:rPr>
      </w:pPr>
      <w:r w:rsidRPr="00434C5F">
        <w:rPr>
          <w:szCs w:val="20"/>
        </w:rPr>
        <w:t xml:space="preserve">Since establishing and verifying a product’s expiration date and storage conditions on a label requires actual stability testing we categorize this burden under third party disclosures.  For PRA purposes we have categorized stability testing under third party disclosures.  For example, in accordance with § 1132.30 a package label would need to have the expiration date for the product.  Prior to completing initial stability testing, the manufacturer might not know what the appropriate expiration date would be.  Since the testing will inform the label we believe it is appropriate for the burden to fall under this category.  We estimate that 784 products would undergo initial stability testing, and annual stability testing each year thereafter.  FDA estimates that in year 1 there would be 131,712 initial tests for a total of 263,424 hours.  After the first year we estimate that there would be 5,268 initial tests for a total of 10,536 hours.  After the initial testing we expect 47,416 annual tests per year for total of 94,832 hours. </w:t>
      </w:r>
    </w:p>
    <w:p w:rsidR="0000532C" w:rsidRPr="00434C5F" w:rsidRDefault="0000532C" w:rsidP="0000532C">
      <w:pPr>
        <w:ind w:firstLine="720"/>
        <w:rPr>
          <w:szCs w:val="20"/>
        </w:rPr>
      </w:pPr>
    </w:p>
    <w:p w:rsidR="00434C5F" w:rsidRDefault="00434C5F" w:rsidP="0000532C">
      <w:pPr>
        <w:ind w:firstLine="720"/>
        <w:rPr>
          <w:szCs w:val="20"/>
        </w:rPr>
      </w:pPr>
      <w:r w:rsidRPr="00434C5F">
        <w:rPr>
          <w:szCs w:val="20"/>
        </w:rPr>
        <w:t>FDA included sampling plans in the third party disclosure chart because each tobacco product manufacturer would be required to demonstrate that the finished smokeless tobacco product’s expiration date (on the label) is appropriate under the intended storage conditions, and to do so the manufacturer would conduct testing pursuant to sampling plans.  In developing a sampling plan for NNN in smokeless tobacco products a manufacturer must take into account the size of a batch, the variation of NNN in their product, the margin of error around their analytical techniques, and any other variables they can justify as pertinent to their calculation.  While the development of a sampling plan would require some data analysis and determination of assumptions, we believe that the development of a sampling plan could cover multiple products.  In addition once a sampling plan had been developed we believe that there would be significant redundancy in the development of subsequent plans which would reduce the time needed to complete them.  Ultimately we have estimated that the time for the development of a sampling plan would average 2 hours per product for a total of 1,568 hours.</w:t>
      </w:r>
      <w:r w:rsidRPr="00434C5F">
        <w:t xml:space="preserve">  </w:t>
      </w:r>
      <w:r w:rsidRPr="00434C5F">
        <w:rPr>
          <w:szCs w:val="20"/>
        </w:rPr>
        <w:t>Therefore, the total third party disclosure burden is estimated to be 370,360 hours.</w:t>
      </w:r>
    </w:p>
    <w:p w:rsidR="0000532C" w:rsidRPr="00434C5F" w:rsidRDefault="0000532C" w:rsidP="0000532C">
      <w:pPr>
        <w:ind w:firstLine="720"/>
        <w:rPr>
          <w:szCs w:val="20"/>
        </w:rPr>
      </w:pPr>
    </w:p>
    <w:p w:rsidR="00434C5F" w:rsidRPr="00434C5F" w:rsidRDefault="00434C5F" w:rsidP="0000532C">
      <w:pPr>
        <w:ind w:firstLine="720"/>
      </w:pPr>
      <w:r w:rsidRPr="00434C5F">
        <w:rPr>
          <w:szCs w:val="20"/>
        </w:rPr>
        <w:t xml:space="preserve">FDA estimates that the total burden imposed by these proposed requirements will be 463,379 hours (462 reporting, 92,557 recordkeeping, and 370,360 third party disclosures).  </w:t>
      </w:r>
    </w:p>
    <w:p w:rsidR="00434C5F" w:rsidRDefault="00434C5F" w:rsidP="0000532C">
      <w:pPr>
        <w:ind w:firstLine="720"/>
      </w:pPr>
      <w:r w:rsidRPr="00434C5F">
        <w:t>This proposed rule also refers to previously approved collections of information found in FDA regulations.  The collections of information in section 905(j) of the FD&amp;C Act (substantial equivalence reports) have been approved under OMB control number 0910-0673.</w:t>
      </w:r>
    </w:p>
    <w:p w:rsidR="0000532C" w:rsidRPr="00434C5F" w:rsidRDefault="0000532C" w:rsidP="0000532C">
      <w:pPr>
        <w:ind w:firstLine="720"/>
      </w:pPr>
    </w:p>
    <w:p w:rsidR="00A93ED9" w:rsidRDefault="00A93ED9" w:rsidP="00434C5F">
      <w:r w:rsidRPr="00C75CBF">
        <w:lastRenderedPageBreak/>
        <w:t xml:space="preserve">12b. </w:t>
      </w:r>
      <w:r w:rsidR="00411D11" w:rsidRPr="00C75CBF">
        <w:rPr>
          <w:u w:val="single"/>
        </w:rPr>
        <w:t>Annualized Cost Burden Estimate</w:t>
      </w:r>
    </w:p>
    <w:p w:rsidR="0000532C" w:rsidRDefault="0000532C" w:rsidP="001D495A">
      <w:pPr>
        <w:pStyle w:val="BodyText2"/>
        <w:ind w:left="720"/>
      </w:pPr>
    </w:p>
    <w:p w:rsidR="003740BC" w:rsidRDefault="003740BC" w:rsidP="001D495A">
      <w:pPr>
        <w:pStyle w:val="BodyText2"/>
        <w:ind w:left="720"/>
      </w:pPr>
    </w:p>
    <w:tbl>
      <w:tblPr>
        <w:tblStyle w:val="TableGrid"/>
        <w:tblW w:w="9990" w:type="dxa"/>
        <w:tblLayout w:type="fixed"/>
        <w:tblLook w:val="04A0" w:firstRow="1" w:lastRow="0" w:firstColumn="1" w:lastColumn="0" w:noHBand="0" w:noVBand="1"/>
      </w:tblPr>
      <w:tblGrid>
        <w:gridCol w:w="828"/>
        <w:gridCol w:w="2880"/>
        <w:gridCol w:w="1530"/>
        <w:gridCol w:w="1440"/>
        <w:gridCol w:w="1980"/>
        <w:gridCol w:w="1332"/>
      </w:tblGrid>
      <w:tr w:rsidR="000E73AE" w:rsidRPr="00362DB1" w:rsidTr="00E00140">
        <w:trPr>
          <w:trHeight w:val="630"/>
        </w:trPr>
        <w:tc>
          <w:tcPr>
            <w:tcW w:w="828" w:type="dxa"/>
            <w:textDirection w:val="btLr"/>
          </w:tcPr>
          <w:p w:rsidR="000E73AE" w:rsidRPr="00362DB1" w:rsidRDefault="000E73AE" w:rsidP="000E73AE">
            <w:pPr>
              <w:pStyle w:val="BodyText2"/>
              <w:ind w:left="720"/>
            </w:pPr>
          </w:p>
        </w:tc>
        <w:tc>
          <w:tcPr>
            <w:tcW w:w="2880" w:type="dxa"/>
          </w:tcPr>
          <w:p w:rsidR="000E73AE" w:rsidRPr="00362DB1" w:rsidRDefault="000E73AE" w:rsidP="004A2462">
            <w:pPr>
              <w:pStyle w:val="BodyText2"/>
            </w:pPr>
            <w:r>
              <w:t>Activity</w:t>
            </w:r>
          </w:p>
        </w:tc>
        <w:tc>
          <w:tcPr>
            <w:tcW w:w="1530" w:type="dxa"/>
            <w:noWrap/>
          </w:tcPr>
          <w:p w:rsidR="000E73AE" w:rsidRPr="00362DB1" w:rsidRDefault="000E73AE" w:rsidP="004A2462">
            <w:pPr>
              <w:pStyle w:val="BodyText2"/>
              <w:jc w:val="center"/>
            </w:pPr>
            <w:r>
              <w:t>Total Burden Hours</w:t>
            </w:r>
          </w:p>
        </w:tc>
        <w:tc>
          <w:tcPr>
            <w:tcW w:w="1440" w:type="dxa"/>
          </w:tcPr>
          <w:p w:rsidR="000E73AE" w:rsidRPr="00362DB1" w:rsidRDefault="00A557A1" w:rsidP="00A557A1">
            <w:pPr>
              <w:pStyle w:val="BodyText2"/>
            </w:pPr>
            <w:r>
              <w:t>Hourly Wage Rate</w:t>
            </w:r>
          </w:p>
        </w:tc>
        <w:tc>
          <w:tcPr>
            <w:tcW w:w="1980" w:type="dxa"/>
            <w:vAlign w:val="bottom"/>
          </w:tcPr>
          <w:p w:rsidR="000E73AE" w:rsidRDefault="00A557A1" w:rsidP="00B84698">
            <w:pPr>
              <w:pStyle w:val="BodyText2"/>
            </w:pPr>
            <w:r w:rsidRPr="00A557A1">
              <w:t>Total Respondent Costs</w:t>
            </w:r>
          </w:p>
        </w:tc>
        <w:tc>
          <w:tcPr>
            <w:tcW w:w="1332" w:type="dxa"/>
          </w:tcPr>
          <w:p w:rsidR="000E73AE" w:rsidRDefault="004A2462" w:rsidP="004A2462">
            <w:pPr>
              <w:pStyle w:val="BodyText2"/>
            </w:pPr>
            <w:r>
              <w:t>Source</w:t>
            </w:r>
            <w:r w:rsidR="00527439">
              <w:t xml:space="preserve"> </w:t>
            </w:r>
          </w:p>
          <w:p w:rsidR="00527439" w:rsidRPr="00362DB1" w:rsidRDefault="00527439" w:rsidP="004A2462">
            <w:pPr>
              <w:pStyle w:val="BodyText2"/>
            </w:pPr>
            <w:r>
              <w:t>(RIA)</w:t>
            </w:r>
          </w:p>
        </w:tc>
      </w:tr>
      <w:tr w:rsidR="000E73AE" w:rsidRPr="00362DB1" w:rsidTr="00E00140">
        <w:trPr>
          <w:trHeight w:val="630"/>
        </w:trPr>
        <w:tc>
          <w:tcPr>
            <w:tcW w:w="828" w:type="dxa"/>
            <w:vMerge w:val="restart"/>
            <w:textDirection w:val="btLr"/>
            <w:vAlign w:val="center"/>
            <w:hideMark/>
          </w:tcPr>
          <w:p w:rsidR="000E73AE" w:rsidRPr="004A2462" w:rsidRDefault="000E73AE" w:rsidP="00A557A1">
            <w:pPr>
              <w:pStyle w:val="BodyText2"/>
              <w:ind w:left="113"/>
            </w:pPr>
            <w:r w:rsidRPr="004A2462">
              <w:t>Annual Reporting</w:t>
            </w:r>
          </w:p>
          <w:p w:rsidR="000E73AE" w:rsidRPr="00362DB1" w:rsidRDefault="000E73AE" w:rsidP="00A557A1">
            <w:pPr>
              <w:pStyle w:val="BodyText2"/>
              <w:ind w:left="720"/>
            </w:pPr>
          </w:p>
        </w:tc>
        <w:tc>
          <w:tcPr>
            <w:tcW w:w="2880" w:type="dxa"/>
            <w:hideMark/>
          </w:tcPr>
          <w:p w:rsidR="000E73AE" w:rsidRPr="00362DB1" w:rsidRDefault="000E73AE" w:rsidP="00A557A1">
            <w:pPr>
              <w:pStyle w:val="BodyText2"/>
            </w:pPr>
            <w:r w:rsidRPr="00362DB1">
              <w:t>§1132.16 Alternative Test Method (FDA Form 3979)</w:t>
            </w:r>
          </w:p>
        </w:tc>
        <w:tc>
          <w:tcPr>
            <w:tcW w:w="1530" w:type="dxa"/>
            <w:noWrap/>
            <w:vAlign w:val="bottom"/>
            <w:hideMark/>
          </w:tcPr>
          <w:p w:rsidR="000E73AE" w:rsidRPr="00362DB1" w:rsidRDefault="000E73AE" w:rsidP="000E73AE">
            <w:pPr>
              <w:pStyle w:val="BodyText2"/>
            </w:pPr>
            <w:r w:rsidRPr="00362DB1">
              <w:t>460</w:t>
            </w:r>
          </w:p>
        </w:tc>
        <w:tc>
          <w:tcPr>
            <w:tcW w:w="1440" w:type="dxa"/>
            <w:vAlign w:val="bottom"/>
          </w:tcPr>
          <w:p w:rsidR="000E73AE" w:rsidRPr="00362DB1" w:rsidRDefault="00D9579D" w:rsidP="00A557A1">
            <w:pPr>
              <w:pStyle w:val="BodyText2"/>
            </w:pPr>
            <w:r>
              <w:t>73.04</w:t>
            </w:r>
          </w:p>
        </w:tc>
        <w:tc>
          <w:tcPr>
            <w:tcW w:w="1980" w:type="dxa"/>
            <w:vAlign w:val="bottom"/>
          </w:tcPr>
          <w:p w:rsidR="000E73AE" w:rsidRPr="00362DB1" w:rsidRDefault="004A2462" w:rsidP="00067E3A">
            <w:pPr>
              <w:pStyle w:val="BodyText2"/>
            </w:pPr>
            <w:r>
              <w:t>$</w:t>
            </w:r>
            <w:r w:rsidR="00D9579D">
              <w:t>33</w:t>
            </w:r>
            <w:r w:rsidR="000E73AE" w:rsidRPr="00362DB1">
              <w:t>,</w:t>
            </w:r>
            <w:r w:rsidR="00D9579D">
              <w:t>598</w:t>
            </w:r>
          </w:p>
        </w:tc>
        <w:tc>
          <w:tcPr>
            <w:tcW w:w="1332" w:type="dxa"/>
            <w:vMerge w:val="restart"/>
            <w:textDirection w:val="btLr"/>
            <w:hideMark/>
          </w:tcPr>
          <w:p w:rsidR="000E73AE" w:rsidRDefault="000E73AE" w:rsidP="004A2462">
            <w:pPr>
              <w:pStyle w:val="BodyText2"/>
              <w:ind w:left="113"/>
            </w:pPr>
            <w:r w:rsidRPr="00362DB1">
              <w:t>Table 24</w:t>
            </w:r>
          </w:p>
          <w:p w:rsidR="00E00140" w:rsidRPr="00362DB1" w:rsidRDefault="00E00140" w:rsidP="004A2462">
            <w:pPr>
              <w:pStyle w:val="BodyText2"/>
              <w:ind w:left="113"/>
            </w:pPr>
            <w:r w:rsidRPr="00E00140">
              <w:t>Alternative Testing Methods</w:t>
            </w:r>
          </w:p>
        </w:tc>
      </w:tr>
      <w:tr w:rsidR="000E73AE" w:rsidRPr="00362DB1" w:rsidTr="00407C1A">
        <w:trPr>
          <w:trHeight w:val="701"/>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§1132.16 Waiver from Electronic Submission</w:t>
            </w:r>
          </w:p>
        </w:tc>
        <w:tc>
          <w:tcPr>
            <w:tcW w:w="1530" w:type="dxa"/>
            <w:noWrap/>
            <w:vAlign w:val="bottom"/>
            <w:hideMark/>
          </w:tcPr>
          <w:p w:rsidR="000E73AE" w:rsidRPr="00362DB1" w:rsidRDefault="000E73AE" w:rsidP="000E73AE">
            <w:pPr>
              <w:pStyle w:val="BodyText2"/>
            </w:pPr>
            <w:r w:rsidRPr="00362DB1">
              <w:t>2</w:t>
            </w:r>
          </w:p>
        </w:tc>
        <w:tc>
          <w:tcPr>
            <w:tcW w:w="1440" w:type="dxa"/>
            <w:vAlign w:val="bottom"/>
          </w:tcPr>
          <w:p w:rsidR="000E73AE" w:rsidRPr="00362DB1" w:rsidRDefault="00D9579D" w:rsidP="00A557A1">
            <w:pPr>
              <w:pStyle w:val="BodyText2"/>
            </w:pPr>
            <w:r>
              <w:t>73.04</w:t>
            </w:r>
          </w:p>
        </w:tc>
        <w:tc>
          <w:tcPr>
            <w:tcW w:w="1980" w:type="dxa"/>
            <w:vAlign w:val="bottom"/>
          </w:tcPr>
          <w:p w:rsidR="000E73AE" w:rsidRPr="00362DB1" w:rsidRDefault="004A2462" w:rsidP="00067E3A">
            <w:pPr>
              <w:pStyle w:val="BodyText2"/>
            </w:pPr>
            <w:r>
              <w:t>$</w:t>
            </w:r>
            <w:r w:rsidR="00D9579D">
              <w:t>146</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val="restart"/>
            <w:noWrap/>
            <w:textDirection w:val="btLr"/>
            <w:hideMark/>
          </w:tcPr>
          <w:p w:rsidR="000E73AE" w:rsidRPr="00362DB1" w:rsidRDefault="000E73AE" w:rsidP="00362DB1">
            <w:pPr>
              <w:pStyle w:val="BodyText2"/>
              <w:ind w:left="720"/>
            </w:pPr>
            <w:r w:rsidRPr="00362DB1">
              <w:t>Annual Recordkeeping</w:t>
            </w:r>
          </w:p>
        </w:tc>
        <w:tc>
          <w:tcPr>
            <w:tcW w:w="2880" w:type="dxa"/>
            <w:hideMark/>
          </w:tcPr>
          <w:p w:rsidR="000E73AE" w:rsidRPr="00362DB1" w:rsidRDefault="000E73AE" w:rsidP="00A557A1">
            <w:pPr>
              <w:pStyle w:val="BodyText2"/>
            </w:pPr>
            <w:r w:rsidRPr="00362DB1">
              <w:t>Change in process (Formulations)</w:t>
            </w:r>
          </w:p>
        </w:tc>
        <w:tc>
          <w:tcPr>
            <w:tcW w:w="1530" w:type="dxa"/>
            <w:vAlign w:val="bottom"/>
            <w:hideMark/>
          </w:tcPr>
          <w:p w:rsidR="000E73AE" w:rsidRPr="00362DB1" w:rsidRDefault="000E73AE" w:rsidP="000E73AE">
            <w:pPr>
              <w:pStyle w:val="BodyText2"/>
            </w:pPr>
            <w:r w:rsidRPr="00362DB1">
              <w:t>544</w:t>
            </w:r>
          </w:p>
        </w:tc>
        <w:tc>
          <w:tcPr>
            <w:tcW w:w="1440" w:type="dxa"/>
            <w:vAlign w:val="bottom"/>
          </w:tcPr>
          <w:p w:rsidR="000E73AE" w:rsidRPr="00362DB1" w:rsidRDefault="00EA787E" w:rsidP="00A557A1">
            <w:pPr>
              <w:pStyle w:val="BodyText2"/>
            </w:pPr>
            <w:r>
              <w:t>8</w:t>
            </w:r>
            <w:r w:rsidR="000E73AE" w:rsidRPr="00362DB1">
              <w:t>0</w:t>
            </w:r>
          </w:p>
        </w:tc>
        <w:tc>
          <w:tcPr>
            <w:tcW w:w="1980" w:type="dxa"/>
            <w:vAlign w:val="bottom"/>
          </w:tcPr>
          <w:p w:rsidR="000E73AE" w:rsidRPr="00362DB1" w:rsidRDefault="004A2462" w:rsidP="00067E3A">
            <w:pPr>
              <w:pStyle w:val="BodyText2"/>
            </w:pPr>
            <w:r>
              <w:t>$</w:t>
            </w:r>
            <w:r w:rsidR="00EA787E">
              <w:t>43,520</w:t>
            </w:r>
            <w:r w:rsidR="000E73AE" w:rsidRPr="00362DB1">
              <w:t xml:space="preserve"> </w:t>
            </w:r>
          </w:p>
        </w:tc>
        <w:tc>
          <w:tcPr>
            <w:tcW w:w="1332" w:type="dxa"/>
            <w:vMerge w:val="restart"/>
            <w:textDirection w:val="btLr"/>
            <w:hideMark/>
          </w:tcPr>
          <w:p w:rsidR="000E73AE" w:rsidRPr="00362DB1" w:rsidRDefault="000E73AE" w:rsidP="004A2462">
            <w:pPr>
              <w:pStyle w:val="BodyText2"/>
              <w:ind w:left="113"/>
            </w:pPr>
            <w:r w:rsidRPr="00362DB1">
              <w:t>CFSAN Reformulation Cost Model</w:t>
            </w: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Ingredient change (Formulations)</w:t>
            </w:r>
          </w:p>
        </w:tc>
        <w:tc>
          <w:tcPr>
            <w:tcW w:w="1530" w:type="dxa"/>
            <w:vAlign w:val="bottom"/>
            <w:hideMark/>
          </w:tcPr>
          <w:p w:rsidR="000E73AE" w:rsidRPr="00362DB1" w:rsidRDefault="000E73AE" w:rsidP="000E73AE">
            <w:pPr>
              <w:pStyle w:val="BodyText2"/>
            </w:pPr>
            <w:r w:rsidRPr="00362DB1">
              <w:t>224</w:t>
            </w:r>
          </w:p>
        </w:tc>
        <w:tc>
          <w:tcPr>
            <w:tcW w:w="1440" w:type="dxa"/>
            <w:vAlign w:val="bottom"/>
          </w:tcPr>
          <w:p w:rsidR="000E73AE" w:rsidRPr="00362DB1" w:rsidRDefault="00EA787E" w:rsidP="00A557A1">
            <w:pPr>
              <w:pStyle w:val="BodyText2"/>
            </w:pPr>
            <w:r>
              <w:t>8</w:t>
            </w:r>
            <w:r w:rsidR="000E73AE" w:rsidRPr="00362DB1">
              <w:t>0</w:t>
            </w:r>
          </w:p>
        </w:tc>
        <w:tc>
          <w:tcPr>
            <w:tcW w:w="1980" w:type="dxa"/>
            <w:vAlign w:val="bottom"/>
          </w:tcPr>
          <w:p w:rsidR="000E73AE" w:rsidRPr="00362DB1" w:rsidRDefault="004A2462" w:rsidP="00067E3A">
            <w:pPr>
              <w:pStyle w:val="BodyText2"/>
            </w:pPr>
            <w:r>
              <w:t>$</w:t>
            </w:r>
            <w:r w:rsidR="00EA787E">
              <w:t>17,92</w:t>
            </w:r>
            <w:r w:rsidR="000E73AE" w:rsidRPr="00362DB1">
              <w:t xml:space="preserve">0 </w:t>
            </w:r>
          </w:p>
        </w:tc>
        <w:tc>
          <w:tcPr>
            <w:tcW w:w="1332" w:type="dxa"/>
            <w:vMerge/>
            <w:hideMark/>
          </w:tcPr>
          <w:p w:rsidR="000E73AE" w:rsidRPr="00362DB1" w:rsidRDefault="000E73AE" w:rsidP="00362DB1">
            <w:pPr>
              <w:pStyle w:val="BodyText2"/>
              <w:ind w:left="720"/>
            </w:pPr>
          </w:p>
        </w:tc>
      </w:tr>
      <w:tr w:rsidR="000E73AE" w:rsidRPr="00362DB1" w:rsidTr="00E00140">
        <w:trPr>
          <w:trHeight w:val="330"/>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No change (Formulations)</w:t>
            </w:r>
          </w:p>
        </w:tc>
        <w:tc>
          <w:tcPr>
            <w:tcW w:w="1530" w:type="dxa"/>
            <w:vAlign w:val="bottom"/>
            <w:hideMark/>
          </w:tcPr>
          <w:p w:rsidR="000E73AE" w:rsidRPr="00362DB1" w:rsidRDefault="000E73AE" w:rsidP="000E73AE">
            <w:pPr>
              <w:pStyle w:val="BodyText2"/>
            </w:pPr>
            <w:r w:rsidRPr="00362DB1">
              <w:t>240</w:t>
            </w:r>
          </w:p>
        </w:tc>
        <w:tc>
          <w:tcPr>
            <w:tcW w:w="1440" w:type="dxa"/>
            <w:vAlign w:val="bottom"/>
          </w:tcPr>
          <w:p w:rsidR="000E73AE" w:rsidRPr="00362DB1" w:rsidRDefault="00EA787E" w:rsidP="00A557A1">
            <w:pPr>
              <w:pStyle w:val="BodyText2"/>
            </w:pPr>
            <w:r>
              <w:t>8</w:t>
            </w:r>
            <w:r w:rsidR="000E73AE" w:rsidRPr="00362DB1">
              <w:t>0</w:t>
            </w:r>
          </w:p>
        </w:tc>
        <w:tc>
          <w:tcPr>
            <w:tcW w:w="1980" w:type="dxa"/>
            <w:vAlign w:val="bottom"/>
          </w:tcPr>
          <w:p w:rsidR="000E73AE" w:rsidRPr="00362DB1" w:rsidRDefault="004A2462" w:rsidP="00067E3A">
            <w:pPr>
              <w:pStyle w:val="BodyText2"/>
            </w:pPr>
            <w:r>
              <w:t>$</w:t>
            </w:r>
            <w:r w:rsidR="00EA787E">
              <w:t>19,2</w:t>
            </w:r>
            <w:r w:rsidR="000E73AE" w:rsidRPr="00362DB1">
              <w:t xml:space="preserve">00 </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Labeling records, annual after year 1 (UPCs)</w:t>
            </w:r>
          </w:p>
        </w:tc>
        <w:tc>
          <w:tcPr>
            <w:tcW w:w="1530" w:type="dxa"/>
            <w:vAlign w:val="bottom"/>
            <w:hideMark/>
          </w:tcPr>
          <w:p w:rsidR="000E73AE" w:rsidRPr="00362DB1" w:rsidRDefault="000E73AE" w:rsidP="000E73AE">
            <w:pPr>
              <w:pStyle w:val="BodyText2"/>
            </w:pPr>
            <w:r w:rsidRPr="00362DB1">
              <w:t>2,510</w:t>
            </w:r>
          </w:p>
        </w:tc>
        <w:tc>
          <w:tcPr>
            <w:tcW w:w="1440" w:type="dxa"/>
            <w:vAlign w:val="bottom"/>
          </w:tcPr>
          <w:p w:rsidR="000E73AE" w:rsidRPr="00362DB1" w:rsidRDefault="0035273C" w:rsidP="00A557A1">
            <w:pPr>
              <w:pStyle w:val="BodyText2"/>
            </w:pPr>
            <w:r>
              <w:t>77.84</w:t>
            </w:r>
          </w:p>
        </w:tc>
        <w:tc>
          <w:tcPr>
            <w:tcW w:w="1980" w:type="dxa"/>
            <w:vAlign w:val="bottom"/>
          </w:tcPr>
          <w:p w:rsidR="000E73AE" w:rsidRPr="00362DB1" w:rsidRDefault="004A2462" w:rsidP="00067E3A">
            <w:pPr>
              <w:pStyle w:val="BodyText2"/>
            </w:pPr>
            <w:r>
              <w:t>$</w:t>
            </w:r>
            <w:r w:rsidR="00EA787E">
              <w:t>195,378</w:t>
            </w:r>
            <w:r w:rsidR="000E73AE" w:rsidRPr="00362DB1">
              <w:t xml:space="preserve"> </w:t>
            </w:r>
          </w:p>
        </w:tc>
        <w:tc>
          <w:tcPr>
            <w:tcW w:w="1332" w:type="dxa"/>
            <w:vMerge w:val="restart"/>
            <w:textDirection w:val="btLr"/>
            <w:hideMark/>
          </w:tcPr>
          <w:p w:rsidR="000E73AE" w:rsidRDefault="000E73AE" w:rsidP="00E00140">
            <w:pPr>
              <w:pStyle w:val="BodyText2"/>
              <w:ind w:left="720"/>
              <w:jc w:val="center"/>
            </w:pPr>
            <w:r w:rsidRPr="00362DB1">
              <w:t>Table 25</w:t>
            </w:r>
          </w:p>
          <w:p w:rsidR="00E00140" w:rsidRPr="00362DB1" w:rsidRDefault="00E00140" w:rsidP="00E00140">
            <w:pPr>
              <w:pStyle w:val="BodyText2"/>
              <w:ind w:left="720"/>
              <w:jc w:val="center"/>
            </w:pPr>
            <w:r w:rsidRPr="00E00140">
              <w:t>Recordkeeping Costs</w:t>
            </w: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Initial Stability Testing records (Manufacturers)</w:t>
            </w:r>
          </w:p>
        </w:tc>
        <w:tc>
          <w:tcPr>
            <w:tcW w:w="1530" w:type="dxa"/>
            <w:vAlign w:val="bottom"/>
            <w:hideMark/>
          </w:tcPr>
          <w:p w:rsidR="000E73AE" w:rsidRPr="00362DB1" w:rsidRDefault="000E73AE" w:rsidP="000E73AE">
            <w:pPr>
              <w:pStyle w:val="BodyText2"/>
            </w:pPr>
            <w:r w:rsidRPr="00362DB1">
              <w:t>736</w:t>
            </w:r>
          </w:p>
        </w:tc>
        <w:tc>
          <w:tcPr>
            <w:tcW w:w="1440" w:type="dxa"/>
            <w:vAlign w:val="bottom"/>
          </w:tcPr>
          <w:p w:rsidR="000E73AE" w:rsidRPr="00362DB1" w:rsidRDefault="0035273C" w:rsidP="00A557A1">
            <w:pPr>
              <w:pStyle w:val="BodyText2"/>
            </w:pPr>
            <w:r>
              <w:t>77.84</w:t>
            </w:r>
          </w:p>
        </w:tc>
        <w:tc>
          <w:tcPr>
            <w:tcW w:w="1980" w:type="dxa"/>
            <w:vAlign w:val="bottom"/>
          </w:tcPr>
          <w:p w:rsidR="000E73AE" w:rsidRPr="00362DB1" w:rsidRDefault="004A2462" w:rsidP="00067E3A">
            <w:pPr>
              <w:pStyle w:val="BodyText2"/>
            </w:pPr>
            <w:r>
              <w:t>$</w:t>
            </w:r>
            <w:r w:rsidR="00EA787E">
              <w:t>57</w:t>
            </w:r>
            <w:r w:rsidR="000E73AE" w:rsidRPr="00362DB1">
              <w:t>,</w:t>
            </w:r>
            <w:r w:rsidR="00EA787E">
              <w:t>290</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A557A1">
            <w:pPr>
              <w:pStyle w:val="BodyText2"/>
            </w:pPr>
            <w:r w:rsidRPr="00362DB1">
              <w:t>Annual Stability Testing records (Manufacturers)</w:t>
            </w:r>
          </w:p>
        </w:tc>
        <w:tc>
          <w:tcPr>
            <w:tcW w:w="1530" w:type="dxa"/>
            <w:vAlign w:val="bottom"/>
            <w:hideMark/>
          </w:tcPr>
          <w:p w:rsidR="000E73AE" w:rsidRPr="00362DB1" w:rsidRDefault="000E73AE" w:rsidP="000E73AE">
            <w:pPr>
              <w:pStyle w:val="BodyText2"/>
            </w:pPr>
            <w:r w:rsidRPr="00362DB1">
              <w:t>276</w:t>
            </w:r>
          </w:p>
        </w:tc>
        <w:tc>
          <w:tcPr>
            <w:tcW w:w="1440" w:type="dxa"/>
            <w:vAlign w:val="bottom"/>
          </w:tcPr>
          <w:p w:rsidR="000E73AE" w:rsidRPr="00362DB1" w:rsidRDefault="0035273C" w:rsidP="00A557A1">
            <w:pPr>
              <w:pStyle w:val="BodyText2"/>
            </w:pPr>
            <w:r>
              <w:t>77.84</w:t>
            </w:r>
          </w:p>
        </w:tc>
        <w:tc>
          <w:tcPr>
            <w:tcW w:w="1980" w:type="dxa"/>
            <w:vAlign w:val="bottom"/>
          </w:tcPr>
          <w:p w:rsidR="000E73AE" w:rsidRPr="00362DB1" w:rsidRDefault="004A2462" w:rsidP="00067E3A">
            <w:pPr>
              <w:pStyle w:val="BodyText2"/>
            </w:pPr>
            <w:r>
              <w:t>$</w:t>
            </w:r>
            <w:r w:rsidR="00EA787E">
              <w:t>21</w:t>
            </w:r>
            <w:r w:rsidR="000E73AE" w:rsidRPr="00362DB1">
              <w:t>,</w:t>
            </w:r>
            <w:r w:rsidR="00EA787E">
              <w:t>484</w:t>
            </w:r>
          </w:p>
        </w:tc>
        <w:tc>
          <w:tcPr>
            <w:tcW w:w="1332" w:type="dxa"/>
            <w:vMerge/>
            <w:hideMark/>
          </w:tcPr>
          <w:p w:rsidR="000E73AE" w:rsidRPr="00362DB1" w:rsidRDefault="000E73AE" w:rsidP="00362DB1">
            <w:pPr>
              <w:pStyle w:val="BodyText2"/>
              <w:ind w:left="720"/>
            </w:pPr>
          </w:p>
        </w:tc>
      </w:tr>
      <w:tr w:rsidR="000E73AE" w:rsidRPr="00362DB1" w:rsidTr="00E00140">
        <w:trPr>
          <w:trHeight w:val="330"/>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Batch Testing (products)</w:t>
            </w:r>
          </w:p>
        </w:tc>
        <w:tc>
          <w:tcPr>
            <w:tcW w:w="1530" w:type="dxa"/>
            <w:vAlign w:val="bottom"/>
            <w:hideMark/>
          </w:tcPr>
          <w:p w:rsidR="000E73AE" w:rsidRPr="00362DB1" w:rsidRDefault="000E73AE" w:rsidP="000E73AE">
            <w:pPr>
              <w:pStyle w:val="BodyText2"/>
            </w:pPr>
            <w:r w:rsidRPr="00362DB1">
              <w:t>87,808</w:t>
            </w:r>
          </w:p>
        </w:tc>
        <w:tc>
          <w:tcPr>
            <w:tcW w:w="1440" w:type="dxa"/>
            <w:vAlign w:val="bottom"/>
          </w:tcPr>
          <w:p w:rsidR="000E73AE" w:rsidRPr="00362DB1" w:rsidRDefault="0035273C" w:rsidP="00A557A1">
            <w:pPr>
              <w:pStyle w:val="BodyText2"/>
            </w:pPr>
            <w:r w:rsidRPr="0035273C">
              <w:t>77.84</w:t>
            </w:r>
          </w:p>
        </w:tc>
        <w:tc>
          <w:tcPr>
            <w:tcW w:w="1980" w:type="dxa"/>
            <w:vAlign w:val="bottom"/>
          </w:tcPr>
          <w:p w:rsidR="000E73AE" w:rsidRPr="00362DB1" w:rsidRDefault="004A2462" w:rsidP="00067E3A">
            <w:pPr>
              <w:pStyle w:val="BodyText2"/>
            </w:pPr>
            <w:r>
              <w:t>$</w:t>
            </w:r>
            <w:r w:rsidR="00EA787E">
              <w:t>6,834</w:t>
            </w:r>
            <w:r w:rsidR="000E73AE" w:rsidRPr="00362DB1">
              <w:t>,</w:t>
            </w:r>
            <w:r w:rsidR="00EA787E">
              <w:t>975</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Batch Testing Records (Manufacturers)</w:t>
            </w:r>
          </w:p>
        </w:tc>
        <w:tc>
          <w:tcPr>
            <w:tcW w:w="1530" w:type="dxa"/>
            <w:vAlign w:val="bottom"/>
            <w:hideMark/>
          </w:tcPr>
          <w:p w:rsidR="000E73AE" w:rsidRPr="00362DB1" w:rsidRDefault="000E73AE" w:rsidP="000E73AE">
            <w:pPr>
              <w:pStyle w:val="BodyText2"/>
            </w:pPr>
            <w:r w:rsidRPr="00362DB1">
              <w:t>92</w:t>
            </w:r>
          </w:p>
        </w:tc>
        <w:tc>
          <w:tcPr>
            <w:tcW w:w="1440" w:type="dxa"/>
            <w:vAlign w:val="bottom"/>
          </w:tcPr>
          <w:p w:rsidR="000E73AE" w:rsidRPr="00362DB1" w:rsidRDefault="0035273C" w:rsidP="00A557A1">
            <w:pPr>
              <w:pStyle w:val="BodyText2"/>
            </w:pPr>
            <w:r w:rsidRPr="0035273C">
              <w:t>77.84</w:t>
            </w:r>
          </w:p>
        </w:tc>
        <w:tc>
          <w:tcPr>
            <w:tcW w:w="1980" w:type="dxa"/>
            <w:vAlign w:val="bottom"/>
          </w:tcPr>
          <w:p w:rsidR="000E73AE" w:rsidRPr="00362DB1" w:rsidRDefault="004A2462" w:rsidP="0035273C">
            <w:pPr>
              <w:pStyle w:val="BodyText2"/>
            </w:pPr>
            <w:r>
              <w:t>$</w:t>
            </w:r>
            <w:r w:rsidR="0035273C">
              <w:t>7,161</w:t>
            </w:r>
            <w:r w:rsidR="000E73AE" w:rsidRPr="00362DB1">
              <w:t xml:space="preserve"> </w:t>
            </w:r>
          </w:p>
        </w:tc>
        <w:tc>
          <w:tcPr>
            <w:tcW w:w="1332" w:type="dxa"/>
            <w:vMerge/>
            <w:hideMark/>
          </w:tcPr>
          <w:p w:rsidR="000E73AE" w:rsidRPr="00362DB1" w:rsidRDefault="000E73AE" w:rsidP="00362DB1">
            <w:pPr>
              <w:pStyle w:val="BodyText2"/>
              <w:ind w:left="720"/>
            </w:pPr>
          </w:p>
        </w:tc>
      </w:tr>
      <w:tr w:rsidR="000E73AE" w:rsidRPr="00362DB1" w:rsidTr="00E00140">
        <w:trPr>
          <w:trHeight w:val="960"/>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Procedures for nonconforming products and related investigations (Manufacturers)</w:t>
            </w:r>
          </w:p>
        </w:tc>
        <w:tc>
          <w:tcPr>
            <w:tcW w:w="1530" w:type="dxa"/>
            <w:vAlign w:val="bottom"/>
            <w:hideMark/>
          </w:tcPr>
          <w:p w:rsidR="000E73AE" w:rsidRPr="00362DB1" w:rsidRDefault="000E73AE" w:rsidP="000E73AE">
            <w:pPr>
              <w:pStyle w:val="BodyText2"/>
            </w:pPr>
            <w:r w:rsidRPr="00362DB1">
              <w:t>92</w:t>
            </w:r>
          </w:p>
        </w:tc>
        <w:tc>
          <w:tcPr>
            <w:tcW w:w="1440" w:type="dxa"/>
            <w:vAlign w:val="bottom"/>
          </w:tcPr>
          <w:p w:rsidR="000E73AE" w:rsidRPr="00362DB1" w:rsidRDefault="0035273C" w:rsidP="00A557A1">
            <w:pPr>
              <w:pStyle w:val="BodyText2"/>
            </w:pPr>
            <w:r w:rsidRPr="0035273C">
              <w:t>77.84</w:t>
            </w:r>
          </w:p>
        </w:tc>
        <w:tc>
          <w:tcPr>
            <w:tcW w:w="1980" w:type="dxa"/>
            <w:vAlign w:val="bottom"/>
          </w:tcPr>
          <w:p w:rsidR="000E73AE" w:rsidRPr="00362DB1" w:rsidRDefault="004A2462" w:rsidP="0035273C">
            <w:pPr>
              <w:pStyle w:val="BodyText2"/>
            </w:pPr>
            <w:r>
              <w:t>$</w:t>
            </w:r>
            <w:r w:rsidR="0035273C">
              <w:t>7,161</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Notifications, alternate testing methods (Manufacturers)</w:t>
            </w:r>
          </w:p>
        </w:tc>
        <w:tc>
          <w:tcPr>
            <w:tcW w:w="1530" w:type="dxa"/>
            <w:vAlign w:val="bottom"/>
            <w:hideMark/>
          </w:tcPr>
          <w:p w:rsidR="000E73AE" w:rsidRPr="00362DB1" w:rsidRDefault="000E73AE" w:rsidP="000E73AE">
            <w:pPr>
              <w:pStyle w:val="BodyText2"/>
            </w:pPr>
            <w:r w:rsidRPr="00362DB1">
              <w:t>35</w:t>
            </w:r>
          </w:p>
        </w:tc>
        <w:tc>
          <w:tcPr>
            <w:tcW w:w="1440" w:type="dxa"/>
            <w:vAlign w:val="bottom"/>
          </w:tcPr>
          <w:p w:rsidR="000E73AE" w:rsidRPr="00362DB1" w:rsidRDefault="0035273C" w:rsidP="00A557A1">
            <w:pPr>
              <w:pStyle w:val="BodyText2"/>
            </w:pPr>
            <w:r w:rsidRPr="0035273C">
              <w:t>77.84</w:t>
            </w:r>
          </w:p>
        </w:tc>
        <w:tc>
          <w:tcPr>
            <w:tcW w:w="1980" w:type="dxa"/>
            <w:vAlign w:val="bottom"/>
          </w:tcPr>
          <w:p w:rsidR="000E73AE" w:rsidRPr="00362DB1" w:rsidRDefault="004A2462" w:rsidP="00067E3A">
            <w:pPr>
              <w:pStyle w:val="BodyText2"/>
            </w:pPr>
            <w:r>
              <w:t>$</w:t>
            </w:r>
            <w:r w:rsidR="0035273C">
              <w:t>2,724</w:t>
            </w:r>
            <w:r w:rsidR="000E73AE" w:rsidRPr="00362DB1">
              <w:t xml:space="preserve"> </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val="restart"/>
            <w:noWrap/>
            <w:textDirection w:val="btLr"/>
            <w:hideMark/>
          </w:tcPr>
          <w:p w:rsidR="000E73AE" w:rsidRPr="004A2462" w:rsidRDefault="000E73AE" w:rsidP="00362DB1">
            <w:pPr>
              <w:pStyle w:val="BodyText2"/>
              <w:ind w:left="720"/>
              <w:rPr>
                <w:rFonts w:asciiTheme="majorBidi" w:hAnsiTheme="majorBidi" w:cstheme="majorBidi"/>
              </w:rPr>
            </w:pPr>
            <w:r w:rsidRPr="004A2462">
              <w:rPr>
                <w:rFonts w:asciiTheme="majorBidi" w:hAnsiTheme="majorBidi" w:cstheme="majorBidi"/>
              </w:rPr>
              <w:t>Third Party Disclosure</w:t>
            </w:r>
          </w:p>
        </w:tc>
        <w:tc>
          <w:tcPr>
            <w:tcW w:w="2880" w:type="dxa"/>
            <w:hideMark/>
          </w:tcPr>
          <w:p w:rsidR="000E73AE" w:rsidRPr="00362DB1" w:rsidRDefault="000E73AE" w:rsidP="004A2462">
            <w:pPr>
              <w:pStyle w:val="BodyText2"/>
            </w:pPr>
            <w:r w:rsidRPr="00362DB1">
              <w:t>Package Labeling Change Minor (UPCs)</w:t>
            </w:r>
          </w:p>
        </w:tc>
        <w:tc>
          <w:tcPr>
            <w:tcW w:w="1530" w:type="dxa"/>
            <w:vAlign w:val="bottom"/>
            <w:hideMark/>
          </w:tcPr>
          <w:p w:rsidR="000E73AE" w:rsidRPr="00362DB1" w:rsidRDefault="000E73AE" w:rsidP="000E73AE">
            <w:pPr>
              <w:pStyle w:val="BodyText2"/>
            </w:pPr>
            <w:r w:rsidRPr="00362DB1">
              <w:t>4,590</w:t>
            </w:r>
          </w:p>
        </w:tc>
        <w:tc>
          <w:tcPr>
            <w:tcW w:w="1440" w:type="dxa"/>
            <w:vAlign w:val="bottom"/>
          </w:tcPr>
          <w:p w:rsidR="000E73AE" w:rsidRPr="00362DB1" w:rsidRDefault="00407C1A" w:rsidP="00A557A1">
            <w:pPr>
              <w:pStyle w:val="BodyText2"/>
            </w:pPr>
            <w:r>
              <w:t>80</w:t>
            </w:r>
          </w:p>
        </w:tc>
        <w:tc>
          <w:tcPr>
            <w:tcW w:w="1980" w:type="dxa"/>
            <w:vAlign w:val="bottom"/>
          </w:tcPr>
          <w:p w:rsidR="000E73AE" w:rsidRPr="00362DB1" w:rsidRDefault="004A2462" w:rsidP="00407C1A">
            <w:pPr>
              <w:pStyle w:val="BodyText2"/>
            </w:pPr>
            <w:r>
              <w:t>$</w:t>
            </w:r>
            <w:r w:rsidR="00407C1A">
              <w:t>367,2</w:t>
            </w:r>
            <w:r w:rsidR="000E73AE" w:rsidRPr="00362DB1">
              <w:t xml:space="preserve">00 </w:t>
            </w:r>
          </w:p>
        </w:tc>
        <w:tc>
          <w:tcPr>
            <w:tcW w:w="1332" w:type="dxa"/>
            <w:vMerge w:val="restart"/>
            <w:textDirection w:val="btLr"/>
            <w:hideMark/>
          </w:tcPr>
          <w:p w:rsidR="000E73AE" w:rsidRPr="00362DB1" w:rsidRDefault="000E73AE" w:rsidP="004A2462">
            <w:pPr>
              <w:pStyle w:val="BodyText2"/>
              <w:ind w:left="113"/>
            </w:pPr>
            <w:r w:rsidRPr="00362DB1">
              <w:t>FDA Labeling Cost Model</w:t>
            </w:r>
          </w:p>
        </w:tc>
      </w:tr>
      <w:tr w:rsidR="000E73AE" w:rsidRPr="00362DB1" w:rsidTr="00E00140">
        <w:trPr>
          <w:trHeight w:val="1079"/>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Package Labeling Change Major  (UPCs)</w:t>
            </w:r>
          </w:p>
        </w:tc>
        <w:tc>
          <w:tcPr>
            <w:tcW w:w="1530" w:type="dxa"/>
            <w:vAlign w:val="bottom"/>
            <w:hideMark/>
          </w:tcPr>
          <w:p w:rsidR="000E73AE" w:rsidRPr="00362DB1" w:rsidRDefault="000E73AE" w:rsidP="000E73AE">
            <w:pPr>
              <w:pStyle w:val="BodyText2"/>
            </w:pPr>
            <w:r w:rsidRPr="00362DB1">
              <w:t>184</w:t>
            </w:r>
          </w:p>
        </w:tc>
        <w:tc>
          <w:tcPr>
            <w:tcW w:w="1440" w:type="dxa"/>
            <w:vAlign w:val="bottom"/>
          </w:tcPr>
          <w:p w:rsidR="000E73AE" w:rsidRPr="00362DB1" w:rsidRDefault="00407C1A" w:rsidP="00A557A1">
            <w:pPr>
              <w:pStyle w:val="BodyText2"/>
            </w:pPr>
            <w:r>
              <w:t>8</w:t>
            </w:r>
            <w:r w:rsidR="000E73AE" w:rsidRPr="00362DB1">
              <w:t>0</w:t>
            </w:r>
          </w:p>
        </w:tc>
        <w:tc>
          <w:tcPr>
            <w:tcW w:w="1980" w:type="dxa"/>
            <w:vAlign w:val="bottom"/>
          </w:tcPr>
          <w:p w:rsidR="000E73AE" w:rsidRPr="00362DB1" w:rsidRDefault="004A2462" w:rsidP="00407C1A">
            <w:pPr>
              <w:pStyle w:val="BodyText2"/>
            </w:pPr>
            <w:r>
              <w:t>$</w:t>
            </w:r>
            <w:r w:rsidR="00407C1A">
              <w:t>14</w:t>
            </w:r>
            <w:r w:rsidR="000E73AE" w:rsidRPr="00362DB1">
              <w:t>,</w:t>
            </w:r>
            <w:r w:rsidR="00407C1A">
              <w:t>720</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Initial Stability Testing (one time) (Products)</w:t>
            </w:r>
          </w:p>
        </w:tc>
        <w:tc>
          <w:tcPr>
            <w:tcW w:w="1530" w:type="dxa"/>
            <w:vAlign w:val="bottom"/>
            <w:hideMark/>
          </w:tcPr>
          <w:p w:rsidR="000E73AE" w:rsidRPr="00362DB1" w:rsidRDefault="000E73AE" w:rsidP="000E73AE">
            <w:pPr>
              <w:pStyle w:val="BodyText2"/>
            </w:pPr>
            <w:r w:rsidRPr="00362DB1">
              <w:t>263,424</w:t>
            </w:r>
          </w:p>
        </w:tc>
        <w:tc>
          <w:tcPr>
            <w:tcW w:w="1440" w:type="dxa"/>
            <w:vAlign w:val="bottom"/>
          </w:tcPr>
          <w:p w:rsidR="000E73AE" w:rsidRPr="00362DB1" w:rsidRDefault="002A2CB0" w:rsidP="00A557A1">
            <w:pPr>
              <w:pStyle w:val="BodyText2"/>
            </w:pPr>
            <w:r w:rsidRPr="002A2CB0">
              <w:t>77.84</w:t>
            </w:r>
          </w:p>
        </w:tc>
        <w:tc>
          <w:tcPr>
            <w:tcW w:w="1980" w:type="dxa"/>
            <w:vAlign w:val="bottom"/>
          </w:tcPr>
          <w:p w:rsidR="000E73AE" w:rsidRPr="00362DB1" w:rsidRDefault="004A2462" w:rsidP="00067E3A">
            <w:pPr>
              <w:pStyle w:val="BodyText2"/>
            </w:pPr>
            <w:r>
              <w:t>$</w:t>
            </w:r>
            <w:r w:rsidR="002A2CB0">
              <w:t>20,504,924</w:t>
            </w:r>
            <w:r w:rsidR="000E73AE" w:rsidRPr="00362DB1">
              <w:t xml:space="preserve"> </w:t>
            </w:r>
          </w:p>
        </w:tc>
        <w:tc>
          <w:tcPr>
            <w:tcW w:w="1332" w:type="dxa"/>
            <w:vMerge w:val="restart"/>
            <w:textDirection w:val="btLr"/>
            <w:hideMark/>
          </w:tcPr>
          <w:p w:rsidR="00067E3A" w:rsidRDefault="00067E3A" w:rsidP="00067E3A">
            <w:pPr>
              <w:pStyle w:val="BodyText2"/>
              <w:ind w:left="113"/>
            </w:pPr>
            <w:r>
              <w:t>Table 25</w:t>
            </w:r>
          </w:p>
          <w:p w:rsidR="000E73AE" w:rsidRDefault="000E73AE" w:rsidP="00E00140">
            <w:pPr>
              <w:pStyle w:val="BodyText2"/>
              <w:ind w:left="113"/>
            </w:pPr>
            <w:r w:rsidRPr="00362DB1">
              <w:t xml:space="preserve">Recordkeeping </w:t>
            </w:r>
          </w:p>
          <w:p w:rsidR="00E00140" w:rsidRPr="00362DB1" w:rsidRDefault="00E00140" w:rsidP="00E00140">
            <w:pPr>
              <w:pStyle w:val="BodyText2"/>
              <w:ind w:left="113"/>
            </w:pPr>
            <w:r>
              <w:t>Costs</w:t>
            </w: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Initial Stability Testing (recurring) (Products)</w:t>
            </w:r>
          </w:p>
        </w:tc>
        <w:tc>
          <w:tcPr>
            <w:tcW w:w="1530" w:type="dxa"/>
            <w:vAlign w:val="bottom"/>
            <w:hideMark/>
          </w:tcPr>
          <w:p w:rsidR="000E73AE" w:rsidRPr="00362DB1" w:rsidRDefault="000E73AE" w:rsidP="000E73AE">
            <w:pPr>
              <w:pStyle w:val="BodyText2"/>
            </w:pPr>
            <w:r w:rsidRPr="00362DB1">
              <w:t>10,536</w:t>
            </w:r>
          </w:p>
        </w:tc>
        <w:tc>
          <w:tcPr>
            <w:tcW w:w="1440" w:type="dxa"/>
            <w:vAlign w:val="bottom"/>
          </w:tcPr>
          <w:p w:rsidR="000E73AE" w:rsidRPr="00362DB1" w:rsidRDefault="002A2CB0" w:rsidP="00A557A1">
            <w:pPr>
              <w:pStyle w:val="BodyText2"/>
            </w:pPr>
            <w:r w:rsidRPr="002A2CB0">
              <w:t>77.84</w:t>
            </w:r>
          </w:p>
        </w:tc>
        <w:tc>
          <w:tcPr>
            <w:tcW w:w="1980" w:type="dxa"/>
            <w:vAlign w:val="bottom"/>
          </w:tcPr>
          <w:p w:rsidR="000E73AE" w:rsidRPr="00362DB1" w:rsidRDefault="004A2462" w:rsidP="002A2CB0">
            <w:pPr>
              <w:pStyle w:val="BodyText2"/>
            </w:pPr>
            <w:r>
              <w:t>$</w:t>
            </w:r>
            <w:r w:rsidR="002A2CB0">
              <w:t>820,122</w:t>
            </w:r>
            <w:r w:rsidR="000E73AE" w:rsidRPr="00362DB1">
              <w:t xml:space="preserve"> </w:t>
            </w:r>
          </w:p>
        </w:tc>
        <w:tc>
          <w:tcPr>
            <w:tcW w:w="1332" w:type="dxa"/>
            <w:vMerge/>
            <w:hideMark/>
          </w:tcPr>
          <w:p w:rsidR="000E73AE" w:rsidRPr="00362DB1" w:rsidRDefault="000E73AE" w:rsidP="00362DB1">
            <w:pPr>
              <w:pStyle w:val="BodyText2"/>
              <w:ind w:left="720"/>
            </w:pPr>
          </w:p>
        </w:tc>
      </w:tr>
      <w:tr w:rsidR="000E73AE" w:rsidRPr="00362DB1" w:rsidTr="00E00140">
        <w:trPr>
          <w:trHeight w:val="645"/>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Annual Stability Testing (Products)</w:t>
            </w:r>
          </w:p>
        </w:tc>
        <w:tc>
          <w:tcPr>
            <w:tcW w:w="1530" w:type="dxa"/>
            <w:vAlign w:val="bottom"/>
            <w:hideMark/>
          </w:tcPr>
          <w:p w:rsidR="000E73AE" w:rsidRPr="00362DB1" w:rsidRDefault="000E73AE" w:rsidP="000E73AE">
            <w:pPr>
              <w:pStyle w:val="BodyText2"/>
            </w:pPr>
            <w:r w:rsidRPr="00362DB1">
              <w:t>94,832</w:t>
            </w:r>
          </w:p>
        </w:tc>
        <w:tc>
          <w:tcPr>
            <w:tcW w:w="1440" w:type="dxa"/>
            <w:vAlign w:val="bottom"/>
          </w:tcPr>
          <w:p w:rsidR="000E73AE" w:rsidRPr="00362DB1" w:rsidRDefault="002A2CB0" w:rsidP="00A557A1">
            <w:pPr>
              <w:pStyle w:val="BodyText2"/>
            </w:pPr>
            <w:r w:rsidRPr="002A2CB0">
              <w:t>77.84</w:t>
            </w:r>
          </w:p>
        </w:tc>
        <w:tc>
          <w:tcPr>
            <w:tcW w:w="1980" w:type="dxa"/>
            <w:vAlign w:val="bottom"/>
          </w:tcPr>
          <w:p w:rsidR="000E73AE" w:rsidRPr="00362DB1" w:rsidRDefault="004A2462" w:rsidP="00527439">
            <w:pPr>
              <w:pStyle w:val="BodyText2"/>
            </w:pPr>
            <w:r>
              <w:t>$</w:t>
            </w:r>
            <w:r w:rsidR="002A2CB0">
              <w:t>7,381,723</w:t>
            </w:r>
            <w:r w:rsidR="000E73AE" w:rsidRPr="00362DB1">
              <w:t xml:space="preserve"> </w:t>
            </w:r>
          </w:p>
        </w:tc>
        <w:tc>
          <w:tcPr>
            <w:tcW w:w="1332" w:type="dxa"/>
            <w:vMerge/>
            <w:hideMark/>
          </w:tcPr>
          <w:p w:rsidR="000E73AE" w:rsidRPr="00362DB1" w:rsidRDefault="000E73AE" w:rsidP="00362DB1">
            <w:pPr>
              <w:pStyle w:val="BodyText2"/>
              <w:ind w:left="720"/>
            </w:pPr>
          </w:p>
        </w:tc>
      </w:tr>
      <w:tr w:rsidR="000E73AE" w:rsidRPr="00362DB1" w:rsidTr="00E00140">
        <w:trPr>
          <w:trHeight w:val="330"/>
        </w:trPr>
        <w:tc>
          <w:tcPr>
            <w:tcW w:w="828" w:type="dxa"/>
            <w:vMerge/>
            <w:hideMark/>
          </w:tcPr>
          <w:p w:rsidR="000E73AE" w:rsidRPr="00362DB1" w:rsidRDefault="000E73AE" w:rsidP="00362DB1">
            <w:pPr>
              <w:pStyle w:val="BodyText2"/>
              <w:ind w:left="720"/>
            </w:pPr>
          </w:p>
        </w:tc>
        <w:tc>
          <w:tcPr>
            <w:tcW w:w="2880" w:type="dxa"/>
            <w:hideMark/>
          </w:tcPr>
          <w:p w:rsidR="000E73AE" w:rsidRPr="00362DB1" w:rsidRDefault="000E73AE" w:rsidP="004A2462">
            <w:pPr>
              <w:pStyle w:val="BodyText2"/>
            </w:pPr>
            <w:r w:rsidRPr="00362DB1">
              <w:t>Sampling Plans (Products)</w:t>
            </w:r>
          </w:p>
        </w:tc>
        <w:tc>
          <w:tcPr>
            <w:tcW w:w="1530" w:type="dxa"/>
            <w:vAlign w:val="bottom"/>
            <w:hideMark/>
          </w:tcPr>
          <w:p w:rsidR="000E73AE" w:rsidRPr="00362DB1" w:rsidRDefault="000E73AE" w:rsidP="000E73AE">
            <w:pPr>
              <w:pStyle w:val="BodyText2"/>
            </w:pPr>
            <w:r w:rsidRPr="00362DB1">
              <w:t>1,568</w:t>
            </w:r>
          </w:p>
        </w:tc>
        <w:tc>
          <w:tcPr>
            <w:tcW w:w="1440" w:type="dxa"/>
            <w:vAlign w:val="bottom"/>
          </w:tcPr>
          <w:p w:rsidR="000E73AE" w:rsidRPr="00362DB1" w:rsidRDefault="002A2CB0" w:rsidP="00A557A1">
            <w:pPr>
              <w:pStyle w:val="BodyText2"/>
            </w:pPr>
            <w:r w:rsidRPr="002A2CB0">
              <w:t>77.84</w:t>
            </w:r>
          </w:p>
        </w:tc>
        <w:tc>
          <w:tcPr>
            <w:tcW w:w="1980" w:type="dxa"/>
            <w:vAlign w:val="bottom"/>
          </w:tcPr>
          <w:p w:rsidR="000E73AE" w:rsidRPr="00362DB1" w:rsidRDefault="004A2462" w:rsidP="00527439">
            <w:pPr>
              <w:pStyle w:val="BodyText2"/>
            </w:pPr>
            <w:r>
              <w:t>$</w:t>
            </w:r>
            <w:r w:rsidR="002A2CB0">
              <w:t>122</w:t>
            </w:r>
            <w:r w:rsidR="000E73AE" w:rsidRPr="00362DB1">
              <w:t>,0</w:t>
            </w:r>
            <w:r w:rsidR="002A2CB0">
              <w:t>53</w:t>
            </w:r>
          </w:p>
        </w:tc>
        <w:tc>
          <w:tcPr>
            <w:tcW w:w="1332" w:type="dxa"/>
            <w:vMerge/>
            <w:hideMark/>
          </w:tcPr>
          <w:p w:rsidR="000E73AE" w:rsidRPr="00362DB1" w:rsidRDefault="000E73AE" w:rsidP="00362DB1">
            <w:pPr>
              <w:pStyle w:val="BodyText2"/>
              <w:ind w:left="720"/>
            </w:pPr>
          </w:p>
        </w:tc>
      </w:tr>
      <w:tr w:rsidR="000E73AE" w:rsidRPr="00362DB1" w:rsidTr="00E00140">
        <w:trPr>
          <w:trHeight w:val="315"/>
        </w:trPr>
        <w:tc>
          <w:tcPr>
            <w:tcW w:w="828" w:type="dxa"/>
            <w:noWrap/>
            <w:hideMark/>
          </w:tcPr>
          <w:p w:rsidR="000E73AE" w:rsidRPr="00362DB1" w:rsidRDefault="000E73AE" w:rsidP="00362DB1">
            <w:pPr>
              <w:pStyle w:val="BodyText2"/>
              <w:ind w:left="720"/>
            </w:pPr>
          </w:p>
        </w:tc>
        <w:tc>
          <w:tcPr>
            <w:tcW w:w="2880" w:type="dxa"/>
            <w:hideMark/>
          </w:tcPr>
          <w:p w:rsidR="00A557A1" w:rsidRDefault="00A557A1" w:rsidP="00362DB1">
            <w:pPr>
              <w:pStyle w:val="BodyText2"/>
              <w:ind w:left="720"/>
            </w:pPr>
          </w:p>
          <w:p w:rsidR="000E73AE" w:rsidRPr="00362DB1" w:rsidRDefault="000E73AE" w:rsidP="00A557A1">
            <w:pPr>
              <w:pStyle w:val="BodyText2"/>
            </w:pPr>
            <w:r w:rsidRPr="00362DB1">
              <w:t>Total</w:t>
            </w:r>
          </w:p>
        </w:tc>
        <w:tc>
          <w:tcPr>
            <w:tcW w:w="1530" w:type="dxa"/>
            <w:noWrap/>
            <w:vAlign w:val="bottom"/>
            <w:hideMark/>
          </w:tcPr>
          <w:p w:rsidR="000E73AE" w:rsidRPr="00362DB1" w:rsidRDefault="000E73AE" w:rsidP="00E00140">
            <w:pPr>
              <w:pStyle w:val="BodyText2"/>
            </w:pPr>
            <w:r w:rsidRPr="00362DB1">
              <w:t>468</w:t>
            </w:r>
            <w:r w:rsidR="002A2CB0">
              <w:t>,</w:t>
            </w:r>
            <w:r w:rsidRPr="00362DB1">
              <w:t>153</w:t>
            </w:r>
          </w:p>
        </w:tc>
        <w:tc>
          <w:tcPr>
            <w:tcW w:w="1440" w:type="dxa"/>
          </w:tcPr>
          <w:p w:rsidR="000E73AE" w:rsidRPr="00362DB1" w:rsidRDefault="000E73AE" w:rsidP="00BC02CF">
            <w:pPr>
              <w:pStyle w:val="BodyText2"/>
              <w:ind w:left="720"/>
            </w:pPr>
          </w:p>
        </w:tc>
        <w:tc>
          <w:tcPr>
            <w:tcW w:w="1980" w:type="dxa"/>
            <w:vAlign w:val="bottom"/>
          </w:tcPr>
          <w:p w:rsidR="000E73AE" w:rsidRPr="00362DB1" w:rsidRDefault="002A2CB0" w:rsidP="00527439">
            <w:pPr>
              <w:pStyle w:val="BodyText2"/>
            </w:pPr>
            <w:r>
              <w:fldChar w:fldCharType="begin"/>
            </w:r>
            <w:r>
              <w:instrText xml:space="preserve"> =SUM(ABOVE) </w:instrText>
            </w:r>
            <w:r>
              <w:fldChar w:fldCharType="separate"/>
            </w:r>
            <w:r>
              <w:rPr>
                <w:noProof/>
              </w:rPr>
              <w:t>$36,451,299.00</w:t>
            </w:r>
            <w:r>
              <w:fldChar w:fldCharType="end"/>
            </w:r>
          </w:p>
        </w:tc>
        <w:tc>
          <w:tcPr>
            <w:tcW w:w="1332" w:type="dxa"/>
            <w:noWrap/>
            <w:hideMark/>
          </w:tcPr>
          <w:p w:rsidR="000E73AE" w:rsidRPr="00362DB1" w:rsidRDefault="000E73AE" w:rsidP="00362DB1">
            <w:pPr>
              <w:pStyle w:val="BodyText2"/>
              <w:ind w:left="720"/>
            </w:pPr>
          </w:p>
        </w:tc>
      </w:tr>
    </w:tbl>
    <w:p w:rsidR="00362DB1" w:rsidRDefault="00362DB1" w:rsidP="001D495A">
      <w:pPr>
        <w:pStyle w:val="BodyText2"/>
        <w:ind w:left="720"/>
      </w:pPr>
    </w:p>
    <w:p w:rsidR="00362DB1" w:rsidRDefault="00E00140" w:rsidP="00DB3955">
      <w:pPr>
        <w:pStyle w:val="BodyText2"/>
        <w:ind w:left="720"/>
      </w:pPr>
      <w:r w:rsidRPr="00E00140">
        <w:t xml:space="preserve">FDA has </w:t>
      </w:r>
      <w:r w:rsidR="00DB3955" w:rsidRPr="00E00140">
        <w:t>estimated that</w:t>
      </w:r>
      <w:r w:rsidR="00DB3955">
        <w:t xml:space="preserve"> depending on the activity </w:t>
      </w:r>
      <w:r w:rsidRPr="00E00140">
        <w:t xml:space="preserve">the wage per hour </w:t>
      </w:r>
      <w:r w:rsidR="002A2CB0">
        <w:t>is between 73.04 and $80</w:t>
      </w:r>
      <w:r w:rsidR="00DB3955">
        <w:t xml:space="preserve">. The rates are </w:t>
      </w:r>
      <w:r w:rsidRPr="00E00140">
        <w:t xml:space="preserve">adjusted for </w:t>
      </w:r>
      <w:r w:rsidR="00DB3955">
        <w:t>benefits and overhead</w:t>
      </w:r>
      <w:proofErr w:type="gramStart"/>
      <w:r w:rsidR="00DB3955">
        <w:t>,</w:t>
      </w:r>
      <w:r>
        <w:t>.</w:t>
      </w:r>
      <w:proofErr w:type="gramEnd"/>
      <w:r w:rsidRPr="00E00140">
        <w:t xml:space="preserve"> FDA estimates the co</w:t>
      </w:r>
      <w:r>
        <w:t>st to respondents is $</w:t>
      </w:r>
      <w:r w:rsidR="00DB3955">
        <w:t>36,451,299</w:t>
      </w:r>
      <w:r w:rsidRPr="00E00140">
        <w:t>.  This figure was derived by multipl</w:t>
      </w:r>
      <w:r w:rsidR="00DB3955">
        <w:t xml:space="preserve">ying the burden hours </w:t>
      </w:r>
      <w:r w:rsidRPr="00E00140">
        <w:t xml:space="preserve">by </w:t>
      </w:r>
      <w:r w:rsidR="00DB3955">
        <w:t xml:space="preserve">the hourly rates. </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350523" w:rsidRDefault="00350523" w:rsidP="003E553E">
      <w:pPr>
        <w:ind w:left="720"/>
      </w:pPr>
      <w:r>
        <w:t xml:space="preserve">There </w:t>
      </w:r>
      <w:proofErr w:type="gramStart"/>
      <w:r>
        <w:t>are no capital</w:t>
      </w:r>
      <w:proofErr w:type="gramEnd"/>
      <w:r>
        <w:t>, start-up, operating or maintenance costs associated with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A70426" w:rsidRDefault="00355981" w:rsidP="00C460B0">
      <w:pPr>
        <w:ind w:left="720"/>
      </w:pPr>
      <w:r w:rsidRPr="00355981">
        <w:t xml:space="preserve">The estimated time to review a notification is 32 hours and it is based on the time that FDA anticipates it would take to review the detailed notification. Total costs are thus calculated by multiplying the estimated time to review the notification by the hourly wage and number of notifications. The </w:t>
      </w:r>
      <w:r w:rsidR="00C460B0">
        <w:t xml:space="preserve">RIA </w:t>
      </w:r>
      <w:r w:rsidRPr="00355981">
        <w:t>estimate costs in Year 1 range from $3,840 (=1*$120*32) to $88,320 (=23*$120*32).</w:t>
      </w:r>
      <w:r w:rsidR="00C460B0">
        <w:t xml:space="preserve"> For these purposed FDA estimates the high range of 23 notifications ($88,320)/3. Therefore the annual cost to the government is $29,440. </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764B6A" w:rsidRDefault="00764B6A" w:rsidP="00A557A1">
      <w:pPr>
        <w:pStyle w:val="BodyTextIndent"/>
        <w:ind w:firstLine="360"/>
      </w:pPr>
      <w:r>
        <w:t>This is a new proposed rule</w:t>
      </w:r>
      <w:r w:rsidR="009F66B5">
        <w:t>.</w:t>
      </w:r>
    </w:p>
    <w:p w:rsidR="004C6979" w:rsidRDefault="00EB7538" w:rsidP="00EB7538">
      <w:pPr>
        <w:numPr>
          <w:ilvl w:val="0"/>
          <w:numId w:val="1"/>
        </w:numPr>
        <w:spacing w:before="100" w:beforeAutospacing="1" w:after="100" w:afterAutospacing="1"/>
        <w:rPr>
          <w:u w:val="single"/>
        </w:rPr>
      </w:pPr>
      <w:r w:rsidRPr="004C6979">
        <w:rPr>
          <w:u w:val="single"/>
        </w:rPr>
        <w:t>Plans for Tabulation and Publication and Project Time Schedule</w:t>
      </w:r>
    </w:p>
    <w:p w:rsidR="00DE776B" w:rsidRPr="004C6979" w:rsidRDefault="00A355E5" w:rsidP="00DE776B">
      <w:pPr>
        <w:spacing w:before="100" w:beforeAutospacing="1" w:after="100" w:afterAutospacing="1"/>
        <w:ind w:left="720"/>
        <w:rPr>
          <w:u w:val="single"/>
        </w:rPr>
      </w:pPr>
      <w:r w:rsidRPr="00986836">
        <w:t xml:space="preserve">The Agency </w:t>
      </w:r>
      <w:r>
        <w:t>has no plans for the tabulation and publication of this collection of information.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1B18D6" w:rsidRDefault="001B18D6" w:rsidP="001B18D6">
      <w:pPr>
        <w:ind w:left="720"/>
      </w:pPr>
      <w:r w:rsidRPr="00871B4D">
        <w:t xml:space="preserve">FDA is not requesting an exemption </w:t>
      </w:r>
      <w:r>
        <w:t>from</w:t>
      </w:r>
      <w:r w:rsidRPr="00871B4D">
        <w:t xml:space="preserve"> display of the OMB expiration date and is also not seeking OMB approval to exclude the expiration date for this information collection.</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5E6349" w:rsidRDefault="008047EB" w:rsidP="005E6349">
      <w:pPr>
        <w:spacing w:before="100" w:beforeAutospacing="1" w:after="100" w:afterAutospacing="1"/>
        <w:ind w:left="720"/>
      </w:pPr>
      <w:r>
        <w:t>T</w:t>
      </w:r>
      <w:r w:rsidR="00754497">
        <w:t>here are no e</w:t>
      </w:r>
      <w:r>
        <w:t>xceptions to the certification.</w:t>
      </w:r>
    </w:p>
    <w:sectPr w:rsidR="002746DB" w:rsidRPr="005E6349" w:rsidSect="00EB753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A1" w:rsidRDefault="00723AA1">
      <w:r>
        <w:separator/>
      </w:r>
    </w:p>
  </w:endnote>
  <w:endnote w:type="continuationSeparator" w:id="0">
    <w:p w:rsidR="00723AA1" w:rsidRDefault="0072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5BEF">
      <w:rPr>
        <w:rStyle w:val="PageNumber"/>
        <w:noProof/>
      </w:rPr>
      <w:t>1</w:t>
    </w:r>
    <w:r>
      <w:rPr>
        <w:rStyle w:val="PageNumber"/>
      </w:rPr>
      <w:fldChar w:fldCharType="end"/>
    </w:r>
  </w:p>
  <w:p w:rsidR="00E63DE5" w:rsidRDefault="00E63D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B4" w:rsidRDefault="00E87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A1" w:rsidRDefault="00723AA1">
      <w:r>
        <w:separator/>
      </w:r>
    </w:p>
  </w:footnote>
  <w:footnote w:type="continuationSeparator" w:id="0">
    <w:p w:rsidR="00723AA1" w:rsidRDefault="00723A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B4" w:rsidRDefault="00E87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B4" w:rsidRDefault="00E87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3B4" w:rsidRDefault="00E87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32C"/>
    <w:rsid w:val="0006570F"/>
    <w:rsid w:val="00067E3A"/>
    <w:rsid w:val="00086C1A"/>
    <w:rsid w:val="0009059D"/>
    <w:rsid w:val="000C560C"/>
    <w:rsid w:val="000D178A"/>
    <w:rsid w:val="000D48FD"/>
    <w:rsid w:val="000E1C64"/>
    <w:rsid w:val="000E73AE"/>
    <w:rsid w:val="000F7119"/>
    <w:rsid w:val="00100739"/>
    <w:rsid w:val="00107885"/>
    <w:rsid w:val="00114FC4"/>
    <w:rsid w:val="0012329C"/>
    <w:rsid w:val="00134FA7"/>
    <w:rsid w:val="00137950"/>
    <w:rsid w:val="00152F29"/>
    <w:rsid w:val="00185270"/>
    <w:rsid w:val="001A3B5A"/>
    <w:rsid w:val="001A6236"/>
    <w:rsid w:val="001B18D6"/>
    <w:rsid w:val="001B7CE9"/>
    <w:rsid w:val="001D495A"/>
    <w:rsid w:val="001E244C"/>
    <w:rsid w:val="001F1437"/>
    <w:rsid w:val="002259EF"/>
    <w:rsid w:val="00242ED1"/>
    <w:rsid w:val="00254069"/>
    <w:rsid w:val="002734E5"/>
    <w:rsid w:val="002746DB"/>
    <w:rsid w:val="00280CAF"/>
    <w:rsid w:val="00282F09"/>
    <w:rsid w:val="00297532"/>
    <w:rsid w:val="002A1210"/>
    <w:rsid w:val="002A2CB0"/>
    <w:rsid w:val="002D14D8"/>
    <w:rsid w:val="002D4799"/>
    <w:rsid w:val="002E3FA4"/>
    <w:rsid w:val="003113FF"/>
    <w:rsid w:val="00311498"/>
    <w:rsid w:val="0032277F"/>
    <w:rsid w:val="00350523"/>
    <w:rsid w:val="0035273C"/>
    <w:rsid w:val="00355981"/>
    <w:rsid w:val="00362DB1"/>
    <w:rsid w:val="003740BC"/>
    <w:rsid w:val="003801A3"/>
    <w:rsid w:val="00383D90"/>
    <w:rsid w:val="003B42B3"/>
    <w:rsid w:val="003B6384"/>
    <w:rsid w:val="003C4EBB"/>
    <w:rsid w:val="003D1531"/>
    <w:rsid w:val="003D29FC"/>
    <w:rsid w:val="003E4EC6"/>
    <w:rsid w:val="003E527E"/>
    <w:rsid w:val="003E553E"/>
    <w:rsid w:val="003E7078"/>
    <w:rsid w:val="003F3DF5"/>
    <w:rsid w:val="00407C1A"/>
    <w:rsid w:val="00411D11"/>
    <w:rsid w:val="00415E23"/>
    <w:rsid w:val="0041670D"/>
    <w:rsid w:val="00424061"/>
    <w:rsid w:val="00434C5F"/>
    <w:rsid w:val="00442A3C"/>
    <w:rsid w:val="00443969"/>
    <w:rsid w:val="00447D74"/>
    <w:rsid w:val="00450A74"/>
    <w:rsid w:val="004546BF"/>
    <w:rsid w:val="00465350"/>
    <w:rsid w:val="004846BF"/>
    <w:rsid w:val="00491CF5"/>
    <w:rsid w:val="004A2462"/>
    <w:rsid w:val="004A7760"/>
    <w:rsid w:val="004C6979"/>
    <w:rsid w:val="004D3E7A"/>
    <w:rsid w:val="004F0F80"/>
    <w:rsid w:val="004F594B"/>
    <w:rsid w:val="00522E2F"/>
    <w:rsid w:val="00527439"/>
    <w:rsid w:val="00544138"/>
    <w:rsid w:val="00584583"/>
    <w:rsid w:val="005877AE"/>
    <w:rsid w:val="00590EEB"/>
    <w:rsid w:val="005A4099"/>
    <w:rsid w:val="005C38B2"/>
    <w:rsid w:val="005C5029"/>
    <w:rsid w:val="005C55C2"/>
    <w:rsid w:val="005C745C"/>
    <w:rsid w:val="005D4DF5"/>
    <w:rsid w:val="005E6349"/>
    <w:rsid w:val="00611D6B"/>
    <w:rsid w:val="0067726D"/>
    <w:rsid w:val="006A26C6"/>
    <w:rsid w:val="006A7D5D"/>
    <w:rsid w:val="006D5D57"/>
    <w:rsid w:val="006F4D6D"/>
    <w:rsid w:val="00705086"/>
    <w:rsid w:val="007132EC"/>
    <w:rsid w:val="00715890"/>
    <w:rsid w:val="00723AA1"/>
    <w:rsid w:val="00754497"/>
    <w:rsid w:val="00764B6A"/>
    <w:rsid w:val="00787C39"/>
    <w:rsid w:val="00795DF3"/>
    <w:rsid w:val="007A373C"/>
    <w:rsid w:val="007B225C"/>
    <w:rsid w:val="007C75B1"/>
    <w:rsid w:val="007D3DFC"/>
    <w:rsid w:val="007E2F07"/>
    <w:rsid w:val="007F7B51"/>
    <w:rsid w:val="008047EB"/>
    <w:rsid w:val="0080776D"/>
    <w:rsid w:val="00810145"/>
    <w:rsid w:val="008108FA"/>
    <w:rsid w:val="00810FF1"/>
    <w:rsid w:val="00811EBE"/>
    <w:rsid w:val="00822336"/>
    <w:rsid w:val="00823DFA"/>
    <w:rsid w:val="00843752"/>
    <w:rsid w:val="0084479F"/>
    <w:rsid w:val="0085725E"/>
    <w:rsid w:val="00873648"/>
    <w:rsid w:val="00885B09"/>
    <w:rsid w:val="00892400"/>
    <w:rsid w:val="008A209D"/>
    <w:rsid w:val="008B0E29"/>
    <w:rsid w:val="008B0EFA"/>
    <w:rsid w:val="008B30AB"/>
    <w:rsid w:val="008E5F55"/>
    <w:rsid w:val="00905DEF"/>
    <w:rsid w:val="00913B43"/>
    <w:rsid w:val="00930203"/>
    <w:rsid w:val="009311D2"/>
    <w:rsid w:val="009311E6"/>
    <w:rsid w:val="00931275"/>
    <w:rsid w:val="00936AC7"/>
    <w:rsid w:val="00953B64"/>
    <w:rsid w:val="009A1674"/>
    <w:rsid w:val="009C684F"/>
    <w:rsid w:val="009D074C"/>
    <w:rsid w:val="009F2B4F"/>
    <w:rsid w:val="009F66B5"/>
    <w:rsid w:val="00A16221"/>
    <w:rsid w:val="00A20A7D"/>
    <w:rsid w:val="00A2130A"/>
    <w:rsid w:val="00A24D99"/>
    <w:rsid w:val="00A355E5"/>
    <w:rsid w:val="00A35D42"/>
    <w:rsid w:val="00A46CCF"/>
    <w:rsid w:val="00A53451"/>
    <w:rsid w:val="00A557A1"/>
    <w:rsid w:val="00A70426"/>
    <w:rsid w:val="00A91E9A"/>
    <w:rsid w:val="00A92E31"/>
    <w:rsid w:val="00A93ED9"/>
    <w:rsid w:val="00A96221"/>
    <w:rsid w:val="00AC6A99"/>
    <w:rsid w:val="00B055EF"/>
    <w:rsid w:val="00B23769"/>
    <w:rsid w:val="00B81808"/>
    <w:rsid w:val="00B85757"/>
    <w:rsid w:val="00B86DFA"/>
    <w:rsid w:val="00B936D0"/>
    <w:rsid w:val="00BC5BEF"/>
    <w:rsid w:val="00BE3600"/>
    <w:rsid w:val="00BF3170"/>
    <w:rsid w:val="00C01F6F"/>
    <w:rsid w:val="00C149AB"/>
    <w:rsid w:val="00C40694"/>
    <w:rsid w:val="00C460B0"/>
    <w:rsid w:val="00C70542"/>
    <w:rsid w:val="00C75CBF"/>
    <w:rsid w:val="00CC2894"/>
    <w:rsid w:val="00CD77C3"/>
    <w:rsid w:val="00CE112C"/>
    <w:rsid w:val="00CF55D4"/>
    <w:rsid w:val="00D608DA"/>
    <w:rsid w:val="00D730BF"/>
    <w:rsid w:val="00D9579D"/>
    <w:rsid w:val="00DA6992"/>
    <w:rsid w:val="00DB3955"/>
    <w:rsid w:val="00DB5468"/>
    <w:rsid w:val="00DC3788"/>
    <w:rsid w:val="00DC76C7"/>
    <w:rsid w:val="00DD09F5"/>
    <w:rsid w:val="00DD4201"/>
    <w:rsid w:val="00DD5E9F"/>
    <w:rsid w:val="00DE5711"/>
    <w:rsid w:val="00DE776B"/>
    <w:rsid w:val="00E00140"/>
    <w:rsid w:val="00E00EA0"/>
    <w:rsid w:val="00E26758"/>
    <w:rsid w:val="00E4357B"/>
    <w:rsid w:val="00E63DE5"/>
    <w:rsid w:val="00E65A37"/>
    <w:rsid w:val="00E776EB"/>
    <w:rsid w:val="00E77B48"/>
    <w:rsid w:val="00E873B4"/>
    <w:rsid w:val="00E91799"/>
    <w:rsid w:val="00EA21FE"/>
    <w:rsid w:val="00EA34E3"/>
    <w:rsid w:val="00EA787E"/>
    <w:rsid w:val="00EB7538"/>
    <w:rsid w:val="00EF2458"/>
    <w:rsid w:val="00F207A4"/>
    <w:rsid w:val="00F355AC"/>
    <w:rsid w:val="00F71A5A"/>
    <w:rsid w:val="00F769E0"/>
    <w:rsid w:val="00FC6B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rsid w:val="00E873B4"/>
    <w:pPr>
      <w:tabs>
        <w:tab w:val="center" w:pos="4680"/>
        <w:tab w:val="right" w:pos="9360"/>
      </w:tabs>
    </w:pPr>
  </w:style>
  <w:style w:type="character" w:customStyle="1" w:styleId="HeaderChar">
    <w:name w:val="Header Char"/>
    <w:basedOn w:val="DefaultParagraphFont"/>
    <w:link w:val="Header"/>
    <w:rsid w:val="00E873B4"/>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rsid w:val="00E873B4"/>
    <w:pPr>
      <w:tabs>
        <w:tab w:val="center" w:pos="4680"/>
        <w:tab w:val="right" w:pos="9360"/>
      </w:tabs>
    </w:pPr>
  </w:style>
  <w:style w:type="character" w:customStyle="1" w:styleId="HeaderChar">
    <w:name w:val="Header Char"/>
    <w:basedOn w:val="DefaultParagraphFont"/>
    <w:link w:val="Header"/>
    <w:rsid w:val="00E873B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456">
      <w:bodyDiv w:val="1"/>
      <w:marLeft w:val="0"/>
      <w:marRight w:val="0"/>
      <w:marTop w:val="0"/>
      <w:marBottom w:val="0"/>
      <w:divBdr>
        <w:top w:val="none" w:sz="0" w:space="0" w:color="auto"/>
        <w:left w:val="none" w:sz="0" w:space="0" w:color="auto"/>
        <w:bottom w:val="none" w:sz="0" w:space="0" w:color="auto"/>
        <w:right w:val="none" w:sz="0" w:space="0" w:color="auto"/>
      </w:divBdr>
    </w:div>
    <w:div w:id="330765557">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22902-5714-4F56-8DBC-58005B2EB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3132</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2017-01-23T20:54:00Z</dcterms:created>
  <dcterms:modified xsi:type="dcterms:W3CDTF">2017-01-23T20:54:00Z</dcterms:modified>
</cp:coreProperties>
</file>