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715" w:rsidRDefault="005E3715" w:rsidP="005E3715">
      <w:pPr>
        <w:rPr>
          <w:sz w:val="24"/>
          <w:szCs w:val="24"/>
        </w:rPr>
      </w:pPr>
      <w:r>
        <w:rPr>
          <w:b/>
          <w:sz w:val="24"/>
          <w:szCs w:val="24"/>
        </w:rPr>
        <w:t>APPENDIX</w:t>
      </w:r>
      <w:r>
        <w:rPr>
          <w:sz w:val="24"/>
          <w:szCs w:val="24"/>
        </w:rPr>
        <w:t xml:space="preserve">:  </w:t>
      </w:r>
    </w:p>
    <w:p w:rsidR="005E3715" w:rsidRDefault="005E3715" w:rsidP="005E3715">
      <w:pPr>
        <w:rPr>
          <w:sz w:val="24"/>
          <w:szCs w:val="24"/>
        </w:rPr>
      </w:pPr>
      <w:r>
        <w:rPr>
          <w:sz w:val="24"/>
          <w:szCs w:val="24"/>
        </w:rPr>
        <w:t>This appendix contains supporting details for the burden estimate contained in this Supporting Statement.  In particular, flowcharts of the contacts are provided for each state along with estimates of the factors that affect this calculation, such as the percentage of the population in the sample frame that have a valid email address and phone number.</w:t>
      </w:r>
    </w:p>
    <w:p w:rsidR="005E3715" w:rsidRDefault="005E3715" w:rsidP="005E3715">
      <w:pPr>
        <w:rPr>
          <w:sz w:val="24"/>
          <w:szCs w:val="24"/>
        </w:rPr>
      </w:pPr>
    </w:p>
    <w:p w:rsidR="005E3715" w:rsidRDefault="005E3715" w:rsidP="005E3715">
      <w:pPr>
        <w:rPr>
          <w:sz w:val="24"/>
          <w:szCs w:val="24"/>
        </w:rPr>
      </w:pPr>
    </w:p>
    <w:p w:rsidR="005E3715" w:rsidRDefault="005E3715" w:rsidP="005E3715">
      <w:pPr>
        <w:rPr>
          <w:sz w:val="24"/>
          <w:szCs w:val="24"/>
        </w:rPr>
      </w:pPr>
    </w:p>
    <w:p w:rsidR="005E3715" w:rsidRDefault="005E3715" w:rsidP="005E3715">
      <w:pPr>
        <w:rPr>
          <w:sz w:val="24"/>
          <w:szCs w:val="24"/>
        </w:rPr>
      </w:pPr>
    </w:p>
    <w:p w:rsidR="005E3715" w:rsidRDefault="005E3715" w:rsidP="005E3715">
      <w:pPr>
        <w:rPr>
          <w:sz w:val="24"/>
          <w:szCs w:val="24"/>
        </w:rPr>
        <w:sectPr w:rsidR="005E3715" w:rsidSect="005E3715">
          <w:footerReference w:type="default" r:id="rId6"/>
          <w:footnotePr>
            <w:numRestart w:val="eachSect"/>
          </w:footnotePr>
          <w:endnotePr>
            <w:numFmt w:val="decimal"/>
          </w:endnotePr>
          <w:pgSz w:w="12240" w:h="15840"/>
          <w:pgMar w:top="1440" w:right="1440" w:bottom="1080" w:left="1440" w:header="720" w:footer="720" w:gutter="0"/>
          <w:cols w:space="720"/>
        </w:sectPr>
      </w:pPr>
    </w:p>
    <w:p w:rsidR="005E3715" w:rsidRDefault="005E3715" w:rsidP="005E3715">
      <w:pPr>
        <w:rPr>
          <w:sz w:val="24"/>
          <w:szCs w:val="24"/>
        </w:rPr>
      </w:pPr>
      <w:r>
        <w:rPr>
          <w:noProof/>
          <w:sz w:val="24"/>
          <w:szCs w:val="24"/>
        </w:rPr>
        <w:lastRenderedPageBreak/>
        <w:drawing>
          <wp:inline distT="0" distB="0" distL="0" distR="0">
            <wp:extent cx="7886700" cy="5547360"/>
            <wp:effectExtent l="0" t="0" r="0" b="0"/>
            <wp:docPr id="3" name="Picture 3" descr="WA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 Flow Chart"/>
                    <pic:cNvPicPr>
                      <a:picLocks noChangeAspect="1" noChangeArrowheads="1"/>
                    </pic:cNvPicPr>
                  </pic:nvPicPr>
                  <pic:blipFill>
                    <a:blip r:embed="rId7">
                      <a:extLst>
                        <a:ext uri="{28A0092B-C50C-407E-A947-70E740481C1C}">
                          <a14:useLocalDpi xmlns:a14="http://schemas.microsoft.com/office/drawing/2010/main" val="0"/>
                        </a:ext>
                      </a:extLst>
                    </a:blip>
                    <a:srcRect l="8669" t="7277" r="6099" b="14761"/>
                    <a:stretch>
                      <a:fillRect/>
                    </a:stretch>
                  </pic:blipFill>
                  <pic:spPr bwMode="auto">
                    <a:xfrm>
                      <a:off x="0" y="0"/>
                      <a:ext cx="7886700" cy="5547360"/>
                    </a:xfrm>
                    <a:prstGeom prst="rect">
                      <a:avLst/>
                    </a:prstGeom>
                    <a:noFill/>
                    <a:ln>
                      <a:noFill/>
                    </a:ln>
                  </pic:spPr>
                </pic:pic>
              </a:graphicData>
            </a:graphic>
          </wp:inline>
        </w:drawing>
      </w:r>
    </w:p>
    <w:p w:rsidR="005E3715" w:rsidRDefault="005E3715" w:rsidP="005E3715">
      <w:pPr>
        <w:rPr>
          <w:sz w:val="24"/>
          <w:szCs w:val="24"/>
        </w:rPr>
      </w:pPr>
      <w:r w:rsidRPr="001C00CB">
        <w:rPr>
          <w:b/>
          <w:sz w:val="24"/>
          <w:szCs w:val="24"/>
        </w:rPr>
        <w:t>Figure A1</w:t>
      </w:r>
      <w:r>
        <w:rPr>
          <w:sz w:val="24"/>
          <w:szCs w:val="24"/>
        </w:rPr>
        <w:t>. Contact Flowchart for Washington State</w:t>
      </w:r>
    </w:p>
    <w:p w:rsidR="005E3715" w:rsidRDefault="005E3715" w:rsidP="005E3715">
      <w:pPr>
        <w:rPr>
          <w:sz w:val="24"/>
          <w:szCs w:val="24"/>
        </w:rPr>
      </w:pPr>
    </w:p>
    <w:p w:rsidR="005E3715" w:rsidRDefault="005E3715" w:rsidP="005E3715">
      <w:pPr>
        <w:rPr>
          <w:sz w:val="24"/>
          <w:szCs w:val="24"/>
        </w:rPr>
      </w:pPr>
      <w:r>
        <w:rPr>
          <w:sz w:val="24"/>
          <w:szCs w:val="24"/>
        </w:rPr>
        <w:br w:type="page"/>
      </w:r>
      <w:r>
        <w:rPr>
          <w:noProof/>
          <w:sz w:val="24"/>
          <w:szCs w:val="24"/>
        </w:rPr>
        <w:lastRenderedPageBreak/>
        <w:drawing>
          <wp:inline distT="0" distB="0" distL="0" distR="0">
            <wp:extent cx="7879080" cy="5608320"/>
            <wp:effectExtent l="0" t="0" r="7620" b="0"/>
            <wp:docPr id="2" name="Picture 2" descr="OR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 Flow Chart"/>
                    <pic:cNvPicPr>
                      <a:picLocks noChangeAspect="1" noChangeArrowheads="1"/>
                    </pic:cNvPicPr>
                  </pic:nvPicPr>
                  <pic:blipFill>
                    <a:blip r:embed="rId8">
                      <a:extLst>
                        <a:ext uri="{28A0092B-C50C-407E-A947-70E740481C1C}">
                          <a14:useLocalDpi xmlns:a14="http://schemas.microsoft.com/office/drawing/2010/main" val="0"/>
                        </a:ext>
                      </a:extLst>
                    </a:blip>
                    <a:srcRect l="9309" t="7068" r="5296" b="14137"/>
                    <a:stretch>
                      <a:fillRect/>
                    </a:stretch>
                  </pic:blipFill>
                  <pic:spPr bwMode="auto">
                    <a:xfrm>
                      <a:off x="0" y="0"/>
                      <a:ext cx="7879080" cy="5608320"/>
                    </a:xfrm>
                    <a:prstGeom prst="rect">
                      <a:avLst/>
                    </a:prstGeom>
                    <a:noFill/>
                    <a:ln>
                      <a:noFill/>
                    </a:ln>
                  </pic:spPr>
                </pic:pic>
              </a:graphicData>
            </a:graphic>
          </wp:inline>
        </w:drawing>
      </w:r>
    </w:p>
    <w:p w:rsidR="005E3715" w:rsidRDefault="005E3715" w:rsidP="005E3715">
      <w:pPr>
        <w:rPr>
          <w:sz w:val="24"/>
          <w:szCs w:val="24"/>
        </w:rPr>
      </w:pPr>
      <w:r w:rsidRPr="001C00CB">
        <w:rPr>
          <w:b/>
          <w:sz w:val="24"/>
          <w:szCs w:val="24"/>
        </w:rPr>
        <w:t>Figure A</w:t>
      </w:r>
      <w:r>
        <w:rPr>
          <w:b/>
          <w:sz w:val="24"/>
          <w:szCs w:val="24"/>
        </w:rPr>
        <w:t>2</w:t>
      </w:r>
      <w:r>
        <w:rPr>
          <w:sz w:val="24"/>
          <w:szCs w:val="24"/>
        </w:rPr>
        <w:t>. Contact Flowchart for Oregon State</w:t>
      </w:r>
    </w:p>
    <w:p w:rsidR="005E3715" w:rsidRDefault="005E3715" w:rsidP="005E3715">
      <w:pPr>
        <w:rPr>
          <w:sz w:val="24"/>
          <w:szCs w:val="24"/>
        </w:rPr>
      </w:pPr>
      <w:r>
        <w:rPr>
          <w:sz w:val="24"/>
          <w:szCs w:val="24"/>
        </w:rPr>
        <w:br w:type="page"/>
      </w:r>
      <w:r>
        <w:rPr>
          <w:noProof/>
          <w:sz w:val="24"/>
          <w:szCs w:val="24"/>
        </w:rPr>
        <w:lastRenderedPageBreak/>
        <w:drawing>
          <wp:inline distT="0" distB="0" distL="0" distR="0">
            <wp:extent cx="7848600" cy="5364480"/>
            <wp:effectExtent l="0" t="0" r="0" b="7620"/>
            <wp:docPr id="1" name="Picture 1" descr="CA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 Flow Chart"/>
                    <pic:cNvPicPr>
                      <a:picLocks noChangeAspect="1" noChangeArrowheads="1"/>
                    </pic:cNvPicPr>
                  </pic:nvPicPr>
                  <pic:blipFill>
                    <a:blip r:embed="rId9">
                      <a:extLst>
                        <a:ext uri="{28A0092B-C50C-407E-A947-70E740481C1C}">
                          <a14:useLocalDpi xmlns:a14="http://schemas.microsoft.com/office/drawing/2010/main" val="0"/>
                        </a:ext>
                      </a:extLst>
                    </a:blip>
                    <a:srcRect l="9792" t="7899" r="4655" b="16425"/>
                    <a:stretch>
                      <a:fillRect/>
                    </a:stretch>
                  </pic:blipFill>
                  <pic:spPr bwMode="auto">
                    <a:xfrm>
                      <a:off x="0" y="0"/>
                      <a:ext cx="7848600" cy="5364480"/>
                    </a:xfrm>
                    <a:prstGeom prst="rect">
                      <a:avLst/>
                    </a:prstGeom>
                    <a:noFill/>
                    <a:ln>
                      <a:noFill/>
                    </a:ln>
                  </pic:spPr>
                </pic:pic>
              </a:graphicData>
            </a:graphic>
          </wp:inline>
        </w:drawing>
      </w:r>
    </w:p>
    <w:p w:rsidR="005E3715" w:rsidRDefault="005E3715" w:rsidP="005E3715">
      <w:pPr>
        <w:rPr>
          <w:sz w:val="24"/>
          <w:szCs w:val="24"/>
        </w:rPr>
      </w:pPr>
      <w:r w:rsidRPr="001C00CB">
        <w:rPr>
          <w:b/>
          <w:sz w:val="24"/>
          <w:szCs w:val="24"/>
        </w:rPr>
        <w:t>Figure A</w:t>
      </w:r>
      <w:r>
        <w:rPr>
          <w:b/>
          <w:sz w:val="24"/>
          <w:szCs w:val="24"/>
        </w:rPr>
        <w:t>3</w:t>
      </w:r>
      <w:r>
        <w:rPr>
          <w:sz w:val="24"/>
          <w:szCs w:val="24"/>
        </w:rPr>
        <w:t>. Contact Flowchart for California State</w:t>
      </w:r>
    </w:p>
    <w:p w:rsidR="005E3715" w:rsidRDefault="005E3715" w:rsidP="005E3715">
      <w:pPr>
        <w:rPr>
          <w:sz w:val="24"/>
          <w:szCs w:val="24"/>
        </w:rPr>
        <w:sectPr w:rsidR="005E3715" w:rsidSect="0085229A">
          <w:footnotePr>
            <w:numRestart w:val="eachSect"/>
          </w:footnotePr>
          <w:endnotePr>
            <w:numFmt w:val="decimal"/>
          </w:endnotePr>
          <w:pgSz w:w="15840" w:h="12240" w:orient="landscape"/>
          <w:pgMar w:top="1440" w:right="1440" w:bottom="1440" w:left="1080" w:header="720" w:footer="720" w:gutter="0"/>
          <w:cols w:space="720"/>
          <w:docGrid w:linePitch="272"/>
        </w:sectPr>
      </w:pPr>
    </w:p>
    <w:p w:rsidR="005E3715" w:rsidRDefault="005E3715" w:rsidP="005E3715">
      <w:pPr>
        <w:rPr>
          <w:sz w:val="24"/>
          <w:szCs w:val="24"/>
        </w:rPr>
      </w:pPr>
      <w:r w:rsidRPr="00855C74">
        <w:rPr>
          <w:b/>
          <w:sz w:val="24"/>
          <w:szCs w:val="24"/>
        </w:rPr>
        <w:lastRenderedPageBreak/>
        <w:t>Table A1</w:t>
      </w:r>
      <w:r>
        <w:rPr>
          <w:sz w:val="24"/>
          <w:szCs w:val="24"/>
        </w:rPr>
        <w:t>.  Factors Contributing to Burden Estimate</w:t>
      </w:r>
    </w:p>
    <w:p w:rsidR="005E3715" w:rsidRDefault="005E3715" w:rsidP="005E3715">
      <w:pPr>
        <w:rPr>
          <w:sz w:val="24"/>
          <w:szCs w:val="24"/>
        </w:rPr>
      </w:pPr>
    </w:p>
    <w:tbl>
      <w:tblPr>
        <w:tblW w:w="0" w:type="auto"/>
        <w:tblLook w:val="04A0" w:firstRow="1" w:lastRow="0" w:firstColumn="1" w:lastColumn="0" w:noHBand="0" w:noVBand="1"/>
      </w:tblPr>
      <w:tblGrid>
        <w:gridCol w:w="4608"/>
        <w:gridCol w:w="1866"/>
        <w:gridCol w:w="1260"/>
      </w:tblGrid>
      <w:tr w:rsidR="005E3715" w:rsidRPr="00E76985" w:rsidTr="00CF002D">
        <w:tc>
          <w:tcPr>
            <w:tcW w:w="4608" w:type="dxa"/>
            <w:tcBorders>
              <w:bottom w:val="single" w:sz="4" w:space="0" w:color="auto"/>
            </w:tcBorders>
            <w:shd w:val="clear" w:color="auto" w:fill="auto"/>
            <w:vAlign w:val="bottom"/>
          </w:tcPr>
          <w:p w:rsidR="005E3715" w:rsidRPr="00E76985" w:rsidRDefault="005E3715" w:rsidP="00CF002D">
            <w:pPr>
              <w:rPr>
                <w:rFonts w:ascii="Calibri" w:hAnsi="Calibri"/>
                <w:b/>
                <w:bCs/>
                <w:color w:val="000000"/>
                <w:sz w:val="22"/>
                <w:szCs w:val="22"/>
              </w:rPr>
            </w:pPr>
            <w:r w:rsidRPr="00E76985">
              <w:rPr>
                <w:rFonts w:ascii="Calibri" w:hAnsi="Calibri"/>
                <w:b/>
                <w:bCs/>
                <w:color w:val="000000"/>
                <w:sz w:val="22"/>
                <w:szCs w:val="22"/>
              </w:rPr>
              <w:t>Factor</w:t>
            </w:r>
          </w:p>
        </w:tc>
        <w:tc>
          <w:tcPr>
            <w:tcW w:w="1866" w:type="dxa"/>
            <w:tcBorders>
              <w:bottom w:val="single" w:sz="4" w:space="0" w:color="auto"/>
            </w:tcBorders>
            <w:shd w:val="clear" w:color="auto" w:fill="auto"/>
            <w:vAlign w:val="bottom"/>
          </w:tcPr>
          <w:p w:rsidR="005E3715" w:rsidRPr="00E76985" w:rsidRDefault="005E3715" w:rsidP="00CF002D">
            <w:pPr>
              <w:jc w:val="center"/>
              <w:rPr>
                <w:rFonts w:ascii="Calibri" w:hAnsi="Calibri"/>
                <w:b/>
                <w:bCs/>
                <w:color w:val="000000"/>
                <w:sz w:val="22"/>
                <w:szCs w:val="22"/>
              </w:rPr>
            </w:pPr>
            <w:r w:rsidRPr="00E76985">
              <w:rPr>
                <w:rFonts w:ascii="Calibri" w:hAnsi="Calibri"/>
                <w:b/>
                <w:bCs/>
                <w:color w:val="000000"/>
                <w:sz w:val="22"/>
                <w:szCs w:val="22"/>
              </w:rPr>
              <w:t>State</w:t>
            </w:r>
          </w:p>
        </w:tc>
        <w:tc>
          <w:tcPr>
            <w:tcW w:w="1260" w:type="dxa"/>
            <w:tcBorders>
              <w:bottom w:val="single" w:sz="4" w:space="0" w:color="auto"/>
            </w:tcBorders>
            <w:shd w:val="clear" w:color="auto" w:fill="auto"/>
            <w:vAlign w:val="bottom"/>
          </w:tcPr>
          <w:p w:rsidR="005E3715" w:rsidRPr="00E76985" w:rsidRDefault="005E3715" w:rsidP="00CF002D">
            <w:pPr>
              <w:jc w:val="center"/>
              <w:rPr>
                <w:rFonts w:ascii="Calibri" w:hAnsi="Calibri"/>
                <w:b/>
                <w:bCs/>
                <w:color w:val="000000"/>
                <w:sz w:val="22"/>
                <w:szCs w:val="22"/>
              </w:rPr>
            </w:pPr>
            <w:r w:rsidRPr="00E76985">
              <w:rPr>
                <w:rFonts w:ascii="Calibri" w:hAnsi="Calibri"/>
                <w:b/>
                <w:bCs/>
                <w:color w:val="000000"/>
                <w:sz w:val="22"/>
                <w:szCs w:val="22"/>
              </w:rPr>
              <w:t>Estimate</w:t>
            </w:r>
          </w:p>
        </w:tc>
      </w:tr>
      <w:tr w:rsidR="005E3715" w:rsidRPr="00E76985" w:rsidTr="00CF002D">
        <w:tc>
          <w:tcPr>
            <w:tcW w:w="4608" w:type="dxa"/>
            <w:tcBorders>
              <w:top w:val="single" w:sz="4" w:space="0" w:color="auto"/>
            </w:tcBorders>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Email address in licensing database</w:t>
            </w:r>
          </w:p>
        </w:tc>
        <w:tc>
          <w:tcPr>
            <w:tcW w:w="1866" w:type="dxa"/>
            <w:tcBorders>
              <w:top w:val="single" w:sz="4" w:space="0" w:color="auto"/>
            </w:tcBorders>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WA</w:t>
            </w:r>
          </w:p>
        </w:tc>
        <w:tc>
          <w:tcPr>
            <w:tcW w:w="1260" w:type="dxa"/>
            <w:tcBorders>
              <w:top w:val="single" w:sz="4" w:space="0" w:color="auto"/>
            </w:tcBorders>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OR</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CA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Phone number in licensing database</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WA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80%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OR</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80%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CA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80%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Reached by phone attempt</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WA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OR</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CA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Qualify, saltwater angler</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WA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49%</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OR</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23%</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CA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38%</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Complete after email invite only</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WA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OR</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CA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Complete after phone invite</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WA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75%</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OR</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75%</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CA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75%</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Complete after mail invite</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WA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OR</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CA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10%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proofErr w:type="spellStart"/>
            <w:r w:rsidRPr="00E76985">
              <w:rPr>
                <w:rFonts w:ascii="Calibri" w:hAnsi="Calibri"/>
                <w:color w:val="000000"/>
                <w:sz w:val="22"/>
                <w:szCs w:val="22"/>
              </w:rPr>
              <w:t>Prenotice</w:t>
            </w:r>
            <w:proofErr w:type="spellEnd"/>
            <w:r w:rsidRPr="00E76985">
              <w:rPr>
                <w:rFonts w:ascii="Calibri" w:hAnsi="Calibri"/>
                <w:color w:val="000000"/>
                <w:sz w:val="22"/>
                <w:szCs w:val="22"/>
              </w:rPr>
              <w:t xml:space="preserve"> only response rate</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WA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10%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OR</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10%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CA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10%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Postcard only response rate</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WA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4%</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OR</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4%</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CA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4%</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1st mailing response rate</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WA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OR</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CA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2nd mailing response rate</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WA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10%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OR</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10%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CA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10%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Agree online, phone screener</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WA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50%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OR</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50%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CA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50%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Agree mail, phone screener</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WA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OR</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CA</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20%</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 xml:space="preserve">Minutes to complete, </w:t>
            </w:r>
            <w:r>
              <w:rPr>
                <w:rFonts w:ascii="Calibri" w:hAnsi="Calibri"/>
                <w:color w:val="000000"/>
                <w:sz w:val="22"/>
                <w:szCs w:val="22"/>
              </w:rPr>
              <w:t>saltwater</w:t>
            </w:r>
            <w:r w:rsidRPr="00E76985">
              <w:rPr>
                <w:rFonts w:ascii="Calibri" w:hAnsi="Calibri"/>
                <w:color w:val="000000"/>
                <w:sz w:val="22"/>
                <w:szCs w:val="22"/>
              </w:rPr>
              <w:t xml:space="preserve"> angler</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All</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25</w:t>
            </w:r>
          </w:p>
        </w:tc>
      </w:tr>
      <w:tr w:rsidR="005E3715" w:rsidRPr="00E76985" w:rsidTr="00CF002D">
        <w:tc>
          <w:tcPr>
            <w:tcW w:w="4608" w:type="dxa"/>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Minutes to complete, non-</w:t>
            </w:r>
            <w:r>
              <w:rPr>
                <w:rFonts w:ascii="Calibri" w:hAnsi="Calibri"/>
                <w:color w:val="000000"/>
                <w:sz w:val="22"/>
                <w:szCs w:val="22"/>
              </w:rPr>
              <w:t>saltwater</w:t>
            </w:r>
            <w:r w:rsidRPr="00E76985">
              <w:rPr>
                <w:rFonts w:ascii="Calibri" w:hAnsi="Calibri"/>
                <w:color w:val="000000"/>
                <w:sz w:val="22"/>
                <w:szCs w:val="22"/>
              </w:rPr>
              <w:t xml:space="preserve"> angler</w:t>
            </w:r>
          </w:p>
        </w:tc>
        <w:tc>
          <w:tcPr>
            <w:tcW w:w="1866"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All</w:t>
            </w:r>
          </w:p>
        </w:tc>
        <w:tc>
          <w:tcPr>
            <w:tcW w:w="1260" w:type="dxa"/>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10</w:t>
            </w:r>
          </w:p>
        </w:tc>
      </w:tr>
      <w:tr w:rsidR="005E3715" w:rsidRPr="00E76985" w:rsidTr="00CF002D">
        <w:tc>
          <w:tcPr>
            <w:tcW w:w="4608" w:type="dxa"/>
            <w:tcBorders>
              <w:bottom w:val="single" w:sz="4" w:space="0" w:color="auto"/>
            </w:tcBorders>
            <w:shd w:val="clear" w:color="auto" w:fill="auto"/>
            <w:vAlign w:val="bottom"/>
          </w:tcPr>
          <w:p w:rsidR="005E3715" w:rsidRPr="00E76985" w:rsidRDefault="005E3715" w:rsidP="00CF002D">
            <w:pPr>
              <w:rPr>
                <w:rFonts w:ascii="Calibri" w:hAnsi="Calibri"/>
                <w:color w:val="000000"/>
                <w:sz w:val="22"/>
                <w:szCs w:val="22"/>
              </w:rPr>
            </w:pPr>
            <w:r w:rsidRPr="00E76985">
              <w:rPr>
                <w:rFonts w:ascii="Calibri" w:hAnsi="Calibri"/>
                <w:color w:val="000000"/>
                <w:sz w:val="22"/>
                <w:szCs w:val="22"/>
              </w:rPr>
              <w:t>Minutes to complete phone survey</w:t>
            </w:r>
          </w:p>
        </w:tc>
        <w:tc>
          <w:tcPr>
            <w:tcW w:w="1866" w:type="dxa"/>
            <w:tcBorders>
              <w:bottom w:val="single" w:sz="4" w:space="0" w:color="auto"/>
            </w:tcBorders>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All</w:t>
            </w:r>
          </w:p>
        </w:tc>
        <w:tc>
          <w:tcPr>
            <w:tcW w:w="1260" w:type="dxa"/>
            <w:tcBorders>
              <w:bottom w:val="single" w:sz="4" w:space="0" w:color="auto"/>
            </w:tcBorders>
            <w:shd w:val="clear" w:color="auto" w:fill="auto"/>
            <w:vAlign w:val="bottom"/>
          </w:tcPr>
          <w:p w:rsidR="005E3715" w:rsidRPr="00E76985" w:rsidRDefault="005E3715" w:rsidP="00CF002D">
            <w:pPr>
              <w:jc w:val="center"/>
              <w:rPr>
                <w:rFonts w:ascii="Calibri" w:hAnsi="Calibri"/>
                <w:color w:val="000000"/>
                <w:sz w:val="22"/>
                <w:szCs w:val="22"/>
              </w:rPr>
            </w:pPr>
            <w:r w:rsidRPr="00E76985">
              <w:rPr>
                <w:rFonts w:ascii="Calibri" w:hAnsi="Calibri"/>
                <w:color w:val="000000"/>
                <w:sz w:val="22"/>
                <w:szCs w:val="22"/>
              </w:rPr>
              <w:t>3</w:t>
            </w:r>
          </w:p>
        </w:tc>
      </w:tr>
    </w:tbl>
    <w:p w:rsidR="005E3715" w:rsidRDefault="005E3715" w:rsidP="005E3715">
      <w:pPr>
        <w:rPr>
          <w:sz w:val="24"/>
          <w:szCs w:val="24"/>
        </w:rPr>
      </w:pPr>
    </w:p>
    <w:p w:rsidR="004B753D" w:rsidRDefault="004B753D">
      <w:bookmarkStart w:id="0" w:name="_GoBack"/>
      <w:bookmarkEnd w:id="0"/>
    </w:p>
    <w:sectPr w:rsidR="004B753D" w:rsidSect="0085229A">
      <w:footnotePr>
        <w:numRestart w:val="eachSect"/>
      </w:footnotePr>
      <w:endnotePr>
        <w:numFmt w:val="decimal"/>
      </w:endnotePr>
      <w:pgSz w:w="12240" w:h="15840"/>
      <w:pgMar w:top="1440" w:right="1440" w:bottom="108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7D" w:rsidRDefault="005E3715">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5</w:t>
    </w:r>
    <w:r>
      <w:rPr>
        <w:rStyle w:val="PageNumber"/>
        <w:sz w:val="24"/>
        <w:szCs w:val="24"/>
      </w:rPr>
      <w:fldChar w:fldCharType="end"/>
    </w:r>
  </w:p>
  <w:p w:rsidR="00B2297D" w:rsidRDefault="005E371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715"/>
    <w:rsid w:val="004B753D"/>
    <w:rsid w:val="005E3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7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E3715"/>
    <w:pPr>
      <w:tabs>
        <w:tab w:val="center" w:pos="4320"/>
        <w:tab w:val="right" w:pos="8640"/>
      </w:tabs>
    </w:pPr>
  </w:style>
  <w:style w:type="character" w:customStyle="1" w:styleId="FooterChar">
    <w:name w:val="Footer Char"/>
    <w:basedOn w:val="DefaultParagraphFont"/>
    <w:link w:val="Footer"/>
    <w:rsid w:val="005E3715"/>
    <w:rPr>
      <w:rFonts w:ascii="Times New Roman" w:eastAsia="Times New Roman" w:hAnsi="Times New Roman" w:cs="Times New Roman"/>
      <w:sz w:val="20"/>
      <w:szCs w:val="20"/>
    </w:rPr>
  </w:style>
  <w:style w:type="character" w:styleId="PageNumber">
    <w:name w:val="page number"/>
    <w:basedOn w:val="DefaultParagraphFont"/>
    <w:rsid w:val="005E3715"/>
  </w:style>
  <w:style w:type="paragraph" w:styleId="BalloonText">
    <w:name w:val="Balloon Text"/>
    <w:basedOn w:val="Normal"/>
    <w:link w:val="BalloonTextChar"/>
    <w:uiPriority w:val="99"/>
    <w:semiHidden/>
    <w:unhideWhenUsed/>
    <w:rsid w:val="005E3715"/>
    <w:rPr>
      <w:rFonts w:ascii="Tahoma" w:hAnsi="Tahoma" w:cs="Tahoma"/>
      <w:sz w:val="16"/>
      <w:szCs w:val="16"/>
    </w:rPr>
  </w:style>
  <w:style w:type="character" w:customStyle="1" w:styleId="BalloonTextChar">
    <w:name w:val="Balloon Text Char"/>
    <w:basedOn w:val="DefaultParagraphFont"/>
    <w:link w:val="BalloonText"/>
    <w:uiPriority w:val="99"/>
    <w:semiHidden/>
    <w:rsid w:val="005E371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7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E3715"/>
    <w:pPr>
      <w:tabs>
        <w:tab w:val="center" w:pos="4320"/>
        <w:tab w:val="right" w:pos="8640"/>
      </w:tabs>
    </w:pPr>
  </w:style>
  <w:style w:type="character" w:customStyle="1" w:styleId="FooterChar">
    <w:name w:val="Footer Char"/>
    <w:basedOn w:val="DefaultParagraphFont"/>
    <w:link w:val="Footer"/>
    <w:rsid w:val="005E3715"/>
    <w:rPr>
      <w:rFonts w:ascii="Times New Roman" w:eastAsia="Times New Roman" w:hAnsi="Times New Roman" w:cs="Times New Roman"/>
      <w:sz w:val="20"/>
      <w:szCs w:val="20"/>
    </w:rPr>
  </w:style>
  <w:style w:type="character" w:styleId="PageNumber">
    <w:name w:val="page number"/>
    <w:basedOn w:val="DefaultParagraphFont"/>
    <w:rsid w:val="005E3715"/>
  </w:style>
  <w:style w:type="paragraph" w:styleId="BalloonText">
    <w:name w:val="Balloon Text"/>
    <w:basedOn w:val="Normal"/>
    <w:link w:val="BalloonTextChar"/>
    <w:uiPriority w:val="99"/>
    <w:semiHidden/>
    <w:unhideWhenUsed/>
    <w:rsid w:val="005E3715"/>
    <w:rPr>
      <w:rFonts w:ascii="Tahoma" w:hAnsi="Tahoma" w:cs="Tahoma"/>
      <w:sz w:val="16"/>
      <w:szCs w:val="16"/>
    </w:rPr>
  </w:style>
  <w:style w:type="character" w:customStyle="1" w:styleId="BalloonTextChar">
    <w:name w:val="Balloon Text Char"/>
    <w:basedOn w:val="DefaultParagraphFont"/>
    <w:link w:val="BalloonText"/>
    <w:uiPriority w:val="99"/>
    <w:semiHidden/>
    <w:rsid w:val="005E371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B205D-ECB9-4062-A9FB-EEE5C0F29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Words>
  <Characters>1256</Characters>
  <Application>Microsoft Office Word</Application>
  <DocSecurity>0</DocSecurity>
  <Lines>10</Lines>
  <Paragraphs>2</Paragraphs>
  <ScaleCrop>false</ScaleCrop>
  <Company>NOAA</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2017-01-23T16:28:00Z</dcterms:created>
  <dcterms:modified xsi:type="dcterms:W3CDTF">2017-01-23T16:28:00Z</dcterms:modified>
</cp:coreProperties>
</file>