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E84B7" w14:textId="14302904" w:rsidR="00F138F6" w:rsidRDefault="00C82841" w:rsidP="00884313">
      <w:pPr>
        <w:widowControl/>
        <w:jc w:val="center"/>
        <w:rPr>
          <w:rFonts w:ascii="Arial" w:hAnsi="Arial" w:cs="Arial"/>
          <w:sz w:val="22"/>
          <w:szCs w:val="22"/>
        </w:rPr>
      </w:pPr>
      <w:r>
        <w:rPr>
          <w:rFonts w:ascii="Arial" w:hAnsi="Arial" w:cs="Arial"/>
          <w:sz w:val="22"/>
          <w:szCs w:val="22"/>
        </w:rPr>
        <w:t xml:space="preserve"> </w:t>
      </w:r>
      <w:r w:rsidR="00B07771">
        <w:rPr>
          <w:rFonts w:ascii="Arial" w:hAnsi="Arial" w:cs="Arial"/>
          <w:sz w:val="22"/>
          <w:szCs w:val="22"/>
        </w:rPr>
        <w:t>FINAL</w:t>
      </w:r>
      <w:r w:rsidR="00B07771" w:rsidRPr="00D44EE9">
        <w:rPr>
          <w:rFonts w:ascii="Arial" w:hAnsi="Arial" w:cs="Arial"/>
          <w:sz w:val="22"/>
          <w:szCs w:val="22"/>
        </w:rPr>
        <w:t xml:space="preserve"> </w:t>
      </w:r>
      <w:r w:rsidR="002E24C0" w:rsidRPr="00D44EE9">
        <w:rPr>
          <w:rFonts w:ascii="Arial" w:hAnsi="Arial" w:cs="Arial"/>
          <w:sz w:val="22"/>
          <w:szCs w:val="22"/>
        </w:rPr>
        <w:t>S</w:t>
      </w:r>
      <w:r w:rsidR="002E24C0" w:rsidRPr="009F5AF4">
        <w:rPr>
          <w:rFonts w:ascii="Arial" w:hAnsi="Arial" w:cs="Arial"/>
          <w:sz w:val="22"/>
          <w:szCs w:val="22"/>
        </w:rPr>
        <w:t>UPPORTING STATEMENT</w:t>
      </w:r>
    </w:p>
    <w:p w14:paraId="6B262809" w14:textId="77777777" w:rsidR="00F138F6" w:rsidRDefault="002E24C0" w:rsidP="00884313">
      <w:pPr>
        <w:widowControl/>
        <w:jc w:val="center"/>
        <w:rPr>
          <w:rFonts w:ascii="Arial" w:hAnsi="Arial" w:cs="Arial"/>
          <w:sz w:val="22"/>
          <w:szCs w:val="22"/>
        </w:rPr>
      </w:pPr>
      <w:r w:rsidRPr="009F5AF4">
        <w:rPr>
          <w:rFonts w:ascii="Arial" w:hAnsi="Arial" w:cs="Arial"/>
          <w:sz w:val="22"/>
          <w:szCs w:val="22"/>
        </w:rPr>
        <w:t>FOR</w:t>
      </w:r>
    </w:p>
    <w:p w14:paraId="31DACD05" w14:textId="77777777" w:rsidR="00F138F6" w:rsidRDefault="006C112A" w:rsidP="006C112A">
      <w:pPr>
        <w:widowControl/>
        <w:tabs>
          <w:tab w:val="center" w:pos="4680"/>
          <w:tab w:val="right" w:pos="9360"/>
        </w:tabs>
        <w:rPr>
          <w:rFonts w:ascii="Arial" w:hAnsi="Arial" w:cs="Arial"/>
          <w:sz w:val="22"/>
          <w:szCs w:val="22"/>
        </w:rPr>
      </w:pPr>
      <w:r>
        <w:rPr>
          <w:rFonts w:ascii="Arial" w:hAnsi="Arial" w:cs="Arial"/>
          <w:sz w:val="22"/>
          <w:szCs w:val="22"/>
        </w:rPr>
        <w:tab/>
      </w:r>
      <w:r w:rsidR="00F138F6">
        <w:rPr>
          <w:rFonts w:ascii="Arial" w:hAnsi="Arial" w:cs="Arial"/>
          <w:sz w:val="22"/>
          <w:szCs w:val="22"/>
        </w:rPr>
        <w:t>10 CFR</w:t>
      </w:r>
      <w:r w:rsidR="00222DD7">
        <w:rPr>
          <w:rFonts w:ascii="Arial" w:hAnsi="Arial" w:cs="Arial"/>
          <w:sz w:val="22"/>
          <w:szCs w:val="22"/>
        </w:rPr>
        <w:t xml:space="preserve"> PART</w:t>
      </w:r>
      <w:r w:rsidR="002E24C0" w:rsidRPr="009F5AF4">
        <w:rPr>
          <w:rFonts w:ascii="Arial" w:hAnsi="Arial" w:cs="Arial"/>
          <w:sz w:val="22"/>
          <w:szCs w:val="22"/>
        </w:rPr>
        <w:t xml:space="preserve"> 21</w:t>
      </w:r>
      <w:r>
        <w:rPr>
          <w:rFonts w:ascii="Arial" w:hAnsi="Arial" w:cs="Arial"/>
          <w:sz w:val="22"/>
          <w:szCs w:val="22"/>
        </w:rPr>
        <w:tab/>
      </w:r>
    </w:p>
    <w:p w14:paraId="31F7F416" w14:textId="77777777" w:rsidR="00F138F6" w:rsidRDefault="00222DD7" w:rsidP="00884313">
      <w:pPr>
        <w:widowControl/>
        <w:jc w:val="center"/>
        <w:rPr>
          <w:rFonts w:ascii="Arial" w:hAnsi="Arial" w:cs="Arial"/>
          <w:sz w:val="22"/>
          <w:szCs w:val="22"/>
        </w:rPr>
      </w:pPr>
      <w:r>
        <w:rPr>
          <w:rFonts w:ascii="Arial" w:hAnsi="Arial" w:cs="Arial"/>
          <w:sz w:val="22"/>
          <w:szCs w:val="22"/>
        </w:rPr>
        <w:t xml:space="preserve"> </w:t>
      </w:r>
      <w:r w:rsidR="00A879F3" w:rsidRPr="009F5AF4">
        <w:rPr>
          <w:rFonts w:ascii="Arial" w:hAnsi="Arial" w:cs="Arial"/>
          <w:sz w:val="22"/>
          <w:szCs w:val="22"/>
        </w:rPr>
        <w:t>"REPORTING OF DEFECTS AND NONCOMPLIANCE"</w:t>
      </w:r>
    </w:p>
    <w:p w14:paraId="105BBD79" w14:textId="77777777" w:rsidR="00F138F6" w:rsidRDefault="00F138F6" w:rsidP="00884313">
      <w:pPr>
        <w:widowControl/>
        <w:jc w:val="center"/>
        <w:rPr>
          <w:rFonts w:ascii="Arial" w:hAnsi="Arial" w:cs="Arial"/>
          <w:sz w:val="22"/>
          <w:szCs w:val="22"/>
        </w:rPr>
      </w:pPr>
    </w:p>
    <w:p w14:paraId="2A807764" w14:textId="77777777" w:rsidR="00F138F6" w:rsidRDefault="00706C86" w:rsidP="00F5173E">
      <w:pPr>
        <w:widowControl/>
        <w:jc w:val="center"/>
        <w:rPr>
          <w:rFonts w:ascii="Arial" w:hAnsi="Arial" w:cs="Arial"/>
          <w:sz w:val="22"/>
          <w:szCs w:val="22"/>
        </w:rPr>
      </w:pPr>
      <w:r w:rsidRPr="009F5AF4">
        <w:rPr>
          <w:rFonts w:ascii="Arial" w:hAnsi="Arial" w:cs="Arial"/>
          <w:sz w:val="22"/>
          <w:szCs w:val="22"/>
        </w:rPr>
        <w:t>3150-0035</w:t>
      </w:r>
    </w:p>
    <w:p w14:paraId="481FCD82" w14:textId="77777777" w:rsidR="00084D35" w:rsidRDefault="00084D35" w:rsidP="00F5173E">
      <w:pPr>
        <w:widowControl/>
        <w:jc w:val="center"/>
        <w:rPr>
          <w:rFonts w:ascii="Arial" w:hAnsi="Arial" w:cs="Arial"/>
          <w:sz w:val="22"/>
          <w:szCs w:val="22"/>
        </w:rPr>
      </w:pPr>
    </w:p>
    <w:p w14:paraId="1D710628" w14:textId="77777777" w:rsidR="00706C86" w:rsidRPr="009F5AF4" w:rsidRDefault="00B2545B" w:rsidP="00B2545B">
      <w:pPr>
        <w:widowControl/>
        <w:tabs>
          <w:tab w:val="center" w:pos="4680"/>
          <w:tab w:val="left" w:pos="8304"/>
        </w:tabs>
        <w:rPr>
          <w:rFonts w:ascii="Arial" w:hAnsi="Arial" w:cs="Arial"/>
          <w:sz w:val="22"/>
          <w:szCs w:val="22"/>
        </w:rPr>
      </w:pPr>
      <w:r>
        <w:rPr>
          <w:rFonts w:ascii="Arial" w:hAnsi="Arial" w:cs="Arial"/>
          <w:sz w:val="22"/>
          <w:szCs w:val="22"/>
        </w:rPr>
        <w:tab/>
      </w:r>
      <w:r w:rsidR="00884313" w:rsidRPr="009F5AF4">
        <w:rPr>
          <w:rFonts w:ascii="Arial" w:hAnsi="Arial" w:cs="Arial"/>
          <w:sz w:val="22"/>
          <w:szCs w:val="22"/>
        </w:rPr>
        <w:t>EXTEN</w:t>
      </w:r>
      <w:r w:rsidR="00706C86" w:rsidRPr="009F5AF4">
        <w:rPr>
          <w:rFonts w:ascii="Arial" w:hAnsi="Arial" w:cs="Arial"/>
          <w:sz w:val="22"/>
          <w:szCs w:val="22"/>
        </w:rPr>
        <w:t>SION</w:t>
      </w:r>
      <w:r>
        <w:rPr>
          <w:rFonts w:ascii="Arial" w:hAnsi="Arial" w:cs="Arial"/>
          <w:sz w:val="22"/>
          <w:szCs w:val="22"/>
        </w:rPr>
        <w:tab/>
      </w:r>
    </w:p>
    <w:p w14:paraId="1405E34F" w14:textId="77777777" w:rsidR="00A879F3" w:rsidRPr="009F5AF4" w:rsidRDefault="00A879F3">
      <w:pPr>
        <w:widowControl/>
        <w:jc w:val="center"/>
        <w:rPr>
          <w:rFonts w:ascii="Arial" w:hAnsi="Arial" w:cs="Arial"/>
          <w:sz w:val="22"/>
          <w:szCs w:val="22"/>
        </w:rPr>
      </w:pPr>
    </w:p>
    <w:p w14:paraId="40EDF8B5" w14:textId="77777777" w:rsidR="00A879F3" w:rsidRPr="009F5AF4" w:rsidRDefault="00A879F3">
      <w:pPr>
        <w:widowControl/>
        <w:rPr>
          <w:rFonts w:ascii="Arial" w:hAnsi="Arial" w:cs="Arial"/>
          <w:sz w:val="22"/>
          <w:szCs w:val="22"/>
        </w:rPr>
      </w:pPr>
      <w:r w:rsidRPr="009F5AF4">
        <w:rPr>
          <w:rFonts w:ascii="Arial" w:hAnsi="Arial" w:cs="Arial"/>
          <w:sz w:val="22"/>
          <w:szCs w:val="22"/>
          <w:u w:val="single"/>
        </w:rPr>
        <w:t>DESCRIPTION OF THE INFORMATION COLLECTION</w:t>
      </w:r>
    </w:p>
    <w:p w14:paraId="046B1BA3" w14:textId="77777777" w:rsidR="001F6EE0" w:rsidRPr="00756626" w:rsidRDefault="001F6EE0">
      <w:pPr>
        <w:widowControl/>
        <w:rPr>
          <w:rFonts w:ascii="Arial" w:hAnsi="Arial" w:cs="Arial"/>
          <w:sz w:val="22"/>
          <w:szCs w:val="22"/>
        </w:rPr>
      </w:pPr>
    </w:p>
    <w:p w14:paraId="1C0FF490" w14:textId="4BFFCBD6" w:rsidR="009807BD" w:rsidRDefault="00D46813" w:rsidP="00BB4281">
      <w:pPr>
        <w:widowControl/>
        <w:rPr>
          <w:rFonts w:ascii="Arial" w:hAnsi="Arial" w:cs="Arial"/>
          <w:sz w:val="22"/>
          <w:szCs w:val="22"/>
        </w:rPr>
      </w:pPr>
      <w:r w:rsidRPr="00BB4281">
        <w:rPr>
          <w:rFonts w:ascii="Arial" w:hAnsi="Arial" w:cs="Arial"/>
          <w:sz w:val="22"/>
          <w:szCs w:val="22"/>
        </w:rPr>
        <w:t>NRC regulations pertaining to reporting of defects and noncompliance in 10 CFR Part 21</w:t>
      </w:r>
      <w:r>
        <w:rPr>
          <w:rFonts w:ascii="Arial" w:hAnsi="Arial" w:cs="Arial"/>
          <w:sz w:val="22"/>
          <w:szCs w:val="22"/>
        </w:rPr>
        <w:t xml:space="preserve"> </w:t>
      </w:r>
      <w:r w:rsidRPr="009F5AF4">
        <w:rPr>
          <w:rFonts w:ascii="Arial" w:hAnsi="Arial" w:cs="Arial"/>
          <w:sz w:val="22"/>
          <w:szCs w:val="22"/>
        </w:rPr>
        <w:t xml:space="preserve">contains reporting and recordkeeping requirements which ensure that the NRC is informed of defects </w:t>
      </w:r>
      <w:r w:rsidR="00840979">
        <w:rPr>
          <w:rFonts w:ascii="Arial" w:hAnsi="Arial" w:cs="Arial"/>
          <w:sz w:val="22"/>
          <w:szCs w:val="22"/>
        </w:rPr>
        <w:t xml:space="preserve">in safety-related components </w:t>
      </w:r>
      <w:r w:rsidRPr="009F5AF4">
        <w:rPr>
          <w:rFonts w:ascii="Arial" w:hAnsi="Arial" w:cs="Arial"/>
          <w:sz w:val="22"/>
          <w:szCs w:val="22"/>
        </w:rPr>
        <w:t>so that the agency can take appropriate regulatory action.  Records are required to be maintained so that technical issues may be effectively resolved and to facilitate enforceability of the regulations.</w:t>
      </w:r>
      <w:r w:rsidR="009807BD" w:rsidRPr="009807BD">
        <w:rPr>
          <w:rFonts w:ascii="Arial" w:hAnsi="Arial" w:cs="Arial"/>
          <w:sz w:val="22"/>
          <w:szCs w:val="22"/>
        </w:rPr>
        <w:t xml:space="preserve"> </w:t>
      </w:r>
      <w:r w:rsidR="009807BD" w:rsidRPr="00651849">
        <w:rPr>
          <w:rFonts w:ascii="Arial" w:hAnsi="Arial" w:cs="Arial"/>
          <w:sz w:val="22"/>
          <w:szCs w:val="22"/>
        </w:rPr>
        <w:t xml:space="preserve">An estimated 2,000 licensees, vendors, and fuel facilities are </w:t>
      </w:r>
      <w:r w:rsidR="009807BD" w:rsidRPr="009F5AF4">
        <w:rPr>
          <w:rFonts w:ascii="Arial" w:hAnsi="Arial" w:cs="Arial"/>
          <w:sz w:val="22"/>
          <w:szCs w:val="22"/>
        </w:rPr>
        <w:t>under the scope of 10 CFR</w:t>
      </w:r>
      <w:r w:rsidR="009807BD">
        <w:rPr>
          <w:rFonts w:ascii="Arial" w:hAnsi="Arial" w:cs="Arial"/>
          <w:sz w:val="22"/>
          <w:szCs w:val="22"/>
        </w:rPr>
        <w:t xml:space="preserve"> Part</w:t>
      </w:r>
      <w:r w:rsidR="009807BD" w:rsidRPr="009F5AF4">
        <w:rPr>
          <w:rFonts w:ascii="Arial" w:hAnsi="Arial" w:cs="Arial"/>
          <w:sz w:val="22"/>
          <w:szCs w:val="22"/>
        </w:rPr>
        <w:t xml:space="preserve"> 21</w:t>
      </w:r>
      <w:r w:rsidR="009807BD" w:rsidRPr="00651849">
        <w:rPr>
          <w:rFonts w:ascii="Arial" w:hAnsi="Arial" w:cs="Arial"/>
          <w:sz w:val="22"/>
          <w:szCs w:val="22"/>
        </w:rPr>
        <w:t xml:space="preserve">; however, </w:t>
      </w:r>
      <w:r w:rsidR="009807BD" w:rsidRPr="00BD2EF0">
        <w:rPr>
          <w:rFonts w:ascii="Arial" w:hAnsi="Arial" w:cs="Arial"/>
          <w:sz w:val="22"/>
          <w:szCs w:val="22"/>
        </w:rPr>
        <w:t>only 350 of these entities are anticipated to submit a report or maintain records during the current clearance period</w:t>
      </w:r>
      <w:r w:rsidR="00305BE2" w:rsidRPr="00BD2EF0">
        <w:rPr>
          <w:rFonts w:ascii="Arial" w:hAnsi="Arial" w:cs="Arial"/>
          <w:sz w:val="22"/>
          <w:szCs w:val="22"/>
        </w:rPr>
        <w:t>.</w:t>
      </w:r>
      <w:r w:rsidR="009807BD" w:rsidRPr="00BD2EF0">
        <w:rPr>
          <w:rFonts w:ascii="Arial" w:hAnsi="Arial" w:cs="Arial"/>
          <w:sz w:val="22"/>
          <w:szCs w:val="22"/>
        </w:rPr>
        <w:t xml:space="preserve"> The NRC staff estimates that 20%</w:t>
      </w:r>
      <w:r w:rsidR="009807BD" w:rsidRPr="00BD2EF0">
        <w:rPr>
          <w:rFonts w:ascii="Arial" w:hAnsi="Arial" w:cs="Arial"/>
          <w:color w:val="FF0000"/>
          <w:sz w:val="22"/>
          <w:szCs w:val="22"/>
        </w:rPr>
        <w:t xml:space="preserve"> </w:t>
      </w:r>
      <w:r w:rsidR="009807BD" w:rsidRPr="00BD2EF0">
        <w:rPr>
          <w:rFonts w:ascii="Arial" w:hAnsi="Arial" w:cs="Arial"/>
          <w:sz w:val="22"/>
          <w:szCs w:val="22"/>
        </w:rPr>
        <w:t>of the 350 respondents may be sm</w:t>
      </w:r>
      <w:r w:rsidR="009807BD">
        <w:rPr>
          <w:rFonts w:ascii="Arial" w:hAnsi="Arial" w:cs="Arial"/>
          <w:sz w:val="22"/>
          <w:szCs w:val="22"/>
        </w:rPr>
        <w:t xml:space="preserve">all businesses. Section 206 requires these entities to report to the Commission </w:t>
      </w:r>
      <w:r w:rsidR="009807BD" w:rsidRPr="009F5AF4">
        <w:rPr>
          <w:rFonts w:ascii="Arial" w:hAnsi="Arial" w:cs="Arial"/>
          <w:sz w:val="22"/>
          <w:szCs w:val="22"/>
        </w:rPr>
        <w:t>the discovery of defects in basic components (safety-related) or failures to comply that could create a substantial safety hazard (SSH).</w:t>
      </w:r>
    </w:p>
    <w:p w14:paraId="2B260291" w14:textId="77777777" w:rsidR="00BB4281" w:rsidRDefault="00BB4281" w:rsidP="00D46813">
      <w:pPr>
        <w:widowControl/>
        <w:rPr>
          <w:rFonts w:ascii="Arial" w:hAnsi="Arial" w:cs="Arial"/>
          <w:sz w:val="22"/>
          <w:szCs w:val="22"/>
        </w:rPr>
      </w:pPr>
    </w:p>
    <w:p w14:paraId="6C3D4EBD" w14:textId="77777777" w:rsidR="00D46813" w:rsidRPr="009F5AF4" w:rsidRDefault="00D46813" w:rsidP="00D46813">
      <w:pPr>
        <w:widowControl/>
        <w:rPr>
          <w:rFonts w:ascii="Arial" w:hAnsi="Arial" w:cs="Arial"/>
          <w:sz w:val="22"/>
          <w:szCs w:val="22"/>
        </w:rPr>
      </w:pPr>
      <w:r>
        <w:rPr>
          <w:rFonts w:ascii="Arial" w:hAnsi="Arial" w:cs="Arial"/>
          <w:sz w:val="22"/>
          <w:szCs w:val="22"/>
        </w:rPr>
        <w:t>10 CFR 21.21(c)(4)(i-ix) does prescribe the information required in a report.  However the report may be submitted in any format.  The NRC has not developed a specific reporting form or template.</w:t>
      </w:r>
    </w:p>
    <w:p w14:paraId="07028F3E" w14:textId="77777777" w:rsidR="00A879F3" w:rsidRPr="009F5AF4" w:rsidRDefault="00A879F3">
      <w:pPr>
        <w:widowControl/>
        <w:rPr>
          <w:rFonts w:ascii="Arial" w:hAnsi="Arial" w:cs="Arial"/>
          <w:sz w:val="22"/>
          <w:szCs w:val="22"/>
        </w:rPr>
      </w:pPr>
    </w:p>
    <w:p w14:paraId="083DE444" w14:textId="77777777" w:rsidR="00A879F3" w:rsidRPr="009F5AF4" w:rsidRDefault="00F80DEC" w:rsidP="00F80DEC">
      <w:pPr>
        <w:pStyle w:val="Level1"/>
        <w:widowControl/>
        <w:tabs>
          <w:tab w:val="left" w:pos="-1440"/>
        </w:tabs>
        <w:rPr>
          <w:rFonts w:ascii="Arial" w:hAnsi="Arial" w:cs="Arial"/>
          <w:sz w:val="22"/>
          <w:szCs w:val="22"/>
        </w:rPr>
      </w:pPr>
      <w:r w:rsidRPr="009F5AF4">
        <w:rPr>
          <w:rFonts w:ascii="Arial" w:hAnsi="Arial" w:cs="Arial"/>
          <w:sz w:val="22"/>
          <w:szCs w:val="22"/>
        </w:rPr>
        <w:t>A.</w:t>
      </w:r>
      <w:r w:rsidRPr="009F5AF4">
        <w:rPr>
          <w:rFonts w:ascii="Arial" w:hAnsi="Arial" w:cs="Arial"/>
          <w:sz w:val="22"/>
          <w:szCs w:val="22"/>
        </w:rPr>
        <w:tab/>
      </w:r>
      <w:r w:rsidR="00A879F3" w:rsidRPr="009F5AF4">
        <w:rPr>
          <w:rFonts w:ascii="Arial" w:hAnsi="Arial" w:cs="Arial"/>
          <w:sz w:val="22"/>
          <w:szCs w:val="22"/>
          <w:u w:val="single"/>
        </w:rPr>
        <w:t>JUSTIFICATION</w:t>
      </w:r>
    </w:p>
    <w:p w14:paraId="496AB4A8" w14:textId="77777777" w:rsidR="00B334CA" w:rsidRPr="00756626" w:rsidRDefault="00B334CA">
      <w:pPr>
        <w:widowControl/>
        <w:rPr>
          <w:rFonts w:ascii="Arial" w:hAnsi="Arial" w:cs="Arial"/>
          <w:sz w:val="22"/>
          <w:szCs w:val="22"/>
        </w:rPr>
      </w:pPr>
    </w:p>
    <w:p w14:paraId="1DA17477" w14:textId="3193450F" w:rsidR="00A879F3" w:rsidRPr="00BB4281" w:rsidRDefault="00A879F3" w:rsidP="00BB4281">
      <w:pPr>
        <w:pStyle w:val="ListParagraph"/>
        <w:widowControl/>
        <w:numPr>
          <w:ilvl w:val="0"/>
          <w:numId w:val="7"/>
        </w:numPr>
        <w:tabs>
          <w:tab w:val="left" w:pos="-1440"/>
        </w:tabs>
        <w:rPr>
          <w:rFonts w:ascii="Arial" w:hAnsi="Arial" w:cs="Arial"/>
          <w:sz w:val="22"/>
          <w:szCs w:val="22"/>
          <w:u w:val="single"/>
        </w:rPr>
      </w:pPr>
      <w:r w:rsidRPr="00BB4281">
        <w:rPr>
          <w:rFonts w:ascii="Arial" w:hAnsi="Arial" w:cs="Arial"/>
          <w:sz w:val="22"/>
          <w:szCs w:val="22"/>
          <w:u w:val="single"/>
        </w:rPr>
        <w:t>Need for and Practi</w:t>
      </w:r>
      <w:r w:rsidR="001205E0">
        <w:rPr>
          <w:rFonts w:ascii="Arial" w:hAnsi="Arial" w:cs="Arial"/>
          <w:sz w:val="22"/>
          <w:szCs w:val="22"/>
          <w:u w:val="single"/>
        </w:rPr>
        <w:t>cal Utility of the</w:t>
      </w:r>
      <w:r w:rsidRPr="00BB4281">
        <w:rPr>
          <w:rFonts w:ascii="Arial" w:hAnsi="Arial" w:cs="Arial"/>
          <w:sz w:val="22"/>
          <w:szCs w:val="22"/>
          <w:u w:val="single"/>
        </w:rPr>
        <w:t xml:space="preserve"> Information</w:t>
      </w:r>
      <w:r w:rsidR="001205E0">
        <w:rPr>
          <w:rFonts w:ascii="Arial" w:hAnsi="Arial" w:cs="Arial"/>
          <w:sz w:val="22"/>
          <w:szCs w:val="22"/>
          <w:u w:val="single"/>
        </w:rPr>
        <w:t xml:space="preserve"> Collection</w:t>
      </w:r>
    </w:p>
    <w:p w14:paraId="55FDAE21" w14:textId="77777777" w:rsidR="00793C40" w:rsidRPr="00BB4281" w:rsidRDefault="00793C40" w:rsidP="00BB4281">
      <w:pPr>
        <w:pStyle w:val="ListParagraph"/>
        <w:widowControl/>
        <w:tabs>
          <w:tab w:val="left" w:pos="-1440"/>
        </w:tabs>
        <w:ind w:left="1440"/>
        <w:rPr>
          <w:rFonts w:ascii="Arial" w:hAnsi="Arial" w:cs="Arial"/>
          <w:sz w:val="22"/>
          <w:szCs w:val="22"/>
        </w:rPr>
      </w:pPr>
    </w:p>
    <w:p w14:paraId="000E0AF9" w14:textId="77777777" w:rsidR="00793C40" w:rsidRPr="009F5AF4" w:rsidRDefault="00793C40" w:rsidP="00BB4281">
      <w:pPr>
        <w:widowControl/>
        <w:ind w:left="1440"/>
        <w:rPr>
          <w:rFonts w:ascii="Arial" w:hAnsi="Arial" w:cs="Arial"/>
          <w:sz w:val="22"/>
          <w:szCs w:val="22"/>
        </w:rPr>
      </w:pPr>
      <w:r>
        <w:rPr>
          <w:rFonts w:ascii="Arial" w:hAnsi="Arial" w:cs="Arial"/>
          <w:sz w:val="22"/>
          <w:szCs w:val="22"/>
        </w:rPr>
        <w:t xml:space="preserve">Title </w:t>
      </w:r>
      <w:r w:rsidRPr="009F5AF4">
        <w:rPr>
          <w:rFonts w:ascii="Arial" w:hAnsi="Arial" w:cs="Arial"/>
          <w:sz w:val="22"/>
          <w:szCs w:val="22"/>
        </w:rPr>
        <w:t>10</w:t>
      </w:r>
      <w:r>
        <w:rPr>
          <w:rFonts w:ascii="Arial" w:hAnsi="Arial" w:cs="Arial"/>
          <w:sz w:val="22"/>
          <w:szCs w:val="22"/>
        </w:rPr>
        <w:t xml:space="preserve"> of the Code of Federal Regulation (10</w:t>
      </w:r>
      <w:r w:rsidRPr="009F5AF4">
        <w:rPr>
          <w:rFonts w:ascii="Arial" w:hAnsi="Arial" w:cs="Arial"/>
          <w:sz w:val="22"/>
          <w:szCs w:val="22"/>
        </w:rPr>
        <w:t xml:space="preserve"> CFR</w:t>
      </w:r>
      <w:r>
        <w:rPr>
          <w:rFonts w:ascii="Arial" w:hAnsi="Arial" w:cs="Arial"/>
          <w:sz w:val="22"/>
          <w:szCs w:val="22"/>
        </w:rPr>
        <w:t>) Part</w:t>
      </w:r>
      <w:r w:rsidRPr="009F5AF4">
        <w:rPr>
          <w:rFonts w:ascii="Arial" w:hAnsi="Arial" w:cs="Arial"/>
          <w:sz w:val="22"/>
          <w:szCs w:val="22"/>
        </w:rPr>
        <w:t xml:space="preserve"> 21, "Reporting of Defects and Noncompliance," implements Section 206 of the Energy Reorganization Act of 1974 (42 U.S.C. 5846).  Section 206 requires individual directors and responsible officers of firms constructing, owning, operating, or supplying the basic components of any facility or activity licensed under the Atomic Energy Act to report immediately to the Commission the discovery of defects in basic components (safety-related) or failures to comply that could create a SSH. </w:t>
      </w:r>
      <w:r>
        <w:rPr>
          <w:rFonts w:ascii="Arial" w:hAnsi="Arial" w:cs="Arial"/>
          <w:sz w:val="22"/>
          <w:szCs w:val="22"/>
        </w:rPr>
        <w:t>In</w:t>
      </w:r>
      <w:r w:rsidRPr="009F5AF4">
        <w:rPr>
          <w:rFonts w:ascii="Arial" w:hAnsi="Arial" w:cs="Arial"/>
          <w:sz w:val="22"/>
          <w:szCs w:val="22"/>
        </w:rPr>
        <w:t xml:space="preserve"> addition to imposing obligations on the individual directors and responsible officers of </w:t>
      </w:r>
      <w:r>
        <w:rPr>
          <w:rFonts w:ascii="Arial" w:hAnsi="Arial" w:cs="Arial"/>
          <w:sz w:val="22"/>
          <w:szCs w:val="22"/>
        </w:rPr>
        <w:t>the Nuclear Regulatory Commission (</w:t>
      </w:r>
      <w:r w:rsidRPr="009F5AF4">
        <w:rPr>
          <w:rFonts w:ascii="Arial" w:hAnsi="Arial" w:cs="Arial"/>
          <w:sz w:val="22"/>
          <w:szCs w:val="22"/>
        </w:rPr>
        <w:t>NRC</w:t>
      </w:r>
      <w:r>
        <w:rPr>
          <w:rFonts w:ascii="Arial" w:hAnsi="Arial" w:cs="Arial"/>
          <w:sz w:val="22"/>
          <w:szCs w:val="22"/>
        </w:rPr>
        <w:t>)</w:t>
      </w:r>
      <w:r w:rsidRPr="009F5AF4">
        <w:rPr>
          <w:rFonts w:ascii="Arial" w:hAnsi="Arial" w:cs="Arial"/>
          <w:sz w:val="22"/>
          <w:szCs w:val="22"/>
        </w:rPr>
        <w:t xml:space="preserve"> licensees, Section 206 also imposes obligations on the directors and responsible officers of non-licensees that construct facilities for, or supply basic components to, licensed facilities or activities.  Any individual officer or director who knowingly fails to comply with the notification requirements is subject to civil penalties.</w:t>
      </w:r>
    </w:p>
    <w:p w14:paraId="35C7A3E9" w14:textId="77777777" w:rsidR="00A879F3" w:rsidRPr="009F5AF4" w:rsidRDefault="00A879F3">
      <w:pPr>
        <w:widowControl/>
      </w:pPr>
    </w:p>
    <w:p w14:paraId="46E7F6FD" w14:textId="77777777" w:rsidR="00A879F3" w:rsidRPr="009F5AF4" w:rsidRDefault="00A879F3">
      <w:pPr>
        <w:widowControl/>
        <w:ind w:left="1440"/>
        <w:rPr>
          <w:rFonts w:ascii="Arial" w:hAnsi="Arial" w:cs="Arial"/>
          <w:sz w:val="22"/>
          <w:szCs w:val="22"/>
        </w:rPr>
      </w:pPr>
      <w:r w:rsidRPr="009F5AF4">
        <w:rPr>
          <w:rFonts w:ascii="Arial" w:hAnsi="Arial" w:cs="Arial"/>
          <w:sz w:val="22"/>
          <w:szCs w:val="22"/>
          <w:u w:val="single"/>
        </w:rPr>
        <w:t>10 CFR 21.21(a)</w:t>
      </w:r>
      <w:r w:rsidRPr="009F5AF4">
        <w:rPr>
          <w:rFonts w:ascii="Arial" w:hAnsi="Arial" w:cs="Arial"/>
          <w:sz w:val="22"/>
          <w:szCs w:val="22"/>
        </w:rPr>
        <w:t xml:space="preserve"> requires</w:t>
      </w:r>
      <w:r w:rsidR="007846BC" w:rsidRPr="009F5AF4">
        <w:rPr>
          <w:rFonts w:ascii="Arial" w:hAnsi="Arial" w:cs="Arial"/>
          <w:sz w:val="22"/>
          <w:szCs w:val="22"/>
        </w:rPr>
        <w:t xml:space="preserve"> each individual, corporation, partnership, commercial grade dedicating entity, or other entity subject to the regulations in this part</w:t>
      </w:r>
      <w:r w:rsidRPr="009F5AF4">
        <w:rPr>
          <w:rFonts w:ascii="Arial" w:hAnsi="Arial" w:cs="Arial"/>
          <w:sz w:val="22"/>
          <w:szCs w:val="22"/>
        </w:rPr>
        <w:t xml:space="preserve"> to adopt appropriate procedures to:</w:t>
      </w:r>
    </w:p>
    <w:p w14:paraId="4BFB2B1D" w14:textId="77777777" w:rsidR="00A879F3" w:rsidRPr="009F5AF4" w:rsidRDefault="00A879F3">
      <w:pPr>
        <w:widowControl/>
        <w:rPr>
          <w:rFonts w:ascii="Arial" w:hAnsi="Arial" w:cs="Arial"/>
          <w:sz w:val="22"/>
          <w:szCs w:val="22"/>
        </w:rPr>
      </w:pPr>
    </w:p>
    <w:p w14:paraId="7DB1E441" w14:textId="77777777" w:rsidR="00A879F3" w:rsidRPr="009F5AF4" w:rsidRDefault="007846BC">
      <w:pPr>
        <w:widowControl/>
        <w:tabs>
          <w:tab w:val="left" w:pos="-1440"/>
        </w:tabs>
        <w:ind w:left="2160" w:hanging="720"/>
        <w:rPr>
          <w:rFonts w:ascii="Arial" w:hAnsi="Arial" w:cs="Arial"/>
          <w:sz w:val="22"/>
          <w:szCs w:val="22"/>
        </w:rPr>
      </w:pPr>
      <w:r w:rsidRPr="009F5AF4">
        <w:rPr>
          <w:rFonts w:ascii="Arial" w:hAnsi="Arial" w:cs="Arial"/>
          <w:sz w:val="22"/>
          <w:szCs w:val="22"/>
        </w:rPr>
        <w:t>(1)</w:t>
      </w:r>
      <w:r w:rsidRPr="009F5AF4">
        <w:rPr>
          <w:rFonts w:ascii="Arial" w:hAnsi="Arial" w:cs="Arial"/>
          <w:sz w:val="22"/>
          <w:szCs w:val="22"/>
        </w:rPr>
        <w:tab/>
        <w:t>E</w:t>
      </w:r>
      <w:r w:rsidR="00A879F3" w:rsidRPr="009F5AF4">
        <w:rPr>
          <w:rFonts w:ascii="Arial" w:hAnsi="Arial" w:cs="Arial"/>
          <w:sz w:val="22"/>
          <w:szCs w:val="22"/>
        </w:rPr>
        <w:t xml:space="preserve">valuate deviations and failures to comply to determine whether a defect exists that could result in an SSH.  </w:t>
      </w:r>
      <w:r w:rsidR="00A879F3" w:rsidRPr="00BD2EF0">
        <w:rPr>
          <w:rFonts w:ascii="Arial" w:hAnsi="Arial" w:cs="Arial"/>
          <w:sz w:val="22"/>
          <w:szCs w:val="22"/>
        </w:rPr>
        <w:t xml:space="preserve">Depending upon the outcome of the </w:t>
      </w:r>
      <w:r w:rsidR="00A879F3" w:rsidRPr="00BD2EF0">
        <w:rPr>
          <w:rFonts w:ascii="Arial" w:hAnsi="Arial" w:cs="Arial"/>
          <w:sz w:val="22"/>
          <w:szCs w:val="22"/>
        </w:rPr>
        <w:lastRenderedPageBreak/>
        <w:t>evaluation, a report of the defect must be submitted to NRC as discussed under 10 CFR 21.21(d)(1) below.</w:t>
      </w:r>
      <w:r w:rsidR="00A879F3" w:rsidRPr="009F5AF4">
        <w:rPr>
          <w:rFonts w:ascii="Arial" w:hAnsi="Arial" w:cs="Arial"/>
          <w:sz w:val="22"/>
          <w:szCs w:val="22"/>
        </w:rPr>
        <w:t xml:space="preserve">  </w:t>
      </w:r>
    </w:p>
    <w:p w14:paraId="2C8E80F5" w14:textId="77777777" w:rsidR="00A879F3" w:rsidRPr="009F5AF4" w:rsidRDefault="00A879F3">
      <w:pPr>
        <w:widowControl/>
        <w:rPr>
          <w:rFonts w:ascii="Arial" w:hAnsi="Arial" w:cs="Arial"/>
          <w:sz w:val="22"/>
          <w:szCs w:val="22"/>
        </w:rPr>
      </w:pPr>
    </w:p>
    <w:p w14:paraId="71F60DD8" w14:textId="77777777" w:rsidR="00A879F3" w:rsidRPr="009F5AF4" w:rsidRDefault="007846BC">
      <w:pPr>
        <w:widowControl/>
        <w:tabs>
          <w:tab w:val="left" w:pos="-1440"/>
        </w:tabs>
        <w:ind w:left="2160" w:hanging="720"/>
        <w:rPr>
          <w:rFonts w:ascii="Arial" w:hAnsi="Arial" w:cs="Arial"/>
          <w:sz w:val="22"/>
          <w:szCs w:val="22"/>
        </w:rPr>
      </w:pPr>
      <w:r w:rsidRPr="009F5AF4">
        <w:rPr>
          <w:rFonts w:ascii="Arial" w:hAnsi="Arial" w:cs="Arial"/>
          <w:sz w:val="22"/>
          <w:szCs w:val="22"/>
        </w:rPr>
        <w:t>(2)</w:t>
      </w:r>
      <w:r w:rsidRPr="009F5AF4">
        <w:rPr>
          <w:rFonts w:ascii="Arial" w:hAnsi="Arial" w:cs="Arial"/>
          <w:sz w:val="22"/>
          <w:szCs w:val="22"/>
        </w:rPr>
        <w:tab/>
        <w:t>Ensure that if the supplier</w:t>
      </w:r>
      <w:r w:rsidR="00A879F3" w:rsidRPr="009F5AF4">
        <w:rPr>
          <w:rFonts w:ascii="Arial" w:hAnsi="Arial" w:cs="Arial"/>
          <w:sz w:val="22"/>
          <w:szCs w:val="22"/>
        </w:rPr>
        <w:t xml:space="preserve"> or licensee cannot complete an evaluation of either the failure to comply or deviation within 60 days of its discovery, an interim written report should be submitted to the Commission describing the deviation or the failure to comply.  The report must be submitted within 60 days of discovery of the deviation or the failure to comply.</w:t>
      </w:r>
    </w:p>
    <w:p w14:paraId="077E0551" w14:textId="77777777" w:rsidR="00A879F3" w:rsidRPr="009F5AF4" w:rsidRDefault="00A879F3">
      <w:pPr>
        <w:widowControl/>
        <w:rPr>
          <w:rFonts w:ascii="Arial" w:hAnsi="Arial" w:cs="Arial"/>
          <w:sz w:val="22"/>
          <w:szCs w:val="22"/>
        </w:rPr>
      </w:pPr>
    </w:p>
    <w:p w14:paraId="089EB2FF" w14:textId="77777777" w:rsidR="00A879F3" w:rsidRPr="009F5AF4" w:rsidRDefault="007846BC">
      <w:pPr>
        <w:widowControl/>
        <w:tabs>
          <w:tab w:val="left" w:pos="-1440"/>
        </w:tabs>
        <w:ind w:left="2160" w:hanging="720"/>
        <w:rPr>
          <w:rFonts w:ascii="Arial" w:hAnsi="Arial" w:cs="Arial"/>
          <w:sz w:val="22"/>
          <w:szCs w:val="22"/>
        </w:rPr>
      </w:pPr>
      <w:r w:rsidRPr="009F5AF4">
        <w:rPr>
          <w:rFonts w:ascii="Arial" w:hAnsi="Arial" w:cs="Arial"/>
          <w:sz w:val="22"/>
          <w:szCs w:val="22"/>
        </w:rPr>
        <w:t>(3)</w:t>
      </w:r>
      <w:r w:rsidRPr="009F5AF4">
        <w:rPr>
          <w:rFonts w:ascii="Arial" w:hAnsi="Arial" w:cs="Arial"/>
          <w:sz w:val="22"/>
          <w:szCs w:val="22"/>
        </w:rPr>
        <w:tab/>
        <w:t>E</w:t>
      </w:r>
      <w:r w:rsidR="00A879F3" w:rsidRPr="009F5AF4">
        <w:rPr>
          <w:rFonts w:ascii="Arial" w:hAnsi="Arial" w:cs="Arial"/>
          <w:sz w:val="22"/>
          <w:szCs w:val="22"/>
        </w:rPr>
        <w:t>nsure that a director or responsible officer of a company covered by 10 CFR</w:t>
      </w:r>
      <w:r w:rsidR="00222DD7">
        <w:rPr>
          <w:rFonts w:ascii="Arial" w:hAnsi="Arial" w:cs="Arial"/>
          <w:sz w:val="22"/>
          <w:szCs w:val="22"/>
        </w:rPr>
        <w:t xml:space="preserve"> Part</w:t>
      </w:r>
      <w:r w:rsidR="00A879F3" w:rsidRPr="009F5AF4">
        <w:rPr>
          <w:rFonts w:ascii="Arial" w:hAnsi="Arial" w:cs="Arial"/>
          <w:sz w:val="22"/>
          <w:szCs w:val="22"/>
        </w:rPr>
        <w:t xml:space="preserve"> 21 be notified within 5 working days of the determination, based on the evaluation under 10 CFR 21.21(a)(1) and (2) above, that a defect or failure to comply exists.</w:t>
      </w:r>
    </w:p>
    <w:p w14:paraId="4B458773" w14:textId="77777777" w:rsidR="00A879F3" w:rsidRPr="009F5AF4" w:rsidRDefault="00A879F3">
      <w:pPr>
        <w:widowControl/>
        <w:rPr>
          <w:rFonts w:ascii="Arial" w:hAnsi="Arial" w:cs="Arial"/>
          <w:sz w:val="22"/>
          <w:szCs w:val="22"/>
        </w:rPr>
      </w:pPr>
    </w:p>
    <w:p w14:paraId="456A2410" w14:textId="77777777" w:rsidR="00A879F3" w:rsidRPr="009F5AF4" w:rsidRDefault="00A879F3">
      <w:pPr>
        <w:widowControl/>
        <w:ind w:left="1440"/>
        <w:rPr>
          <w:rFonts w:ascii="Arial" w:hAnsi="Arial" w:cs="Arial"/>
          <w:sz w:val="22"/>
          <w:szCs w:val="22"/>
        </w:rPr>
      </w:pPr>
      <w:r w:rsidRPr="009F5AF4">
        <w:rPr>
          <w:rFonts w:ascii="Arial" w:hAnsi="Arial" w:cs="Arial"/>
          <w:sz w:val="22"/>
          <w:szCs w:val="22"/>
          <w:u w:val="single"/>
        </w:rPr>
        <w:t>10 CFR 21.21(b)</w:t>
      </w:r>
      <w:r w:rsidRPr="009F5AF4">
        <w:rPr>
          <w:rFonts w:ascii="Arial" w:hAnsi="Arial" w:cs="Arial"/>
          <w:sz w:val="22"/>
          <w:szCs w:val="22"/>
        </w:rPr>
        <w:t xml:space="preserve"> requires that a </w:t>
      </w:r>
      <w:r w:rsidR="007846BC" w:rsidRPr="009F5AF4">
        <w:rPr>
          <w:rFonts w:ascii="Arial" w:hAnsi="Arial" w:cs="Arial"/>
          <w:sz w:val="22"/>
          <w:szCs w:val="22"/>
        </w:rPr>
        <w:t xml:space="preserve">supplier </w:t>
      </w:r>
      <w:r w:rsidRPr="009F5AF4">
        <w:rPr>
          <w:rFonts w:ascii="Arial" w:hAnsi="Arial" w:cs="Arial"/>
          <w:sz w:val="22"/>
          <w:szCs w:val="22"/>
        </w:rPr>
        <w:t>that lacks the ability and/or information to perform an evaluation of a deviation transmit information to the purchasers of, or affected licensees that, possess the basic component within 5 working days of the determination.  The purchasers or affected licensees are then expected to evaluate the information as discussed under 10 CFR 21.21(a)(1) above.</w:t>
      </w:r>
    </w:p>
    <w:p w14:paraId="13F65920" w14:textId="77777777" w:rsidR="00A879F3" w:rsidRPr="009F5AF4" w:rsidRDefault="00A879F3">
      <w:pPr>
        <w:widowControl/>
        <w:rPr>
          <w:rFonts w:ascii="Arial" w:hAnsi="Arial" w:cs="Arial"/>
          <w:sz w:val="22"/>
          <w:szCs w:val="22"/>
        </w:rPr>
      </w:pPr>
    </w:p>
    <w:p w14:paraId="6CC5D5E6" w14:textId="77777777" w:rsidR="00A879F3" w:rsidRPr="009F5AF4" w:rsidRDefault="00A879F3">
      <w:pPr>
        <w:widowControl/>
        <w:ind w:left="1440"/>
        <w:rPr>
          <w:rFonts w:ascii="Arial" w:hAnsi="Arial" w:cs="Arial"/>
          <w:sz w:val="22"/>
          <w:szCs w:val="22"/>
        </w:rPr>
      </w:pPr>
      <w:r w:rsidRPr="009F5AF4">
        <w:rPr>
          <w:rFonts w:ascii="Arial" w:hAnsi="Arial" w:cs="Arial"/>
          <w:sz w:val="22"/>
          <w:szCs w:val="22"/>
          <w:u w:val="single"/>
        </w:rPr>
        <w:t>10 CFR 21.21(d)(1)</w:t>
      </w:r>
      <w:r w:rsidRPr="009F5AF4">
        <w:rPr>
          <w:rFonts w:ascii="Arial" w:hAnsi="Arial" w:cs="Arial"/>
          <w:sz w:val="22"/>
          <w:szCs w:val="22"/>
        </w:rPr>
        <w:t xml:space="preserve"> </w:t>
      </w:r>
      <w:r w:rsidRPr="008D061C">
        <w:rPr>
          <w:rFonts w:ascii="Arial" w:hAnsi="Arial" w:cs="Arial"/>
          <w:sz w:val="22"/>
          <w:szCs w:val="22"/>
        </w:rPr>
        <w:t>requires that a director or responsible officer subject to 10 CFR</w:t>
      </w:r>
      <w:r w:rsidR="00222DD7" w:rsidRPr="008D061C">
        <w:rPr>
          <w:rFonts w:ascii="Arial" w:hAnsi="Arial" w:cs="Arial"/>
          <w:sz w:val="22"/>
          <w:szCs w:val="22"/>
        </w:rPr>
        <w:t xml:space="preserve"> Part</w:t>
      </w:r>
      <w:r w:rsidRPr="008D061C">
        <w:rPr>
          <w:rFonts w:ascii="Arial" w:hAnsi="Arial" w:cs="Arial"/>
          <w:sz w:val="22"/>
          <w:szCs w:val="22"/>
        </w:rPr>
        <w:t> 21, or a person designated under 10 CFR 21.21(d)(5), notify the Commission when h</w:t>
      </w:r>
      <w:r w:rsidRPr="009F5AF4">
        <w:rPr>
          <w:rFonts w:ascii="Arial" w:hAnsi="Arial" w:cs="Arial"/>
          <w:sz w:val="22"/>
          <w:szCs w:val="22"/>
        </w:rPr>
        <w:t>e or she obtains information reasonably indicating a failure to comply or a defect affecting (</w:t>
      </w:r>
      <w:r w:rsidR="00FE57DD">
        <w:rPr>
          <w:rFonts w:ascii="Arial" w:hAnsi="Arial" w:cs="Arial"/>
          <w:sz w:val="22"/>
          <w:szCs w:val="22"/>
        </w:rPr>
        <w:t>i</w:t>
      </w:r>
      <w:r w:rsidRPr="009F5AF4">
        <w:rPr>
          <w:rFonts w:ascii="Arial" w:hAnsi="Arial" w:cs="Arial"/>
          <w:sz w:val="22"/>
          <w:szCs w:val="22"/>
        </w:rPr>
        <w:t xml:space="preserve">) the </w:t>
      </w:r>
      <w:r w:rsidR="00FE57DD">
        <w:rPr>
          <w:rFonts w:ascii="Arial" w:hAnsi="Arial" w:cs="Arial"/>
          <w:sz w:val="22"/>
          <w:szCs w:val="22"/>
        </w:rPr>
        <w:t xml:space="preserve">manufacture, </w:t>
      </w:r>
      <w:r w:rsidRPr="009F5AF4">
        <w:rPr>
          <w:rFonts w:ascii="Arial" w:hAnsi="Arial" w:cs="Arial"/>
          <w:sz w:val="22"/>
          <w:szCs w:val="22"/>
        </w:rPr>
        <w:t>construction or operation of a facility or an activity within the U.S. that is subject to NRC licensing requirements and that is within his or her organization's responsibility; or (ii) a basic component that is within his or her organization's responsibility and is supplied for a facility or an activity within the U.S. that is subject to NRC licensing requirements.</w:t>
      </w:r>
    </w:p>
    <w:p w14:paraId="7CABB803" w14:textId="77777777" w:rsidR="00A879F3" w:rsidRPr="009F5AF4" w:rsidRDefault="00A879F3">
      <w:pPr>
        <w:widowControl/>
        <w:rPr>
          <w:rFonts w:ascii="Arial" w:hAnsi="Arial" w:cs="Arial"/>
          <w:sz w:val="22"/>
          <w:szCs w:val="22"/>
        </w:rPr>
      </w:pPr>
    </w:p>
    <w:p w14:paraId="0210D270" w14:textId="77777777" w:rsidR="00A879F3" w:rsidRPr="009F5AF4" w:rsidRDefault="00A879F3">
      <w:pPr>
        <w:widowControl/>
        <w:ind w:left="1440"/>
        <w:rPr>
          <w:rFonts w:ascii="Arial" w:hAnsi="Arial" w:cs="Arial"/>
          <w:sz w:val="22"/>
          <w:szCs w:val="22"/>
        </w:rPr>
      </w:pPr>
      <w:r w:rsidRPr="009F5AF4">
        <w:rPr>
          <w:rFonts w:ascii="Arial" w:hAnsi="Arial" w:cs="Arial"/>
          <w:sz w:val="22"/>
          <w:szCs w:val="22"/>
          <w:u w:val="single"/>
        </w:rPr>
        <w:t>10 CFR 21.21(d)(3)(i)</w:t>
      </w:r>
      <w:r w:rsidRPr="009F5AF4">
        <w:rPr>
          <w:rFonts w:ascii="Arial" w:hAnsi="Arial" w:cs="Arial"/>
          <w:sz w:val="22"/>
          <w:szCs w:val="22"/>
        </w:rPr>
        <w:t xml:space="preserve"> requires the Commission to be notified by the</w:t>
      </w:r>
      <w:r w:rsidR="003A7FCA" w:rsidRPr="009F5AF4">
        <w:rPr>
          <w:rFonts w:ascii="Arial" w:hAnsi="Arial" w:cs="Arial"/>
          <w:sz w:val="22"/>
          <w:szCs w:val="22"/>
        </w:rPr>
        <w:t xml:space="preserve"> supplier</w:t>
      </w:r>
      <w:r w:rsidRPr="009F5AF4">
        <w:rPr>
          <w:rFonts w:ascii="Arial" w:hAnsi="Arial" w:cs="Arial"/>
          <w:sz w:val="22"/>
          <w:szCs w:val="22"/>
        </w:rPr>
        <w:t>, licensee or dedicating entity via telephone or facsimile within two days following receipt of information by a director or responsible officer that a defect or failure to comply exists.</w:t>
      </w:r>
      <w:r w:rsidR="00CA3D22" w:rsidRPr="009F5AF4">
        <w:rPr>
          <w:rFonts w:ascii="Arial" w:hAnsi="Arial" w:cs="Arial"/>
          <w:sz w:val="22"/>
          <w:szCs w:val="22"/>
        </w:rPr>
        <w:t xml:space="preserve">  This requirement does not apply to </w:t>
      </w:r>
      <w:r w:rsidR="00DC00D2" w:rsidRPr="009F5AF4">
        <w:rPr>
          <w:rFonts w:ascii="Arial" w:hAnsi="Arial" w:cs="Arial"/>
          <w:sz w:val="22"/>
          <w:szCs w:val="22"/>
        </w:rPr>
        <w:t>interim reports described in 10 </w:t>
      </w:r>
      <w:r w:rsidR="00CA3D22" w:rsidRPr="009F5AF4">
        <w:rPr>
          <w:rFonts w:ascii="Arial" w:hAnsi="Arial" w:cs="Arial"/>
          <w:sz w:val="22"/>
          <w:szCs w:val="22"/>
        </w:rPr>
        <w:t>CFR 21.21(a)(2).</w:t>
      </w:r>
    </w:p>
    <w:p w14:paraId="5A65B920" w14:textId="77777777" w:rsidR="00A879F3" w:rsidRPr="009F5AF4" w:rsidRDefault="00A879F3">
      <w:pPr>
        <w:widowControl/>
        <w:rPr>
          <w:rFonts w:ascii="Arial" w:hAnsi="Arial" w:cs="Arial"/>
          <w:sz w:val="22"/>
          <w:szCs w:val="22"/>
        </w:rPr>
      </w:pPr>
    </w:p>
    <w:p w14:paraId="0B7BE170" w14:textId="77122C82" w:rsidR="005726FB" w:rsidRPr="005726FB" w:rsidRDefault="00A879F3" w:rsidP="00BD718E">
      <w:pPr>
        <w:widowControl/>
        <w:ind w:left="1440"/>
        <w:rPr>
          <w:rFonts w:ascii="Arial" w:hAnsi="Arial" w:cs="Arial"/>
          <w:sz w:val="22"/>
          <w:szCs w:val="22"/>
        </w:rPr>
      </w:pPr>
      <w:r w:rsidRPr="009F5AF4">
        <w:rPr>
          <w:rFonts w:ascii="Arial" w:hAnsi="Arial" w:cs="Arial"/>
          <w:sz w:val="22"/>
          <w:szCs w:val="22"/>
          <w:u w:val="single"/>
        </w:rPr>
        <w:t>10 CFR 21.21(d)(3)(ii)</w:t>
      </w:r>
      <w:r w:rsidRPr="009F5AF4">
        <w:rPr>
          <w:rFonts w:ascii="Arial" w:hAnsi="Arial" w:cs="Arial"/>
          <w:sz w:val="22"/>
          <w:szCs w:val="22"/>
        </w:rPr>
        <w:t xml:space="preserve"> requires the submittal o</w:t>
      </w:r>
      <w:r w:rsidR="003A7FCA" w:rsidRPr="009F5AF4">
        <w:rPr>
          <w:rFonts w:ascii="Arial" w:hAnsi="Arial" w:cs="Arial"/>
          <w:sz w:val="22"/>
          <w:szCs w:val="22"/>
        </w:rPr>
        <w:t>f a written report by the supplier</w:t>
      </w:r>
      <w:r w:rsidRPr="009F5AF4">
        <w:rPr>
          <w:rFonts w:ascii="Arial" w:hAnsi="Arial" w:cs="Arial"/>
          <w:sz w:val="22"/>
          <w:szCs w:val="22"/>
        </w:rPr>
        <w:t>, licensee or dedicating entity to the Commission within 30 days of identification of a defect or failure to comply.  The report contents are defined in 10 CFR 21.21(d)(4)</w:t>
      </w:r>
      <w:r w:rsidR="00BD718E">
        <w:rPr>
          <w:rFonts w:ascii="Arial" w:hAnsi="Arial" w:cs="Arial"/>
          <w:sz w:val="22"/>
          <w:szCs w:val="22"/>
        </w:rPr>
        <w:t xml:space="preserve"> which states t</w:t>
      </w:r>
      <w:r w:rsidR="005726FB" w:rsidRPr="005726FB">
        <w:rPr>
          <w:rFonts w:ascii="Arial" w:hAnsi="Arial" w:cs="Arial"/>
          <w:sz w:val="22"/>
          <w:szCs w:val="22"/>
        </w:rPr>
        <w:t>he written report required by this paragraph shall include, but need not be limited to, the following information, to the extent known:</w:t>
      </w:r>
    </w:p>
    <w:p w14:paraId="2A8443E1" w14:textId="77777777" w:rsidR="005726FB" w:rsidRPr="005726FB" w:rsidRDefault="005726FB" w:rsidP="005726FB">
      <w:pPr>
        <w:widowControl/>
        <w:ind w:left="1440"/>
        <w:rPr>
          <w:rFonts w:ascii="Arial" w:hAnsi="Arial" w:cs="Arial"/>
          <w:sz w:val="22"/>
          <w:szCs w:val="22"/>
        </w:rPr>
      </w:pPr>
    </w:p>
    <w:p w14:paraId="2F2CDF70" w14:textId="77777777" w:rsidR="005726FB" w:rsidRPr="005726FB" w:rsidRDefault="005726FB" w:rsidP="005726FB">
      <w:pPr>
        <w:widowControl/>
        <w:ind w:left="1440"/>
        <w:rPr>
          <w:rFonts w:ascii="Arial" w:hAnsi="Arial" w:cs="Arial"/>
          <w:sz w:val="22"/>
          <w:szCs w:val="22"/>
        </w:rPr>
      </w:pPr>
      <w:r w:rsidRPr="005726FB">
        <w:rPr>
          <w:rFonts w:ascii="Arial" w:hAnsi="Arial" w:cs="Arial"/>
          <w:sz w:val="22"/>
          <w:szCs w:val="22"/>
        </w:rPr>
        <w:t>(i) Name and address of the individual or individuals informing the Commission.</w:t>
      </w:r>
    </w:p>
    <w:p w14:paraId="67849737" w14:textId="77777777" w:rsidR="005726FB" w:rsidRPr="005726FB" w:rsidRDefault="005726FB" w:rsidP="005726FB">
      <w:pPr>
        <w:widowControl/>
        <w:ind w:left="1440"/>
        <w:rPr>
          <w:rFonts w:ascii="Arial" w:hAnsi="Arial" w:cs="Arial"/>
          <w:sz w:val="22"/>
          <w:szCs w:val="22"/>
        </w:rPr>
      </w:pPr>
    </w:p>
    <w:p w14:paraId="64A9F66A" w14:textId="77777777" w:rsidR="005726FB" w:rsidRPr="005726FB" w:rsidRDefault="005726FB" w:rsidP="005726FB">
      <w:pPr>
        <w:widowControl/>
        <w:ind w:left="1440"/>
        <w:rPr>
          <w:rFonts w:ascii="Arial" w:hAnsi="Arial" w:cs="Arial"/>
          <w:sz w:val="22"/>
          <w:szCs w:val="22"/>
        </w:rPr>
      </w:pPr>
      <w:r w:rsidRPr="005726FB">
        <w:rPr>
          <w:rFonts w:ascii="Arial" w:hAnsi="Arial" w:cs="Arial"/>
          <w:sz w:val="22"/>
          <w:szCs w:val="22"/>
        </w:rPr>
        <w:t>(ii) Identification of the facility, the activity, or the basic component supplied for such facility or such activity within the United States which fails to comply or contains a defect.</w:t>
      </w:r>
    </w:p>
    <w:p w14:paraId="675F2DC0" w14:textId="77777777" w:rsidR="005726FB" w:rsidRPr="005726FB" w:rsidRDefault="005726FB" w:rsidP="005726FB">
      <w:pPr>
        <w:widowControl/>
        <w:ind w:left="1440"/>
        <w:rPr>
          <w:rFonts w:ascii="Arial" w:hAnsi="Arial" w:cs="Arial"/>
          <w:sz w:val="22"/>
          <w:szCs w:val="22"/>
        </w:rPr>
      </w:pPr>
    </w:p>
    <w:p w14:paraId="496B1882" w14:textId="77777777" w:rsidR="005726FB" w:rsidRPr="005726FB" w:rsidRDefault="005726FB" w:rsidP="005726FB">
      <w:pPr>
        <w:widowControl/>
        <w:ind w:left="1440"/>
        <w:rPr>
          <w:rFonts w:ascii="Arial" w:hAnsi="Arial" w:cs="Arial"/>
          <w:sz w:val="22"/>
          <w:szCs w:val="22"/>
        </w:rPr>
      </w:pPr>
      <w:r w:rsidRPr="005726FB">
        <w:rPr>
          <w:rFonts w:ascii="Arial" w:hAnsi="Arial" w:cs="Arial"/>
          <w:sz w:val="22"/>
          <w:szCs w:val="22"/>
        </w:rPr>
        <w:t>(iii) Identification of the firm constructing the facility or supplying the basic component which fails to comply or contains a defect.</w:t>
      </w:r>
    </w:p>
    <w:p w14:paraId="2C981370" w14:textId="77777777" w:rsidR="005726FB" w:rsidRPr="005726FB" w:rsidRDefault="005726FB" w:rsidP="005726FB">
      <w:pPr>
        <w:widowControl/>
        <w:ind w:left="1440"/>
        <w:rPr>
          <w:rFonts w:ascii="Arial" w:hAnsi="Arial" w:cs="Arial"/>
          <w:sz w:val="22"/>
          <w:szCs w:val="22"/>
        </w:rPr>
      </w:pPr>
    </w:p>
    <w:p w14:paraId="612E6BDA" w14:textId="77777777" w:rsidR="005726FB" w:rsidRPr="005726FB" w:rsidRDefault="005726FB" w:rsidP="005726FB">
      <w:pPr>
        <w:widowControl/>
        <w:ind w:left="1440"/>
        <w:rPr>
          <w:rFonts w:ascii="Arial" w:hAnsi="Arial" w:cs="Arial"/>
          <w:sz w:val="22"/>
          <w:szCs w:val="22"/>
        </w:rPr>
      </w:pPr>
      <w:r w:rsidRPr="005726FB">
        <w:rPr>
          <w:rFonts w:ascii="Arial" w:hAnsi="Arial" w:cs="Arial"/>
          <w:sz w:val="22"/>
          <w:szCs w:val="22"/>
        </w:rPr>
        <w:t>(iv) Nature of the defect or failure to comply and the safety hazard which is created or could be created by such defect or failure to comply.</w:t>
      </w:r>
    </w:p>
    <w:p w14:paraId="4CEC84ED" w14:textId="77777777" w:rsidR="005726FB" w:rsidRPr="005726FB" w:rsidRDefault="005726FB" w:rsidP="005726FB">
      <w:pPr>
        <w:widowControl/>
        <w:ind w:left="1440"/>
        <w:rPr>
          <w:rFonts w:ascii="Arial" w:hAnsi="Arial" w:cs="Arial"/>
          <w:sz w:val="22"/>
          <w:szCs w:val="22"/>
        </w:rPr>
      </w:pPr>
    </w:p>
    <w:p w14:paraId="28B4662B" w14:textId="77777777" w:rsidR="005726FB" w:rsidRPr="005726FB" w:rsidRDefault="005726FB" w:rsidP="005726FB">
      <w:pPr>
        <w:widowControl/>
        <w:ind w:left="1440"/>
        <w:rPr>
          <w:rFonts w:ascii="Arial" w:hAnsi="Arial" w:cs="Arial"/>
          <w:sz w:val="22"/>
          <w:szCs w:val="22"/>
        </w:rPr>
      </w:pPr>
      <w:r w:rsidRPr="005726FB">
        <w:rPr>
          <w:rFonts w:ascii="Arial" w:hAnsi="Arial" w:cs="Arial"/>
          <w:sz w:val="22"/>
          <w:szCs w:val="22"/>
        </w:rPr>
        <w:t>(v) The date on which the information of such defect or failure to comply was obtained.</w:t>
      </w:r>
    </w:p>
    <w:p w14:paraId="2BC052F1" w14:textId="77777777" w:rsidR="005726FB" w:rsidRPr="005726FB" w:rsidRDefault="005726FB" w:rsidP="005726FB">
      <w:pPr>
        <w:widowControl/>
        <w:ind w:left="1440"/>
        <w:rPr>
          <w:rFonts w:ascii="Arial" w:hAnsi="Arial" w:cs="Arial"/>
          <w:sz w:val="22"/>
          <w:szCs w:val="22"/>
        </w:rPr>
      </w:pPr>
    </w:p>
    <w:p w14:paraId="0C3AC0CB" w14:textId="77777777" w:rsidR="005726FB" w:rsidRPr="005726FB" w:rsidRDefault="005726FB" w:rsidP="005726FB">
      <w:pPr>
        <w:widowControl/>
        <w:ind w:left="1440"/>
        <w:rPr>
          <w:rFonts w:ascii="Arial" w:hAnsi="Arial" w:cs="Arial"/>
          <w:sz w:val="22"/>
          <w:szCs w:val="22"/>
        </w:rPr>
      </w:pPr>
      <w:r w:rsidRPr="005726FB">
        <w:rPr>
          <w:rFonts w:ascii="Arial" w:hAnsi="Arial" w:cs="Arial"/>
          <w:sz w:val="22"/>
          <w:szCs w:val="22"/>
        </w:rPr>
        <w:t>(vi) In the case of a basic component which contains a defect or fails to comply, the number and location of these components in use at, supplied for, being supplied for, or may be supplied for, manufactured, or being manufactured for one or more facilities or activities subject to the regulations in this part.</w:t>
      </w:r>
    </w:p>
    <w:p w14:paraId="4502EC09" w14:textId="77777777" w:rsidR="005726FB" w:rsidRPr="005726FB" w:rsidRDefault="005726FB" w:rsidP="005726FB">
      <w:pPr>
        <w:widowControl/>
        <w:ind w:left="1440"/>
        <w:rPr>
          <w:rFonts w:ascii="Arial" w:hAnsi="Arial" w:cs="Arial"/>
          <w:sz w:val="22"/>
          <w:szCs w:val="22"/>
        </w:rPr>
      </w:pPr>
    </w:p>
    <w:p w14:paraId="1C25E944" w14:textId="77777777" w:rsidR="005726FB" w:rsidRPr="005726FB" w:rsidRDefault="005726FB" w:rsidP="005726FB">
      <w:pPr>
        <w:widowControl/>
        <w:ind w:left="1440"/>
        <w:rPr>
          <w:rFonts w:ascii="Arial" w:hAnsi="Arial" w:cs="Arial"/>
          <w:sz w:val="22"/>
          <w:szCs w:val="22"/>
        </w:rPr>
      </w:pPr>
      <w:r w:rsidRPr="005726FB">
        <w:rPr>
          <w:rFonts w:ascii="Arial" w:hAnsi="Arial" w:cs="Arial"/>
          <w:sz w:val="22"/>
          <w:szCs w:val="22"/>
        </w:rPr>
        <w:t>(vii) The corrective action which has been, is being, or will be taken; the name of the individual or organization responsible for the action; and the length of time that has been or will be taken to complete the action.</w:t>
      </w:r>
    </w:p>
    <w:p w14:paraId="7572A0EE" w14:textId="77777777" w:rsidR="005726FB" w:rsidRPr="005726FB" w:rsidRDefault="005726FB" w:rsidP="005726FB">
      <w:pPr>
        <w:widowControl/>
        <w:ind w:left="1440"/>
        <w:rPr>
          <w:rFonts w:ascii="Arial" w:hAnsi="Arial" w:cs="Arial"/>
          <w:sz w:val="22"/>
          <w:szCs w:val="22"/>
        </w:rPr>
      </w:pPr>
    </w:p>
    <w:p w14:paraId="4994B263" w14:textId="77777777" w:rsidR="005726FB" w:rsidRPr="005726FB" w:rsidRDefault="005726FB" w:rsidP="005726FB">
      <w:pPr>
        <w:widowControl/>
        <w:ind w:left="1440"/>
        <w:rPr>
          <w:rFonts w:ascii="Arial" w:hAnsi="Arial" w:cs="Arial"/>
          <w:sz w:val="22"/>
          <w:szCs w:val="22"/>
        </w:rPr>
      </w:pPr>
      <w:r w:rsidRPr="005726FB">
        <w:rPr>
          <w:rFonts w:ascii="Arial" w:hAnsi="Arial" w:cs="Arial"/>
          <w:sz w:val="22"/>
          <w:szCs w:val="22"/>
        </w:rPr>
        <w:t>(viii) Any advice related to the defect or failure to comply about the facility, activity, or basic component that has been, is being, or will be given to purchasers or licensees.</w:t>
      </w:r>
    </w:p>
    <w:p w14:paraId="688C5767" w14:textId="77777777" w:rsidR="005726FB" w:rsidRPr="005726FB" w:rsidRDefault="005726FB" w:rsidP="005726FB">
      <w:pPr>
        <w:widowControl/>
        <w:ind w:left="1440"/>
        <w:rPr>
          <w:rFonts w:ascii="Arial" w:hAnsi="Arial" w:cs="Arial"/>
          <w:sz w:val="22"/>
          <w:szCs w:val="22"/>
        </w:rPr>
      </w:pPr>
    </w:p>
    <w:p w14:paraId="6B0209A5" w14:textId="77777777" w:rsidR="005726FB" w:rsidRDefault="005726FB" w:rsidP="005726FB">
      <w:pPr>
        <w:widowControl/>
        <w:ind w:left="1440"/>
        <w:rPr>
          <w:rFonts w:ascii="Arial" w:hAnsi="Arial" w:cs="Arial"/>
          <w:sz w:val="22"/>
          <w:szCs w:val="22"/>
        </w:rPr>
      </w:pPr>
      <w:r w:rsidRPr="005726FB">
        <w:rPr>
          <w:rFonts w:ascii="Arial" w:hAnsi="Arial" w:cs="Arial"/>
          <w:sz w:val="22"/>
          <w:szCs w:val="22"/>
        </w:rPr>
        <w:t>(ix) In the case of an early site permit, the entities to whom an early site permit was transferred.</w:t>
      </w:r>
    </w:p>
    <w:p w14:paraId="4838E91D" w14:textId="77777777" w:rsidR="005726FB" w:rsidRPr="009F5AF4" w:rsidRDefault="005726FB">
      <w:pPr>
        <w:widowControl/>
        <w:ind w:left="1440"/>
        <w:rPr>
          <w:rFonts w:ascii="Arial" w:hAnsi="Arial" w:cs="Arial"/>
          <w:sz w:val="22"/>
          <w:szCs w:val="22"/>
        </w:rPr>
      </w:pPr>
    </w:p>
    <w:p w14:paraId="0FB375F2" w14:textId="77777777" w:rsidR="00A879F3" w:rsidRPr="009F5AF4" w:rsidRDefault="00A879F3">
      <w:pPr>
        <w:widowControl/>
        <w:ind w:left="1440"/>
        <w:rPr>
          <w:rFonts w:ascii="Arial" w:hAnsi="Arial" w:cs="Arial"/>
          <w:sz w:val="22"/>
          <w:szCs w:val="22"/>
        </w:rPr>
      </w:pPr>
      <w:r w:rsidRPr="009F5AF4">
        <w:rPr>
          <w:rFonts w:ascii="Arial" w:hAnsi="Arial" w:cs="Arial"/>
          <w:sz w:val="22"/>
          <w:szCs w:val="22"/>
          <w:u w:val="single"/>
        </w:rPr>
        <w:t>10 CFR 21.21(e)</w:t>
      </w:r>
      <w:r w:rsidRPr="009F5AF4">
        <w:rPr>
          <w:rFonts w:ascii="Arial" w:hAnsi="Arial" w:cs="Arial"/>
          <w:sz w:val="22"/>
          <w:szCs w:val="22"/>
        </w:rPr>
        <w:t xml:space="preserve"> provides for the Commission to obtain from individuals subject to 10 CFR 21 any needed additional information related to a defect or failure to comply.</w:t>
      </w:r>
    </w:p>
    <w:p w14:paraId="72C06D99" w14:textId="77777777" w:rsidR="00A879F3" w:rsidRPr="009F5AF4" w:rsidRDefault="00A879F3">
      <w:pPr>
        <w:widowControl/>
        <w:ind w:left="1440"/>
        <w:rPr>
          <w:rFonts w:ascii="Arial" w:hAnsi="Arial" w:cs="Arial"/>
          <w:sz w:val="22"/>
          <w:szCs w:val="22"/>
        </w:rPr>
      </w:pPr>
    </w:p>
    <w:p w14:paraId="5B39789F" w14:textId="77777777" w:rsidR="00A879F3" w:rsidRPr="009F5AF4" w:rsidRDefault="00A879F3">
      <w:pPr>
        <w:widowControl/>
        <w:ind w:left="1440"/>
        <w:rPr>
          <w:rFonts w:ascii="Arial" w:hAnsi="Arial" w:cs="Arial"/>
          <w:sz w:val="22"/>
          <w:szCs w:val="22"/>
        </w:rPr>
      </w:pPr>
      <w:r w:rsidRPr="009F5AF4">
        <w:rPr>
          <w:rFonts w:ascii="Arial" w:hAnsi="Arial" w:cs="Arial"/>
          <w:sz w:val="22"/>
          <w:szCs w:val="22"/>
          <w:u w:val="single"/>
        </w:rPr>
        <w:t>10 CFR 21.51(a)(1)</w:t>
      </w:r>
      <w:r w:rsidR="003A7FCA" w:rsidRPr="009F5AF4">
        <w:rPr>
          <w:rFonts w:ascii="Arial" w:hAnsi="Arial" w:cs="Arial"/>
          <w:sz w:val="22"/>
          <w:szCs w:val="22"/>
        </w:rPr>
        <w:t xml:space="preserve"> requires supplier</w:t>
      </w:r>
      <w:r w:rsidRPr="009F5AF4">
        <w:rPr>
          <w:rFonts w:ascii="Arial" w:hAnsi="Arial" w:cs="Arial"/>
          <w:sz w:val="22"/>
          <w:szCs w:val="22"/>
        </w:rPr>
        <w:t xml:space="preserve">s, licensees, or </w:t>
      </w:r>
      <w:r w:rsidR="003A7FCA" w:rsidRPr="009F5AF4">
        <w:rPr>
          <w:rFonts w:ascii="Arial" w:hAnsi="Arial" w:cs="Arial"/>
          <w:sz w:val="22"/>
          <w:szCs w:val="22"/>
        </w:rPr>
        <w:t xml:space="preserve">commercial grade </w:t>
      </w:r>
      <w:r w:rsidRPr="009F5AF4">
        <w:rPr>
          <w:rFonts w:ascii="Arial" w:hAnsi="Arial" w:cs="Arial"/>
          <w:sz w:val="22"/>
          <w:szCs w:val="22"/>
        </w:rPr>
        <w:t>dedicating entities to retain records of evaluations of deviations and failures to comply for 5</w:t>
      </w:r>
      <w:r w:rsidR="00DC00D2" w:rsidRPr="009F5AF4">
        <w:rPr>
          <w:rFonts w:ascii="Arial" w:hAnsi="Arial" w:cs="Arial"/>
          <w:sz w:val="22"/>
          <w:szCs w:val="22"/>
        </w:rPr>
        <w:t> </w:t>
      </w:r>
      <w:r w:rsidRPr="009F5AF4">
        <w:rPr>
          <w:rFonts w:ascii="Arial" w:hAnsi="Arial" w:cs="Arial"/>
          <w:sz w:val="22"/>
          <w:szCs w:val="22"/>
        </w:rPr>
        <w:t>years after the date of the evaluation.</w:t>
      </w:r>
    </w:p>
    <w:p w14:paraId="46D55749" w14:textId="77777777" w:rsidR="00A879F3" w:rsidRPr="009F5AF4" w:rsidRDefault="00A879F3">
      <w:pPr>
        <w:widowControl/>
        <w:rPr>
          <w:rFonts w:ascii="Arial" w:hAnsi="Arial" w:cs="Arial"/>
          <w:sz w:val="22"/>
          <w:szCs w:val="22"/>
        </w:rPr>
      </w:pPr>
    </w:p>
    <w:p w14:paraId="0182581A" w14:textId="77777777" w:rsidR="00A879F3" w:rsidRPr="009F5AF4" w:rsidRDefault="00A879F3">
      <w:pPr>
        <w:widowControl/>
        <w:ind w:left="1440"/>
        <w:rPr>
          <w:rFonts w:ascii="Arial" w:hAnsi="Arial" w:cs="Arial"/>
          <w:sz w:val="22"/>
          <w:szCs w:val="22"/>
        </w:rPr>
      </w:pPr>
      <w:r w:rsidRPr="009F5AF4">
        <w:rPr>
          <w:rFonts w:ascii="Arial" w:hAnsi="Arial" w:cs="Arial"/>
          <w:sz w:val="22"/>
          <w:szCs w:val="22"/>
          <w:u w:val="single"/>
        </w:rPr>
        <w:t>10 CFR 21.51(a)(2)</w:t>
      </w:r>
      <w:r w:rsidR="003A7FCA" w:rsidRPr="009F5AF4">
        <w:rPr>
          <w:rFonts w:ascii="Arial" w:hAnsi="Arial" w:cs="Arial"/>
          <w:sz w:val="22"/>
          <w:szCs w:val="22"/>
        </w:rPr>
        <w:t xml:space="preserve"> requires suppliers</w:t>
      </w:r>
      <w:r w:rsidRPr="009F5AF4">
        <w:rPr>
          <w:rFonts w:ascii="Arial" w:hAnsi="Arial" w:cs="Arial"/>
          <w:sz w:val="22"/>
          <w:szCs w:val="22"/>
        </w:rPr>
        <w:t xml:space="preserve"> of basic components to retain notifications of defects or failures to comply that were sent to purchasers and affected licensees for 5 years after the date of the notification.</w:t>
      </w:r>
    </w:p>
    <w:p w14:paraId="007A82FD" w14:textId="77777777" w:rsidR="00A879F3" w:rsidRPr="009F5AF4" w:rsidRDefault="00A879F3">
      <w:pPr>
        <w:widowControl/>
        <w:rPr>
          <w:rFonts w:ascii="Arial" w:hAnsi="Arial" w:cs="Arial"/>
          <w:sz w:val="22"/>
          <w:szCs w:val="22"/>
        </w:rPr>
      </w:pPr>
    </w:p>
    <w:p w14:paraId="76FFD775" w14:textId="77777777" w:rsidR="00A879F3" w:rsidRPr="009F5AF4" w:rsidRDefault="00A879F3">
      <w:pPr>
        <w:widowControl/>
        <w:ind w:left="1440"/>
        <w:rPr>
          <w:rFonts w:ascii="Arial" w:hAnsi="Arial" w:cs="Arial"/>
          <w:sz w:val="22"/>
          <w:szCs w:val="22"/>
        </w:rPr>
      </w:pPr>
      <w:r w:rsidRPr="009F5AF4">
        <w:rPr>
          <w:rFonts w:ascii="Arial" w:hAnsi="Arial" w:cs="Arial"/>
          <w:sz w:val="22"/>
          <w:szCs w:val="22"/>
          <w:u w:val="single"/>
        </w:rPr>
        <w:t>10 CFR 21.51(a)(3)</w:t>
      </w:r>
      <w:r w:rsidR="003A7FCA" w:rsidRPr="009F5AF4">
        <w:rPr>
          <w:rFonts w:ascii="Arial" w:hAnsi="Arial" w:cs="Arial"/>
          <w:sz w:val="22"/>
          <w:szCs w:val="22"/>
        </w:rPr>
        <w:t xml:space="preserve"> requires suppliers</w:t>
      </w:r>
      <w:r w:rsidRPr="009F5AF4">
        <w:rPr>
          <w:rFonts w:ascii="Arial" w:hAnsi="Arial" w:cs="Arial"/>
          <w:sz w:val="22"/>
          <w:szCs w:val="22"/>
        </w:rPr>
        <w:t xml:space="preserve"> of basic components to retain a record of purchasers of basic components for 10 years after delivery of the basic component or service associated with a basic component.  </w:t>
      </w:r>
    </w:p>
    <w:p w14:paraId="4FF9AE02" w14:textId="77777777" w:rsidR="00756F89" w:rsidRPr="009F5AF4" w:rsidRDefault="00756F89">
      <w:pPr>
        <w:widowControl/>
        <w:ind w:left="1440"/>
        <w:rPr>
          <w:rFonts w:ascii="Arial" w:hAnsi="Arial" w:cs="Arial"/>
          <w:sz w:val="22"/>
          <w:szCs w:val="22"/>
          <w:u w:val="single"/>
        </w:rPr>
      </w:pPr>
    </w:p>
    <w:p w14:paraId="38954FAE" w14:textId="77777777" w:rsidR="00622844" w:rsidRDefault="00622844" w:rsidP="00622844">
      <w:pPr>
        <w:widowControl/>
        <w:ind w:left="1440"/>
        <w:rPr>
          <w:rFonts w:ascii="Arial" w:hAnsi="Arial" w:cs="Arial"/>
          <w:sz w:val="22"/>
          <w:szCs w:val="22"/>
        </w:rPr>
      </w:pPr>
      <w:bookmarkStart w:id="0" w:name="OLE_LINK6"/>
      <w:bookmarkStart w:id="1" w:name="OLE_LINK7"/>
      <w:r w:rsidRPr="009F5AF4">
        <w:rPr>
          <w:rFonts w:ascii="Arial" w:hAnsi="Arial" w:cs="Arial"/>
          <w:sz w:val="22"/>
          <w:szCs w:val="22"/>
          <w:u w:val="single"/>
        </w:rPr>
        <w:t>10 CFR 21.51(a)(4)</w:t>
      </w:r>
      <w:bookmarkEnd w:id="0"/>
      <w:bookmarkEnd w:id="1"/>
      <w:r w:rsidRPr="009F5AF4">
        <w:rPr>
          <w:rFonts w:ascii="Arial" w:hAnsi="Arial" w:cs="Arial"/>
          <w:sz w:val="22"/>
          <w:szCs w:val="22"/>
        </w:rPr>
        <w:t xml:space="preserve"> requires applicants for standard design certification under </w:t>
      </w:r>
      <w:bookmarkStart w:id="2" w:name="OLE_LINK9"/>
      <w:bookmarkStart w:id="3" w:name="OLE_LINK10"/>
      <w:r w:rsidRPr="009F5AF4">
        <w:rPr>
          <w:rFonts w:ascii="Arial" w:hAnsi="Arial" w:cs="Arial"/>
          <w:sz w:val="22"/>
          <w:szCs w:val="22"/>
        </w:rPr>
        <w:t>subpart B</w:t>
      </w:r>
      <w:bookmarkEnd w:id="2"/>
      <w:bookmarkEnd w:id="3"/>
      <w:r w:rsidRPr="009F5AF4">
        <w:rPr>
          <w:rFonts w:ascii="Arial" w:hAnsi="Arial" w:cs="Arial"/>
          <w:sz w:val="22"/>
          <w:szCs w:val="22"/>
        </w:rPr>
        <w:t xml:space="preserve"> of 10 CFR </w:t>
      </w:r>
      <w:r w:rsidR="00222DD7">
        <w:rPr>
          <w:rFonts w:ascii="Arial" w:hAnsi="Arial" w:cs="Arial"/>
          <w:sz w:val="22"/>
          <w:szCs w:val="22"/>
        </w:rPr>
        <w:t xml:space="preserve">Part </w:t>
      </w:r>
      <w:r w:rsidRPr="009F5AF4">
        <w:rPr>
          <w:rFonts w:ascii="Arial" w:hAnsi="Arial" w:cs="Arial"/>
          <w:sz w:val="22"/>
          <w:szCs w:val="22"/>
        </w:rPr>
        <w:t>52</w:t>
      </w:r>
      <w:r w:rsidR="00F53329" w:rsidRPr="009F5AF4">
        <w:rPr>
          <w:rFonts w:ascii="Arial" w:hAnsi="Arial" w:cs="Arial"/>
          <w:sz w:val="22"/>
          <w:szCs w:val="22"/>
        </w:rPr>
        <w:t xml:space="preserve"> “Early Site Permits; Standard Design Certifications; and Combined Licenses for Nuclear Plants</w:t>
      </w:r>
      <w:r w:rsidRPr="009F5AF4">
        <w:rPr>
          <w:rFonts w:ascii="Arial" w:hAnsi="Arial" w:cs="Arial"/>
          <w:sz w:val="22"/>
          <w:szCs w:val="22"/>
        </w:rPr>
        <w:t xml:space="preserve"> and others providing a design which is the subject of a design certification, during and following Commission adoption of a final design certification rule for that design, to retain any notifications sent to purchasers and affected licensees for a minimum of 5 years after the date of the notification, and retain a record of the purchasers for 15 years after delivery of design which is the subject of the design certification rule or service associated with the design.</w:t>
      </w:r>
    </w:p>
    <w:p w14:paraId="096B88C7" w14:textId="77777777" w:rsidR="00704D37" w:rsidRPr="009F5AF4" w:rsidRDefault="00704D37" w:rsidP="00622844">
      <w:pPr>
        <w:widowControl/>
        <w:ind w:left="1440"/>
        <w:rPr>
          <w:rFonts w:ascii="Arial" w:hAnsi="Arial" w:cs="Arial"/>
          <w:sz w:val="22"/>
          <w:szCs w:val="22"/>
        </w:rPr>
      </w:pPr>
    </w:p>
    <w:p w14:paraId="531E8E97" w14:textId="77777777" w:rsidR="00622844" w:rsidRPr="009F5AF4" w:rsidRDefault="00622844" w:rsidP="00622844">
      <w:pPr>
        <w:widowControl/>
        <w:ind w:left="1440"/>
        <w:rPr>
          <w:rFonts w:ascii="Arial" w:hAnsi="Arial" w:cs="Arial"/>
          <w:sz w:val="22"/>
          <w:szCs w:val="22"/>
        </w:rPr>
      </w:pPr>
    </w:p>
    <w:p w14:paraId="56512287" w14:textId="77777777" w:rsidR="00622844" w:rsidRPr="009F5AF4" w:rsidRDefault="00622844" w:rsidP="00622844">
      <w:pPr>
        <w:widowControl/>
        <w:ind w:left="1440"/>
        <w:rPr>
          <w:rFonts w:ascii="Arial" w:hAnsi="Arial" w:cs="Arial"/>
          <w:sz w:val="22"/>
          <w:szCs w:val="22"/>
        </w:rPr>
      </w:pPr>
      <w:r w:rsidRPr="009F5AF4">
        <w:rPr>
          <w:rFonts w:ascii="Arial" w:hAnsi="Arial" w:cs="Arial"/>
          <w:sz w:val="22"/>
          <w:szCs w:val="22"/>
          <w:u w:val="single"/>
        </w:rPr>
        <w:t>10 CFR 21.51(a)(5)</w:t>
      </w:r>
      <w:r w:rsidRPr="009F5AF4">
        <w:rPr>
          <w:rFonts w:ascii="Arial" w:hAnsi="Arial" w:cs="Arial"/>
          <w:sz w:val="22"/>
          <w:szCs w:val="22"/>
        </w:rPr>
        <w:t xml:space="preserve"> requires applicants for or holders of a standard design approval under subpart E of 10 CFR</w:t>
      </w:r>
      <w:r w:rsidR="00222DD7">
        <w:rPr>
          <w:rFonts w:ascii="Arial" w:hAnsi="Arial" w:cs="Arial"/>
          <w:sz w:val="22"/>
          <w:szCs w:val="22"/>
        </w:rPr>
        <w:t xml:space="preserve"> Part</w:t>
      </w:r>
      <w:r w:rsidRPr="009F5AF4">
        <w:rPr>
          <w:rFonts w:ascii="Arial" w:hAnsi="Arial" w:cs="Arial"/>
          <w:sz w:val="22"/>
          <w:szCs w:val="22"/>
        </w:rPr>
        <w:t xml:space="preserve"> 52</w:t>
      </w:r>
      <w:r w:rsidR="00F53329" w:rsidRPr="009F5AF4">
        <w:rPr>
          <w:rFonts w:ascii="Arial" w:hAnsi="Arial" w:cs="Arial"/>
          <w:sz w:val="22"/>
          <w:szCs w:val="22"/>
        </w:rPr>
        <w:t xml:space="preserve"> “Early Site Permits; Standard Design Certifications; and Combined Licenses for Nuclear Plants</w:t>
      </w:r>
      <w:r w:rsidRPr="009F5AF4">
        <w:rPr>
          <w:rFonts w:ascii="Arial" w:hAnsi="Arial" w:cs="Arial"/>
          <w:sz w:val="22"/>
          <w:szCs w:val="22"/>
        </w:rPr>
        <w:t xml:space="preserve"> and others </w:t>
      </w:r>
      <w:bookmarkStart w:id="4" w:name="OLE_LINK11"/>
      <w:bookmarkStart w:id="5" w:name="OLE_LINK12"/>
      <w:r w:rsidRPr="009F5AF4">
        <w:rPr>
          <w:rFonts w:ascii="Arial" w:hAnsi="Arial" w:cs="Arial"/>
          <w:sz w:val="22"/>
          <w:szCs w:val="22"/>
        </w:rPr>
        <w:t xml:space="preserve">providing a design which is the subject of a design approval shall retain any notifications sent to purchasers and affected licensees for a minimum of 5 years after the date of the notification, and retain a record of the purchasers for </w:t>
      </w:r>
      <w:r w:rsidR="00222DD7">
        <w:rPr>
          <w:rFonts w:ascii="Arial" w:hAnsi="Arial" w:cs="Arial"/>
          <w:sz w:val="22"/>
          <w:szCs w:val="22"/>
        </w:rPr>
        <w:br/>
      </w:r>
      <w:r w:rsidRPr="009F5AF4">
        <w:rPr>
          <w:rFonts w:ascii="Arial" w:hAnsi="Arial" w:cs="Arial"/>
          <w:sz w:val="22"/>
          <w:szCs w:val="22"/>
        </w:rPr>
        <w:t>15 years after delivery of the design which is the subject of the design approval or service associated with the design.</w:t>
      </w:r>
      <w:bookmarkEnd w:id="4"/>
      <w:bookmarkEnd w:id="5"/>
    </w:p>
    <w:p w14:paraId="01A66F8F" w14:textId="77777777" w:rsidR="00756F89" w:rsidRPr="009F5AF4" w:rsidRDefault="00756F89" w:rsidP="00622844">
      <w:pPr>
        <w:widowControl/>
        <w:ind w:left="1440"/>
        <w:rPr>
          <w:rFonts w:ascii="Arial" w:hAnsi="Arial" w:cs="Arial"/>
          <w:sz w:val="22"/>
          <w:szCs w:val="22"/>
        </w:rPr>
      </w:pPr>
    </w:p>
    <w:p w14:paraId="6912849B" w14:textId="77777777" w:rsidR="00A879F3" w:rsidRPr="009F5AF4" w:rsidRDefault="00A879F3">
      <w:pPr>
        <w:widowControl/>
        <w:ind w:firstLine="720"/>
        <w:rPr>
          <w:rFonts w:ascii="Arial" w:hAnsi="Arial" w:cs="Arial"/>
          <w:sz w:val="22"/>
          <w:szCs w:val="22"/>
        </w:rPr>
      </w:pPr>
      <w:r w:rsidRPr="009F5AF4">
        <w:rPr>
          <w:rFonts w:ascii="Arial" w:hAnsi="Arial" w:cs="Arial"/>
          <w:sz w:val="22"/>
          <w:szCs w:val="22"/>
        </w:rPr>
        <w:t>2.</w:t>
      </w:r>
      <w:r w:rsidRPr="009F5AF4">
        <w:rPr>
          <w:rFonts w:ascii="Arial" w:hAnsi="Arial" w:cs="Arial"/>
          <w:sz w:val="22"/>
          <w:szCs w:val="22"/>
        </w:rPr>
        <w:tab/>
      </w:r>
      <w:r w:rsidRPr="009F5AF4">
        <w:rPr>
          <w:rFonts w:ascii="Arial" w:hAnsi="Arial" w:cs="Arial"/>
          <w:sz w:val="22"/>
          <w:szCs w:val="22"/>
          <w:u w:val="single"/>
        </w:rPr>
        <w:t>Agency Use of the Information</w:t>
      </w:r>
    </w:p>
    <w:p w14:paraId="06762F57" w14:textId="77777777" w:rsidR="009B1D85" w:rsidRPr="009F5AF4" w:rsidRDefault="009B1D85">
      <w:pPr>
        <w:widowControl/>
        <w:rPr>
          <w:rFonts w:ascii="Arial" w:hAnsi="Arial" w:cs="Arial"/>
          <w:sz w:val="22"/>
          <w:szCs w:val="22"/>
        </w:rPr>
      </w:pPr>
      <w:r>
        <w:rPr>
          <w:rFonts w:ascii="Arial" w:hAnsi="Arial" w:cs="Arial"/>
          <w:sz w:val="22"/>
          <w:szCs w:val="22"/>
        </w:rPr>
        <w:t xml:space="preserve">             </w:t>
      </w:r>
      <w:r w:rsidR="0048058B">
        <w:rPr>
          <w:rFonts w:ascii="Arial" w:hAnsi="Arial" w:cs="Arial"/>
          <w:sz w:val="22"/>
          <w:szCs w:val="22"/>
        </w:rPr>
        <w:t xml:space="preserve">      </w:t>
      </w:r>
      <w:r w:rsidR="0048058B">
        <w:rPr>
          <w:rFonts w:ascii="Arial" w:hAnsi="Arial" w:cs="Arial"/>
          <w:sz w:val="22"/>
          <w:szCs w:val="22"/>
        </w:rPr>
        <w:tab/>
      </w:r>
      <w:r>
        <w:rPr>
          <w:rFonts w:ascii="Arial" w:hAnsi="Arial" w:cs="Arial"/>
          <w:sz w:val="22"/>
          <w:szCs w:val="22"/>
        </w:rPr>
        <w:t xml:space="preserve"> </w:t>
      </w:r>
    </w:p>
    <w:p w14:paraId="7F02D34D" w14:textId="77777777" w:rsidR="00A879F3" w:rsidRPr="009F5AF4" w:rsidRDefault="00A879F3">
      <w:pPr>
        <w:widowControl/>
        <w:ind w:left="1440"/>
        <w:rPr>
          <w:rFonts w:ascii="Arial" w:hAnsi="Arial" w:cs="Arial"/>
          <w:sz w:val="22"/>
          <w:szCs w:val="22"/>
        </w:rPr>
      </w:pPr>
      <w:r w:rsidRPr="009F5AF4">
        <w:rPr>
          <w:rFonts w:ascii="Arial" w:hAnsi="Arial" w:cs="Arial"/>
          <w:sz w:val="22"/>
          <w:szCs w:val="22"/>
        </w:rPr>
        <w:t>Reports submitted under 10 CFR</w:t>
      </w:r>
      <w:r w:rsidR="00222DD7">
        <w:rPr>
          <w:rFonts w:ascii="Arial" w:hAnsi="Arial" w:cs="Arial"/>
          <w:sz w:val="22"/>
          <w:szCs w:val="22"/>
        </w:rPr>
        <w:t xml:space="preserve"> Part</w:t>
      </w:r>
      <w:r w:rsidRPr="009F5AF4">
        <w:rPr>
          <w:rFonts w:ascii="Arial" w:hAnsi="Arial" w:cs="Arial"/>
          <w:sz w:val="22"/>
          <w:szCs w:val="22"/>
        </w:rPr>
        <w:t xml:space="preserve"> 21 are reviewed by the NRC staff to determine whether the reported defects or failures to comply in basic components at NRC licensed facilities or activities are potentially generic safety problems.  These reports have been the basis for the issuance of numerous NRC Information Notices, Generic Letters, and Bulletins that have contributed to the improved safety of the nuclear industry.</w:t>
      </w:r>
    </w:p>
    <w:p w14:paraId="2A7121BE" w14:textId="77777777" w:rsidR="00A879F3" w:rsidRPr="009F5AF4" w:rsidRDefault="00A879F3">
      <w:pPr>
        <w:widowControl/>
        <w:rPr>
          <w:rFonts w:ascii="Arial" w:hAnsi="Arial" w:cs="Arial"/>
          <w:sz w:val="22"/>
          <w:szCs w:val="22"/>
        </w:rPr>
      </w:pPr>
    </w:p>
    <w:p w14:paraId="512837BC" w14:textId="77777777" w:rsidR="00A879F3" w:rsidRPr="009F5AF4" w:rsidRDefault="00A879F3">
      <w:pPr>
        <w:widowControl/>
        <w:ind w:left="1440"/>
        <w:rPr>
          <w:rFonts w:ascii="Arial" w:hAnsi="Arial" w:cs="Arial"/>
          <w:sz w:val="22"/>
          <w:szCs w:val="22"/>
        </w:rPr>
      </w:pPr>
      <w:r w:rsidRPr="009F5AF4">
        <w:rPr>
          <w:rFonts w:ascii="Arial" w:hAnsi="Arial" w:cs="Arial"/>
          <w:sz w:val="22"/>
          <w:szCs w:val="22"/>
        </w:rPr>
        <w:t>The records required to be maintained in accordance with 10 CFR 21.51 are subject to inspection by the NRC to determine compliance with the subject regulation.  These records fall into four categories:  records relating to evaluations defined by 10 CFR 21.3, records of previously submitted reports pur</w:t>
      </w:r>
      <w:r w:rsidR="00DC00D2" w:rsidRPr="009F5AF4">
        <w:rPr>
          <w:rFonts w:ascii="Arial" w:hAnsi="Arial" w:cs="Arial"/>
          <w:sz w:val="22"/>
          <w:szCs w:val="22"/>
        </w:rPr>
        <w:t>suant to 10 </w:t>
      </w:r>
      <w:r w:rsidRPr="009F5AF4">
        <w:rPr>
          <w:rFonts w:ascii="Arial" w:hAnsi="Arial" w:cs="Arial"/>
          <w:sz w:val="22"/>
          <w:szCs w:val="22"/>
        </w:rPr>
        <w:t>CFR 21.21, records of procedures requir</w:t>
      </w:r>
      <w:r w:rsidR="00DC00D2" w:rsidRPr="009F5AF4">
        <w:rPr>
          <w:rFonts w:ascii="Arial" w:hAnsi="Arial" w:cs="Arial"/>
          <w:sz w:val="22"/>
          <w:szCs w:val="22"/>
        </w:rPr>
        <w:t>ed to assure compliance with 10 CFR</w:t>
      </w:r>
      <w:r w:rsidR="00222DD7">
        <w:rPr>
          <w:rFonts w:ascii="Arial" w:hAnsi="Arial" w:cs="Arial"/>
          <w:sz w:val="22"/>
          <w:szCs w:val="22"/>
        </w:rPr>
        <w:t xml:space="preserve"> Part</w:t>
      </w:r>
      <w:r w:rsidR="00DC00D2" w:rsidRPr="009F5AF4">
        <w:rPr>
          <w:rFonts w:ascii="Arial" w:hAnsi="Arial" w:cs="Arial"/>
          <w:sz w:val="22"/>
          <w:szCs w:val="22"/>
        </w:rPr>
        <w:t> </w:t>
      </w:r>
      <w:r w:rsidRPr="009F5AF4">
        <w:rPr>
          <w:rFonts w:ascii="Arial" w:hAnsi="Arial" w:cs="Arial"/>
          <w:sz w:val="22"/>
          <w:szCs w:val="22"/>
        </w:rPr>
        <w:t>21, and procurement documents necessary to ensure that background specifications are available to evaluate potential defects and failures to comply.</w:t>
      </w:r>
    </w:p>
    <w:p w14:paraId="0EEF0C9A" w14:textId="77777777" w:rsidR="00A879F3" w:rsidRPr="009F5AF4" w:rsidRDefault="00A879F3">
      <w:pPr>
        <w:widowControl/>
        <w:rPr>
          <w:rFonts w:ascii="Arial" w:hAnsi="Arial" w:cs="Arial"/>
          <w:sz w:val="22"/>
          <w:szCs w:val="22"/>
        </w:rPr>
      </w:pPr>
    </w:p>
    <w:p w14:paraId="03C3399B" w14:textId="77777777" w:rsidR="00A879F3" w:rsidRPr="009F5AF4" w:rsidRDefault="00A879F3">
      <w:pPr>
        <w:widowControl/>
        <w:ind w:left="1440"/>
        <w:rPr>
          <w:rFonts w:ascii="Arial" w:hAnsi="Arial" w:cs="Arial"/>
          <w:sz w:val="22"/>
          <w:szCs w:val="22"/>
        </w:rPr>
      </w:pPr>
      <w:r w:rsidRPr="009F5AF4">
        <w:rPr>
          <w:rFonts w:ascii="Arial" w:hAnsi="Arial" w:cs="Arial"/>
          <w:sz w:val="22"/>
          <w:szCs w:val="22"/>
        </w:rPr>
        <w:t>Industry organizations, such as the Institut</w:t>
      </w:r>
      <w:r w:rsidR="00222DD7">
        <w:rPr>
          <w:rFonts w:ascii="Arial" w:hAnsi="Arial" w:cs="Arial"/>
          <w:sz w:val="22"/>
          <w:szCs w:val="22"/>
        </w:rPr>
        <w:t>e for Nuclear Power Operations</w:t>
      </w:r>
      <w:r w:rsidRPr="009F5AF4">
        <w:rPr>
          <w:rFonts w:ascii="Arial" w:hAnsi="Arial" w:cs="Arial"/>
          <w:sz w:val="22"/>
          <w:szCs w:val="22"/>
        </w:rPr>
        <w:t xml:space="preserve"> an</w:t>
      </w:r>
      <w:r w:rsidR="00222DD7">
        <w:rPr>
          <w:rFonts w:ascii="Arial" w:hAnsi="Arial" w:cs="Arial"/>
          <w:sz w:val="22"/>
          <w:szCs w:val="22"/>
        </w:rPr>
        <w:t>d the Nuclear Energy Institute</w:t>
      </w:r>
      <w:r w:rsidRPr="009F5AF4">
        <w:rPr>
          <w:rFonts w:ascii="Arial" w:hAnsi="Arial" w:cs="Arial"/>
          <w:sz w:val="22"/>
          <w:szCs w:val="22"/>
        </w:rPr>
        <w:t>, are urged to share and distribute such information to all affected parties as it becomes available.  The NRC further disseminates significant generic information to all affected parties via NRC Information Notices, Generic Letters, and Bulletins, and encourages the elimination of duplicate reporting.  Computer databases are used extensively by the NRC and the nuclear industry for tracking these reports.</w:t>
      </w:r>
    </w:p>
    <w:p w14:paraId="7385919F" w14:textId="77777777" w:rsidR="00A879F3" w:rsidRPr="009F5AF4" w:rsidRDefault="00A879F3">
      <w:pPr>
        <w:widowControl/>
        <w:rPr>
          <w:rFonts w:ascii="Arial" w:hAnsi="Arial" w:cs="Arial"/>
          <w:sz w:val="22"/>
          <w:szCs w:val="22"/>
        </w:rPr>
      </w:pPr>
    </w:p>
    <w:p w14:paraId="6630884E" w14:textId="77777777"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3.</w:t>
      </w:r>
      <w:bookmarkStart w:id="6" w:name="OLE_LINK1"/>
      <w:bookmarkStart w:id="7" w:name="OLE_LINK2"/>
      <w:r w:rsidRPr="009F5AF4">
        <w:rPr>
          <w:rFonts w:ascii="Arial" w:hAnsi="Arial" w:cs="Arial"/>
          <w:sz w:val="22"/>
          <w:szCs w:val="22"/>
        </w:rPr>
        <w:tab/>
      </w:r>
      <w:r w:rsidRPr="009F5AF4">
        <w:rPr>
          <w:rFonts w:ascii="Arial" w:hAnsi="Arial" w:cs="Arial"/>
          <w:sz w:val="22"/>
          <w:szCs w:val="22"/>
          <w:u w:val="single"/>
        </w:rPr>
        <w:t>Reduction of Burden Through Information Technology</w:t>
      </w:r>
    </w:p>
    <w:p w14:paraId="6EEA08CD" w14:textId="77777777" w:rsidR="00B334CA" w:rsidRPr="009F5AF4" w:rsidRDefault="00B334CA">
      <w:pPr>
        <w:widowControl/>
        <w:rPr>
          <w:rFonts w:ascii="Arial" w:hAnsi="Arial" w:cs="Arial"/>
          <w:sz w:val="22"/>
          <w:szCs w:val="22"/>
        </w:rPr>
      </w:pPr>
    </w:p>
    <w:p w14:paraId="236092F7" w14:textId="609443FE" w:rsidR="00696CBE" w:rsidRPr="00756626" w:rsidRDefault="00A879F3">
      <w:pPr>
        <w:widowControl/>
        <w:ind w:left="1440"/>
        <w:rPr>
          <w:rFonts w:ascii="Arial" w:hAnsi="Arial" w:cs="Arial"/>
          <w:sz w:val="22"/>
          <w:szCs w:val="22"/>
        </w:rPr>
      </w:pPr>
      <w:r w:rsidRPr="009F5AF4">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w:t>
      </w:r>
      <w:bookmarkStart w:id="8" w:name="OLE_LINK3"/>
      <w:bookmarkStart w:id="9" w:name="OLE_LINK4"/>
    </w:p>
    <w:p w14:paraId="4AF2D630" w14:textId="77777777" w:rsidR="00222DD7" w:rsidRPr="009F5AF4" w:rsidRDefault="00222DD7">
      <w:pPr>
        <w:widowControl/>
        <w:ind w:left="1440"/>
        <w:rPr>
          <w:rFonts w:ascii="Arial" w:hAnsi="Arial" w:cs="Arial"/>
          <w:sz w:val="22"/>
          <w:szCs w:val="22"/>
        </w:rPr>
      </w:pPr>
    </w:p>
    <w:p w14:paraId="610FBBB6" w14:textId="77777777" w:rsidR="00B7263C" w:rsidRPr="009F5AF4" w:rsidRDefault="00696CBE">
      <w:pPr>
        <w:widowControl/>
        <w:ind w:left="1440"/>
        <w:rPr>
          <w:rFonts w:ascii="Arial" w:hAnsi="Arial" w:cs="Arial"/>
          <w:sz w:val="22"/>
          <w:szCs w:val="22"/>
        </w:rPr>
      </w:pPr>
      <w:r w:rsidRPr="009F5AF4">
        <w:rPr>
          <w:rFonts w:ascii="Arial" w:hAnsi="Arial" w:cs="Arial"/>
          <w:sz w:val="22"/>
          <w:szCs w:val="22"/>
        </w:rPr>
        <w:t>The preferred method of initial notification is by facsimile to the NRC Operations Center</w:t>
      </w:r>
      <w:r w:rsidR="008E1E8C" w:rsidRPr="009F5AF4">
        <w:rPr>
          <w:rFonts w:ascii="Arial" w:hAnsi="Arial" w:cs="Arial"/>
          <w:sz w:val="22"/>
          <w:szCs w:val="22"/>
        </w:rPr>
        <w:t>, however, telephonic notification is permitted</w:t>
      </w:r>
      <w:r w:rsidRPr="009F5AF4">
        <w:rPr>
          <w:rFonts w:ascii="Arial" w:hAnsi="Arial" w:cs="Arial"/>
          <w:sz w:val="22"/>
          <w:szCs w:val="22"/>
        </w:rPr>
        <w:t xml:space="preserve">.  </w:t>
      </w:r>
      <w:r w:rsidR="00B7263C" w:rsidRPr="009F5AF4">
        <w:rPr>
          <w:rFonts w:ascii="Arial" w:hAnsi="Arial" w:cs="Arial"/>
          <w:sz w:val="22"/>
          <w:szCs w:val="22"/>
        </w:rPr>
        <w:t>Therefore, none of the initial notifications are received electronically.</w:t>
      </w:r>
    </w:p>
    <w:p w14:paraId="33A131E0" w14:textId="77777777" w:rsidR="00B7263C" w:rsidRPr="009F5AF4" w:rsidRDefault="00B7263C">
      <w:pPr>
        <w:widowControl/>
        <w:ind w:left="1440"/>
        <w:rPr>
          <w:rFonts w:ascii="Arial" w:hAnsi="Arial" w:cs="Arial"/>
          <w:sz w:val="22"/>
          <w:szCs w:val="22"/>
        </w:rPr>
      </w:pPr>
    </w:p>
    <w:p w14:paraId="4A032269" w14:textId="77777777" w:rsidR="00A879F3" w:rsidRPr="009F5AF4" w:rsidRDefault="00696CBE">
      <w:pPr>
        <w:widowControl/>
        <w:ind w:left="1440"/>
        <w:rPr>
          <w:rFonts w:ascii="Arial" w:hAnsi="Arial" w:cs="Arial"/>
          <w:sz w:val="22"/>
          <w:szCs w:val="22"/>
        </w:rPr>
      </w:pPr>
      <w:r w:rsidRPr="009F5AF4">
        <w:rPr>
          <w:rFonts w:ascii="Arial" w:hAnsi="Arial" w:cs="Arial"/>
          <w:sz w:val="22"/>
          <w:szCs w:val="22"/>
        </w:rPr>
        <w:t xml:space="preserve">Written or electronic notification to the NRC is required within 30 days from the initial notification.  </w:t>
      </w:r>
      <w:r w:rsidR="00A879F3" w:rsidRPr="009F5AF4">
        <w:rPr>
          <w:rFonts w:ascii="Arial" w:hAnsi="Arial" w:cs="Arial"/>
          <w:sz w:val="22"/>
          <w:szCs w:val="22"/>
        </w:rPr>
        <w:t xml:space="preserve">At the current time, approximately </w:t>
      </w:r>
      <w:r w:rsidR="00027830" w:rsidRPr="00D33419">
        <w:rPr>
          <w:rFonts w:ascii="Arial" w:hAnsi="Arial" w:cs="Arial"/>
          <w:sz w:val="22"/>
          <w:szCs w:val="22"/>
        </w:rPr>
        <w:t>91%</w:t>
      </w:r>
      <w:r w:rsidR="00A879F3" w:rsidRPr="009F5AF4">
        <w:rPr>
          <w:rFonts w:ascii="Arial" w:hAnsi="Arial" w:cs="Arial"/>
          <w:sz w:val="22"/>
          <w:szCs w:val="22"/>
        </w:rPr>
        <w:t xml:space="preserve"> of the</w:t>
      </w:r>
      <w:r w:rsidR="009F5AF4">
        <w:rPr>
          <w:rFonts w:ascii="Arial" w:hAnsi="Arial" w:cs="Arial"/>
          <w:sz w:val="22"/>
          <w:szCs w:val="22"/>
        </w:rPr>
        <w:t>se</w:t>
      </w:r>
      <w:r w:rsidR="00A879F3" w:rsidRPr="009F5AF4">
        <w:rPr>
          <w:rFonts w:ascii="Arial" w:hAnsi="Arial" w:cs="Arial"/>
          <w:sz w:val="22"/>
          <w:szCs w:val="22"/>
        </w:rPr>
        <w:t xml:space="preserve"> responses </w:t>
      </w:r>
      <w:r w:rsidR="00027830">
        <w:rPr>
          <w:rFonts w:ascii="Arial" w:hAnsi="Arial" w:cs="Arial"/>
          <w:sz w:val="22"/>
          <w:szCs w:val="22"/>
        </w:rPr>
        <w:t>were</w:t>
      </w:r>
      <w:r w:rsidR="00027830" w:rsidRPr="009F5AF4">
        <w:rPr>
          <w:rFonts w:ascii="Arial" w:hAnsi="Arial" w:cs="Arial"/>
          <w:sz w:val="22"/>
          <w:szCs w:val="22"/>
        </w:rPr>
        <w:t xml:space="preserve"> </w:t>
      </w:r>
      <w:r w:rsidR="00A879F3" w:rsidRPr="009F5AF4">
        <w:rPr>
          <w:rFonts w:ascii="Arial" w:hAnsi="Arial" w:cs="Arial"/>
          <w:sz w:val="22"/>
          <w:szCs w:val="22"/>
        </w:rPr>
        <w:t>submitted electronically.</w:t>
      </w:r>
      <w:bookmarkEnd w:id="8"/>
      <w:bookmarkEnd w:id="9"/>
    </w:p>
    <w:p w14:paraId="754BED49" w14:textId="77777777" w:rsidR="00B7263C" w:rsidRPr="009F5AF4" w:rsidRDefault="00B7263C">
      <w:pPr>
        <w:widowControl/>
        <w:ind w:left="1440"/>
        <w:rPr>
          <w:rFonts w:ascii="Arial" w:hAnsi="Arial" w:cs="Arial"/>
          <w:sz w:val="22"/>
          <w:szCs w:val="22"/>
        </w:rPr>
      </w:pPr>
    </w:p>
    <w:p w14:paraId="7CDAECDF" w14:textId="77777777" w:rsidR="00B7263C" w:rsidRDefault="00B7263C">
      <w:pPr>
        <w:widowControl/>
        <w:ind w:left="1440"/>
        <w:rPr>
          <w:rFonts w:ascii="Arial" w:hAnsi="Arial" w:cs="Arial"/>
          <w:sz w:val="22"/>
          <w:szCs w:val="22"/>
        </w:rPr>
      </w:pPr>
      <w:r w:rsidRPr="009F5AF4">
        <w:rPr>
          <w:rFonts w:ascii="Arial" w:hAnsi="Arial" w:cs="Arial"/>
          <w:sz w:val="22"/>
          <w:szCs w:val="22"/>
        </w:rPr>
        <w:t xml:space="preserve">The overall percentage of electronic submissions for all Part 21 reports (both initial and 30-day reports) is estimated to </w:t>
      </w:r>
      <w:r w:rsidRPr="00D33419">
        <w:rPr>
          <w:rFonts w:ascii="Arial" w:hAnsi="Arial" w:cs="Arial"/>
          <w:sz w:val="22"/>
          <w:szCs w:val="22"/>
        </w:rPr>
        <w:t xml:space="preserve">be </w:t>
      </w:r>
      <w:r w:rsidR="008102D8" w:rsidRPr="00D33419">
        <w:rPr>
          <w:rFonts w:ascii="Arial" w:hAnsi="Arial" w:cs="Arial"/>
          <w:sz w:val="22"/>
          <w:szCs w:val="22"/>
        </w:rPr>
        <w:t>9</w:t>
      </w:r>
      <w:r w:rsidR="008102D8">
        <w:rPr>
          <w:rFonts w:ascii="Arial" w:hAnsi="Arial" w:cs="Arial"/>
          <w:sz w:val="22"/>
          <w:szCs w:val="22"/>
        </w:rPr>
        <w:t>1</w:t>
      </w:r>
      <w:r w:rsidR="00F01E00" w:rsidRPr="00D33419">
        <w:rPr>
          <w:rFonts w:ascii="Arial" w:hAnsi="Arial" w:cs="Arial"/>
          <w:sz w:val="22"/>
          <w:szCs w:val="22"/>
        </w:rPr>
        <w:t>%</w:t>
      </w:r>
      <w:r w:rsidRPr="00D33419">
        <w:rPr>
          <w:rFonts w:ascii="Arial" w:hAnsi="Arial" w:cs="Arial"/>
          <w:sz w:val="22"/>
          <w:szCs w:val="22"/>
        </w:rPr>
        <w:t>.</w:t>
      </w:r>
    </w:p>
    <w:p w14:paraId="75BE21D1" w14:textId="77777777" w:rsidR="00FB247A" w:rsidRPr="009F5AF4" w:rsidRDefault="00FB247A">
      <w:pPr>
        <w:widowControl/>
        <w:ind w:left="1440"/>
        <w:rPr>
          <w:rFonts w:ascii="Arial" w:hAnsi="Arial" w:cs="Arial"/>
          <w:sz w:val="22"/>
          <w:szCs w:val="22"/>
        </w:rPr>
      </w:pPr>
    </w:p>
    <w:bookmarkEnd w:id="6"/>
    <w:bookmarkEnd w:id="7"/>
    <w:p w14:paraId="7C5309DF" w14:textId="77777777"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4.</w:t>
      </w:r>
      <w:r w:rsidRPr="009F5AF4">
        <w:rPr>
          <w:rFonts w:ascii="Arial" w:hAnsi="Arial" w:cs="Arial"/>
          <w:sz w:val="22"/>
          <w:szCs w:val="22"/>
        </w:rPr>
        <w:tab/>
      </w:r>
      <w:r w:rsidRPr="009F5AF4">
        <w:rPr>
          <w:rFonts w:ascii="Arial" w:hAnsi="Arial" w:cs="Arial"/>
          <w:sz w:val="22"/>
          <w:szCs w:val="22"/>
          <w:u w:val="single"/>
        </w:rPr>
        <w:t>Effort to Identify Duplication and Use Similar Information</w:t>
      </w:r>
    </w:p>
    <w:p w14:paraId="18AEB2D7" w14:textId="77777777" w:rsidR="00A879F3" w:rsidRPr="009F5AF4" w:rsidRDefault="00A879F3">
      <w:pPr>
        <w:widowControl/>
        <w:rPr>
          <w:rFonts w:ascii="Arial" w:hAnsi="Arial" w:cs="Arial"/>
          <w:sz w:val="22"/>
          <w:szCs w:val="22"/>
        </w:rPr>
      </w:pPr>
    </w:p>
    <w:p w14:paraId="010F9B48" w14:textId="7D5D0255" w:rsidR="00A879F3" w:rsidRPr="009F5AF4" w:rsidRDefault="005A4FCF">
      <w:pPr>
        <w:widowControl/>
        <w:ind w:left="1440"/>
        <w:rPr>
          <w:rFonts w:ascii="Arial" w:hAnsi="Arial" w:cs="Arial"/>
          <w:sz w:val="22"/>
          <w:szCs w:val="22"/>
        </w:rPr>
      </w:pPr>
      <w:r w:rsidRPr="009F5AF4">
        <w:rPr>
          <w:rFonts w:ascii="Arial" w:hAnsi="Arial"/>
          <w:sz w:val="22"/>
        </w:rPr>
        <w:t xml:space="preserve">No sources of similar information are </w:t>
      </w:r>
      <w:r w:rsidRPr="009F5AF4">
        <w:rPr>
          <w:rFonts w:ascii="Arial" w:hAnsi="Arial" w:cs="Arial"/>
          <w:sz w:val="22"/>
        </w:rPr>
        <w:t xml:space="preserve">available.  </w:t>
      </w:r>
      <w:r w:rsidR="00A879F3" w:rsidRPr="009F5AF4">
        <w:rPr>
          <w:rFonts w:ascii="Arial" w:hAnsi="Arial" w:cs="Arial"/>
          <w:sz w:val="22"/>
          <w:szCs w:val="22"/>
        </w:rPr>
        <w:t xml:space="preserve">There is no duplication of requirements.  </w:t>
      </w:r>
    </w:p>
    <w:p w14:paraId="4EC4BCF9" w14:textId="77777777" w:rsidR="00A879F3" w:rsidRPr="009F5AF4" w:rsidRDefault="00A879F3">
      <w:pPr>
        <w:widowControl/>
        <w:rPr>
          <w:rFonts w:ascii="Arial" w:hAnsi="Arial" w:cs="Arial"/>
          <w:sz w:val="22"/>
          <w:szCs w:val="22"/>
        </w:rPr>
      </w:pPr>
    </w:p>
    <w:p w14:paraId="6C926F8D" w14:textId="77777777"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5.</w:t>
      </w:r>
      <w:r w:rsidRPr="009F5AF4">
        <w:rPr>
          <w:rFonts w:ascii="Arial" w:hAnsi="Arial" w:cs="Arial"/>
          <w:sz w:val="22"/>
          <w:szCs w:val="22"/>
        </w:rPr>
        <w:tab/>
      </w:r>
      <w:bookmarkStart w:id="10" w:name="OLE_LINK5"/>
      <w:r w:rsidRPr="009F5AF4">
        <w:rPr>
          <w:rFonts w:ascii="Arial" w:hAnsi="Arial" w:cs="Arial"/>
          <w:sz w:val="22"/>
          <w:szCs w:val="22"/>
          <w:u w:val="single"/>
        </w:rPr>
        <w:t>Effort to Reduce Small Business Burden</w:t>
      </w:r>
    </w:p>
    <w:p w14:paraId="48CE6A62" w14:textId="77777777" w:rsidR="00A879F3" w:rsidRDefault="00FB247A">
      <w:pPr>
        <w:widowControl/>
        <w:rPr>
          <w:rFonts w:ascii="Arial" w:hAnsi="Arial" w:cs="Arial"/>
          <w:sz w:val="22"/>
          <w:szCs w:val="22"/>
        </w:rPr>
      </w:pPr>
      <w:r>
        <w:rPr>
          <w:rFonts w:ascii="Arial" w:hAnsi="Arial" w:cs="Arial"/>
          <w:sz w:val="22"/>
          <w:szCs w:val="22"/>
        </w:rPr>
        <w:t xml:space="preserve">                        </w:t>
      </w:r>
    </w:p>
    <w:p w14:paraId="31D41CAD" w14:textId="77777777" w:rsidR="00A879F3" w:rsidRDefault="00A879F3">
      <w:pPr>
        <w:widowControl/>
        <w:ind w:left="1440"/>
        <w:rPr>
          <w:rFonts w:ascii="Arial" w:hAnsi="Arial" w:cs="Arial"/>
          <w:sz w:val="22"/>
          <w:szCs w:val="22"/>
        </w:rPr>
      </w:pPr>
      <w:r w:rsidRPr="009F5AF4">
        <w:rPr>
          <w:rFonts w:ascii="Arial" w:hAnsi="Arial" w:cs="Arial"/>
          <w:sz w:val="22"/>
          <w:szCs w:val="22"/>
        </w:rPr>
        <w:t xml:space="preserve">Approximately </w:t>
      </w:r>
      <w:r w:rsidR="007755B8">
        <w:rPr>
          <w:rFonts w:ascii="Arial" w:hAnsi="Arial" w:cs="Arial"/>
          <w:sz w:val="22"/>
          <w:szCs w:val="22"/>
        </w:rPr>
        <w:t>2,000</w:t>
      </w:r>
      <w:r w:rsidRPr="009F5AF4">
        <w:rPr>
          <w:rFonts w:ascii="Arial" w:hAnsi="Arial" w:cs="Arial"/>
          <w:sz w:val="22"/>
          <w:szCs w:val="22"/>
        </w:rPr>
        <w:t xml:space="preserve"> licensees and other organizations are under the scope of 10 CFR</w:t>
      </w:r>
      <w:r w:rsidR="00222DD7">
        <w:rPr>
          <w:rFonts w:ascii="Arial" w:hAnsi="Arial" w:cs="Arial"/>
          <w:sz w:val="22"/>
          <w:szCs w:val="22"/>
        </w:rPr>
        <w:t xml:space="preserve"> Part</w:t>
      </w:r>
      <w:r w:rsidRPr="009F5AF4">
        <w:rPr>
          <w:rFonts w:ascii="Arial" w:hAnsi="Arial" w:cs="Arial"/>
          <w:sz w:val="22"/>
          <w:szCs w:val="22"/>
        </w:rPr>
        <w:t xml:space="preserve"> 21.  </w:t>
      </w:r>
      <w:r w:rsidR="0094530D" w:rsidRPr="009F5AF4">
        <w:rPr>
          <w:rFonts w:ascii="Arial" w:hAnsi="Arial" w:cs="Arial"/>
          <w:sz w:val="22"/>
          <w:szCs w:val="22"/>
        </w:rPr>
        <w:t>While the number of small businesses contributing to this total is not known, it c</w:t>
      </w:r>
      <w:r w:rsidR="001D6DFE" w:rsidRPr="009F5AF4">
        <w:rPr>
          <w:rFonts w:ascii="Arial" w:hAnsi="Arial" w:cs="Arial"/>
          <w:sz w:val="22"/>
          <w:szCs w:val="22"/>
        </w:rPr>
        <w:t>an safely be concluded that</w:t>
      </w:r>
      <w:r w:rsidRPr="009F5AF4">
        <w:rPr>
          <w:rFonts w:ascii="Arial" w:hAnsi="Arial" w:cs="Arial"/>
          <w:sz w:val="22"/>
          <w:szCs w:val="22"/>
        </w:rPr>
        <w:t xml:space="preserve"> small businesses</w:t>
      </w:r>
      <w:r w:rsidR="0094530D" w:rsidRPr="009F5AF4">
        <w:rPr>
          <w:rFonts w:ascii="Arial" w:hAnsi="Arial" w:cs="Arial"/>
          <w:sz w:val="22"/>
          <w:szCs w:val="22"/>
        </w:rPr>
        <w:t xml:space="preserve"> falling under the reporting require</w:t>
      </w:r>
      <w:r w:rsidR="008D2BFD" w:rsidRPr="009F5AF4">
        <w:rPr>
          <w:rFonts w:ascii="Arial" w:hAnsi="Arial" w:cs="Arial"/>
          <w:sz w:val="22"/>
          <w:szCs w:val="22"/>
        </w:rPr>
        <w:t>ments of 10 CFR</w:t>
      </w:r>
      <w:r w:rsidR="00222DD7">
        <w:rPr>
          <w:rFonts w:ascii="Arial" w:hAnsi="Arial" w:cs="Arial"/>
          <w:sz w:val="22"/>
          <w:szCs w:val="22"/>
        </w:rPr>
        <w:t xml:space="preserve"> Part</w:t>
      </w:r>
      <w:r w:rsidR="008D2BFD" w:rsidRPr="009F5AF4">
        <w:rPr>
          <w:rFonts w:ascii="Arial" w:hAnsi="Arial" w:cs="Arial"/>
          <w:sz w:val="22"/>
          <w:szCs w:val="22"/>
        </w:rPr>
        <w:t xml:space="preserve"> 21 would be most </w:t>
      </w:r>
      <w:r w:rsidR="0094530D" w:rsidRPr="009F5AF4">
        <w:rPr>
          <w:rFonts w:ascii="Arial" w:hAnsi="Arial" w:cs="Arial"/>
          <w:sz w:val="22"/>
          <w:szCs w:val="22"/>
        </w:rPr>
        <w:t>likely involved in supplying basic components or services associated with basic components to other licensees</w:t>
      </w:r>
      <w:r w:rsidRPr="009F5AF4">
        <w:rPr>
          <w:rFonts w:ascii="Arial" w:hAnsi="Arial" w:cs="Arial"/>
          <w:sz w:val="22"/>
          <w:szCs w:val="22"/>
        </w:rPr>
        <w:t xml:space="preserve">.  The </w:t>
      </w:r>
      <w:r w:rsidR="00515F00" w:rsidRPr="009F5AF4">
        <w:rPr>
          <w:rFonts w:ascii="Arial" w:hAnsi="Arial" w:cs="Arial"/>
          <w:sz w:val="22"/>
          <w:szCs w:val="22"/>
        </w:rPr>
        <w:t>majority of the burden associated with the reporting of defects</w:t>
      </w:r>
      <w:r w:rsidR="001D6DFE" w:rsidRPr="009F5AF4">
        <w:rPr>
          <w:rFonts w:ascii="Arial" w:hAnsi="Arial" w:cs="Arial"/>
          <w:sz w:val="22"/>
          <w:szCs w:val="22"/>
        </w:rPr>
        <w:t xml:space="preserve"> and noncompliance</w:t>
      </w:r>
      <w:r w:rsidR="00515F00" w:rsidRPr="009F5AF4">
        <w:rPr>
          <w:rFonts w:ascii="Arial" w:hAnsi="Arial" w:cs="Arial"/>
          <w:sz w:val="22"/>
          <w:szCs w:val="22"/>
        </w:rPr>
        <w:t xml:space="preserve"> </w:t>
      </w:r>
      <w:r w:rsidR="00201AE0" w:rsidRPr="009F5AF4">
        <w:rPr>
          <w:rFonts w:ascii="Arial" w:hAnsi="Arial" w:cs="Arial"/>
          <w:sz w:val="22"/>
          <w:szCs w:val="22"/>
        </w:rPr>
        <w:t xml:space="preserve">in this extension </w:t>
      </w:r>
      <w:r w:rsidR="00515F00" w:rsidRPr="009F5AF4">
        <w:rPr>
          <w:rFonts w:ascii="Arial" w:hAnsi="Arial" w:cs="Arial"/>
          <w:sz w:val="22"/>
          <w:szCs w:val="22"/>
        </w:rPr>
        <w:t xml:space="preserve">is associated with the determination of whether an identified deficiency could create a SSH.  </w:t>
      </w:r>
      <w:r w:rsidR="00222DD7">
        <w:rPr>
          <w:rFonts w:ascii="Arial" w:hAnsi="Arial" w:cs="Arial"/>
          <w:sz w:val="22"/>
          <w:szCs w:val="22"/>
        </w:rPr>
        <w:t>Part 21 of 10 CFR</w:t>
      </w:r>
      <w:r w:rsidR="0094530D" w:rsidRPr="009F5AF4">
        <w:rPr>
          <w:rFonts w:ascii="Arial" w:hAnsi="Arial" w:cs="Arial"/>
          <w:sz w:val="22"/>
          <w:szCs w:val="22"/>
        </w:rPr>
        <w:t xml:space="preserve"> is </w:t>
      </w:r>
      <w:r w:rsidR="001D6DFE" w:rsidRPr="009F5AF4">
        <w:rPr>
          <w:rFonts w:ascii="Arial" w:hAnsi="Arial" w:cs="Arial"/>
          <w:sz w:val="22"/>
          <w:szCs w:val="22"/>
        </w:rPr>
        <w:t>written in a manner that permits a supplier o</w:t>
      </w:r>
      <w:r w:rsidR="00201AE0" w:rsidRPr="009F5AF4">
        <w:rPr>
          <w:rFonts w:ascii="Arial" w:hAnsi="Arial" w:cs="Arial"/>
          <w:sz w:val="22"/>
          <w:szCs w:val="22"/>
        </w:rPr>
        <w:t>f basic</w:t>
      </w:r>
      <w:r w:rsidR="003A7FCA" w:rsidRPr="009F5AF4">
        <w:rPr>
          <w:rFonts w:ascii="Arial" w:hAnsi="Arial" w:cs="Arial"/>
          <w:sz w:val="22"/>
          <w:szCs w:val="22"/>
        </w:rPr>
        <w:t xml:space="preserve"> components, for</w:t>
      </w:r>
      <w:r w:rsidR="00201AE0" w:rsidRPr="009F5AF4">
        <w:rPr>
          <w:rFonts w:ascii="Arial" w:hAnsi="Arial" w:cs="Arial"/>
          <w:sz w:val="22"/>
          <w:szCs w:val="22"/>
        </w:rPr>
        <w:t xml:space="preserve"> this </w:t>
      </w:r>
      <w:r w:rsidR="003A7FCA" w:rsidRPr="009F5AF4">
        <w:rPr>
          <w:rFonts w:ascii="Arial" w:hAnsi="Arial" w:cs="Arial"/>
          <w:sz w:val="22"/>
          <w:szCs w:val="22"/>
        </w:rPr>
        <w:t xml:space="preserve">example </w:t>
      </w:r>
      <w:r w:rsidR="001D6DFE" w:rsidRPr="009F5AF4">
        <w:rPr>
          <w:rFonts w:ascii="Arial" w:hAnsi="Arial" w:cs="Arial"/>
          <w:sz w:val="22"/>
          <w:szCs w:val="22"/>
        </w:rPr>
        <w:t>a small b</w:t>
      </w:r>
      <w:r w:rsidR="00515F00" w:rsidRPr="009F5AF4">
        <w:rPr>
          <w:rFonts w:ascii="Arial" w:hAnsi="Arial" w:cs="Arial"/>
          <w:sz w:val="22"/>
          <w:szCs w:val="22"/>
        </w:rPr>
        <w:t>usiness</w:t>
      </w:r>
      <w:r w:rsidR="001D6DFE" w:rsidRPr="009F5AF4">
        <w:rPr>
          <w:rFonts w:ascii="Arial" w:hAnsi="Arial" w:cs="Arial"/>
          <w:sz w:val="22"/>
          <w:szCs w:val="22"/>
        </w:rPr>
        <w:t>,</w:t>
      </w:r>
      <w:r w:rsidR="00515F00" w:rsidRPr="009F5AF4">
        <w:rPr>
          <w:rFonts w:ascii="Arial" w:hAnsi="Arial" w:cs="Arial"/>
          <w:sz w:val="22"/>
          <w:szCs w:val="22"/>
        </w:rPr>
        <w:t xml:space="preserve"> to reduce the burden associated with</w:t>
      </w:r>
      <w:r w:rsidR="00201AE0" w:rsidRPr="009F5AF4">
        <w:rPr>
          <w:rFonts w:ascii="Arial" w:hAnsi="Arial" w:cs="Arial"/>
          <w:sz w:val="22"/>
          <w:szCs w:val="22"/>
        </w:rPr>
        <w:t xml:space="preserve"> this</w:t>
      </w:r>
      <w:r w:rsidR="00F92AF3" w:rsidRPr="009F5AF4">
        <w:rPr>
          <w:rFonts w:ascii="Arial" w:hAnsi="Arial" w:cs="Arial"/>
          <w:sz w:val="22"/>
          <w:szCs w:val="22"/>
        </w:rPr>
        <w:t xml:space="preserve"> reporting</w:t>
      </w:r>
      <w:r w:rsidR="00201AE0" w:rsidRPr="009F5AF4">
        <w:rPr>
          <w:rFonts w:ascii="Arial" w:hAnsi="Arial" w:cs="Arial"/>
          <w:sz w:val="22"/>
          <w:szCs w:val="22"/>
        </w:rPr>
        <w:t xml:space="preserve"> </w:t>
      </w:r>
      <w:r w:rsidR="003A7FCA" w:rsidRPr="009F5AF4">
        <w:rPr>
          <w:rFonts w:ascii="Arial" w:hAnsi="Arial" w:cs="Arial"/>
          <w:sz w:val="22"/>
          <w:szCs w:val="22"/>
        </w:rPr>
        <w:t>requirement</w:t>
      </w:r>
      <w:r w:rsidR="00F92AF3" w:rsidRPr="009F5AF4">
        <w:rPr>
          <w:rFonts w:ascii="Arial" w:hAnsi="Arial" w:cs="Arial"/>
          <w:sz w:val="22"/>
          <w:szCs w:val="22"/>
        </w:rPr>
        <w:t>s</w:t>
      </w:r>
      <w:r w:rsidR="003A7FCA" w:rsidRPr="009F5AF4">
        <w:rPr>
          <w:rFonts w:ascii="Arial" w:hAnsi="Arial" w:cs="Arial"/>
          <w:sz w:val="22"/>
          <w:szCs w:val="22"/>
        </w:rPr>
        <w:t xml:space="preserve"> </w:t>
      </w:r>
      <w:r w:rsidR="001D6DFE" w:rsidRPr="009F5AF4">
        <w:rPr>
          <w:rFonts w:ascii="Arial" w:hAnsi="Arial" w:cs="Arial"/>
          <w:sz w:val="22"/>
          <w:szCs w:val="22"/>
        </w:rPr>
        <w:t xml:space="preserve">if </w:t>
      </w:r>
      <w:r w:rsidR="005D007B" w:rsidRPr="009F5AF4">
        <w:rPr>
          <w:rFonts w:ascii="Arial" w:hAnsi="Arial" w:cs="Arial"/>
          <w:sz w:val="22"/>
          <w:szCs w:val="22"/>
        </w:rPr>
        <w:t xml:space="preserve">the supplier </w:t>
      </w:r>
      <w:r w:rsidR="001D6DFE" w:rsidRPr="009F5AF4">
        <w:rPr>
          <w:rFonts w:ascii="Arial" w:hAnsi="Arial" w:cs="Arial"/>
          <w:sz w:val="22"/>
          <w:szCs w:val="22"/>
        </w:rPr>
        <w:t xml:space="preserve">concludes </w:t>
      </w:r>
      <w:r w:rsidR="005D007B" w:rsidRPr="009F5AF4">
        <w:rPr>
          <w:rFonts w:ascii="Arial" w:hAnsi="Arial" w:cs="Arial"/>
          <w:sz w:val="22"/>
          <w:szCs w:val="22"/>
        </w:rPr>
        <w:t>that it does not have the capability to perform the evaluation to det</w:t>
      </w:r>
      <w:r w:rsidR="00201AE0" w:rsidRPr="009F5AF4">
        <w:rPr>
          <w:rFonts w:ascii="Arial" w:hAnsi="Arial" w:cs="Arial"/>
          <w:sz w:val="22"/>
          <w:szCs w:val="22"/>
        </w:rPr>
        <w:t xml:space="preserve">ermine if a deficiency </w:t>
      </w:r>
      <w:r w:rsidR="001D6DFE" w:rsidRPr="009F5AF4">
        <w:rPr>
          <w:rFonts w:ascii="Arial" w:hAnsi="Arial" w:cs="Arial"/>
          <w:sz w:val="22"/>
          <w:szCs w:val="22"/>
        </w:rPr>
        <w:t>that could create a SSH exists.  T</w:t>
      </w:r>
      <w:r w:rsidR="005D007B" w:rsidRPr="009F5AF4">
        <w:rPr>
          <w:rFonts w:ascii="Arial" w:hAnsi="Arial" w:cs="Arial"/>
          <w:sz w:val="22"/>
          <w:szCs w:val="22"/>
        </w:rPr>
        <w:t xml:space="preserve">he supplier </w:t>
      </w:r>
      <w:r w:rsidR="00201AE0" w:rsidRPr="009F5AF4">
        <w:rPr>
          <w:rFonts w:ascii="Arial" w:hAnsi="Arial" w:cs="Arial"/>
          <w:sz w:val="22"/>
          <w:szCs w:val="22"/>
        </w:rPr>
        <w:t xml:space="preserve">still </w:t>
      </w:r>
      <w:r w:rsidR="005D007B" w:rsidRPr="009F5AF4">
        <w:rPr>
          <w:rFonts w:ascii="Arial" w:hAnsi="Arial" w:cs="Arial"/>
          <w:sz w:val="22"/>
          <w:szCs w:val="22"/>
        </w:rPr>
        <w:t>must</w:t>
      </w:r>
      <w:r w:rsidR="00201AE0" w:rsidRPr="009F5AF4">
        <w:rPr>
          <w:rFonts w:ascii="Arial" w:hAnsi="Arial" w:cs="Arial"/>
          <w:sz w:val="22"/>
          <w:szCs w:val="22"/>
        </w:rPr>
        <w:t xml:space="preserve"> </w:t>
      </w:r>
      <w:r w:rsidR="005D007B" w:rsidRPr="009F5AF4">
        <w:rPr>
          <w:rFonts w:ascii="Arial" w:hAnsi="Arial" w:cs="Arial"/>
          <w:sz w:val="22"/>
          <w:szCs w:val="22"/>
        </w:rPr>
        <w:t xml:space="preserve">inform the purchasers or affected licensees </w:t>
      </w:r>
      <w:r w:rsidR="00201AE0" w:rsidRPr="009F5AF4">
        <w:rPr>
          <w:rFonts w:ascii="Arial" w:hAnsi="Arial" w:cs="Arial"/>
          <w:sz w:val="22"/>
          <w:szCs w:val="22"/>
        </w:rPr>
        <w:t xml:space="preserve">of this basic component </w:t>
      </w:r>
      <w:r w:rsidR="005D007B" w:rsidRPr="009F5AF4">
        <w:rPr>
          <w:rFonts w:ascii="Arial" w:hAnsi="Arial" w:cs="Arial"/>
          <w:sz w:val="22"/>
          <w:szCs w:val="22"/>
        </w:rPr>
        <w:t>so that the purchasers or affected licensees may evaluate the</w:t>
      </w:r>
      <w:r w:rsidR="001D6DFE" w:rsidRPr="009F5AF4">
        <w:rPr>
          <w:rFonts w:ascii="Arial" w:hAnsi="Arial" w:cs="Arial"/>
          <w:sz w:val="22"/>
          <w:szCs w:val="22"/>
        </w:rPr>
        <w:t xml:space="preserve"> deviation or failure to comply.</w:t>
      </w:r>
    </w:p>
    <w:p w14:paraId="315CE1FB" w14:textId="77777777" w:rsidR="007755B8" w:rsidRDefault="007755B8">
      <w:pPr>
        <w:widowControl/>
        <w:ind w:left="1440"/>
        <w:rPr>
          <w:rFonts w:ascii="Arial" w:hAnsi="Arial" w:cs="Arial"/>
          <w:sz w:val="22"/>
          <w:szCs w:val="22"/>
        </w:rPr>
      </w:pPr>
    </w:p>
    <w:p w14:paraId="53561873" w14:textId="77777777" w:rsidR="007755B8" w:rsidRPr="009F5AF4" w:rsidRDefault="007755B8">
      <w:pPr>
        <w:widowControl/>
        <w:ind w:left="1440"/>
        <w:rPr>
          <w:rFonts w:ascii="Arial" w:hAnsi="Arial" w:cs="Arial"/>
          <w:sz w:val="22"/>
          <w:szCs w:val="22"/>
        </w:rPr>
      </w:pPr>
      <w:r>
        <w:rPr>
          <w:rFonts w:ascii="Arial" w:hAnsi="Arial" w:cs="Arial"/>
          <w:sz w:val="22"/>
          <w:szCs w:val="22"/>
        </w:rPr>
        <w:t xml:space="preserve">The NRC staff estimates that </w:t>
      </w:r>
      <w:r w:rsidR="00F01E00" w:rsidRPr="00D33419">
        <w:rPr>
          <w:rFonts w:ascii="Arial" w:hAnsi="Arial" w:cs="Arial"/>
          <w:sz w:val="22"/>
          <w:szCs w:val="22"/>
        </w:rPr>
        <w:t>20</w:t>
      </w:r>
      <w:r w:rsidR="004445D0" w:rsidRPr="00D33419">
        <w:rPr>
          <w:rFonts w:ascii="Arial" w:hAnsi="Arial" w:cs="Arial"/>
          <w:sz w:val="22"/>
          <w:szCs w:val="22"/>
        </w:rPr>
        <w:t>%</w:t>
      </w:r>
      <w:r w:rsidR="004445D0" w:rsidRPr="0048058B">
        <w:rPr>
          <w:rFonts w:ascii="Arial" w:hAnsi="Arial" w:cs="Arial"/>
          <w:color w:val="FF0000"/>
          <w:sz w:val="22"/>
          <w:szCs w:val="22"/>
        </w:rPr>
        <w:t xml:space="preserve"> </w:t>
      </w:r>
      <w:r>
        <w:rPr>
          <w:rFonts w:ascii="Arial" w:hAnsi="Arial" w:cs="Arial"/>
          <w:sz w:val="22"/>
          <w:szCs w:val="22"/>
        </w:rPr>
        <w:t>of the 350 respondents may be small businesses.</w:t>
      </w:r>
    </w:p>
    <w:bookmarkEnd w:id="10"/>
    <w:p w14:paraId="28F4CB72" w14:textId="77777777" w:rsidR="00A879F3" w:rsidRPr="009F5AF4" w:rsidRDefault="00A879F3">
      <w:pPr>
        <w:widowControl/>
        <w:rPr>
          <w:rFonts w:ascii="Arial" w:hAnsi="Arial" w:cs="Arial"/>
          <w:sz w:val="22"/>
          <w:szCs w:val="22"/>
        </w:rPr>
      </w:pPr>
    </w:p>
    <w:p w14:paraId="522D9BD2" w14:textId="77777777"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6.</w:t>
      </w:r>
      <w:r w:rsidRPr="009F5AF4">
        <w:rPr>
          <w:rFonts w:ascii="Arial" w:hAnsi="Arial" w:cs="Arial"/>
          <w:sz w:val="22"/>
          <w:szCs w:val="22"/>
        </w:rPr>
        <w:tab/>
      </w:r>
      <w:r w:rsidRPr="009F5AF4">
        <w:rPr>
          <w:rFonts w:ascii="Arial" w:hAnsi="Arial" w:cs="Arial"/>
          <w:sz w:val="22"/>
          <w:szCs w:val="22"/>
          <w:u w:val="single"/>
        </w:rPr>
        <w:t>Consequences to Federal Program or Policy Activities if the Collection is Not Conducted or is Conducted Less Frequently</w:t>
      </w:r>
    </w:p>
    <w:p w14:paraId="3ABFA51A" w14:textId="77777777" w:rsidR="00A879F3" w:rsidRPr="009F5AF4" w:rsidRDefault="00A879F3">
      <w:pPr>
        <w:widowControl/>
        <w:rPr>
          <w:rFonts w:ascii="Arial" w:hAnsi="Arial" w:cs="Arial"/>
          <w:sz w:val="22"/>
          <w:szCs w:val="22"/>
        </w:rPr>
      </w:pPr>
    </w:p>
    <w:p w14:paraId="652D99CE" w14:textId="77777777" w:rsidR="00A879F3" w:rsidRDefault="00A879F3">
      <w:pPr>
        <w:widowControl/>
        <w:ind w:left="1440"/>
        <w:rPr>
          <w:rFonts w:ascii="Arial" w:hAnsi="Arial" w:cs="Arial"/>
          <w:sz w:val="22"/>
          <w:szCs w:val="22"/>
        </w:rPr>
      </w:pPr>
      <w:r w:rsidRPr="009F5AF4">
        <w:rPr>
          <w:rFonts w:ascii="Arial" w:hAnsi="Arial" w:cs="Arial"/>
          <w:sz w:val="22"/>
          <w:szCs w:val="22"/>
        </w:rPr>
        <w:t>The 10 CFR</w:t>
      </w:r>
      <w:r w:rsidR="0041187D">
        <w:rPr>
          <w:rFonts w:ascii="Arial" w:hAnsi="Arial" w:cs="Arial"/>
          <w:sz w:val="22"/>
          <w:szCs w:val="22"/>
        </w:rPr>
        <w:t xml:space="preserve"> Part</w:t>
      </w:r>
      <w:r w:rsidRPr="009F5AF4">
        <w:rPr>
          <w:rFonts w:ascii="Arial" w:hAnsi="Arial" w:cs="Arial"/>
          <w:sz w:val="22"/>
          <w:szCs w:val="22"/>
        </w:rPr>
        <w:t xml:space="preserve"> 21 regulation requires the </w:t>
      </w:r>
      <w:r w:rsidR="00FA6BCA" w:rsidRPr="009F5AF4">
        <w:rPr>
          <w:rFonts w:ascii="Arial" w:hAnsi="Arial" w:cs="Arial"/>
          <w:sz w:val="22"/>
          <w:szCs w:val="22"/>
        </w:rPr>
        <w:t xml:space="preserve">initial </w:t>
      </w:r>
      <w:r w:rsidRPr="009F5AF4">
        <w:rPr>
          <w:rFonts w:ascii="Arial" w:hAnsi="Arial" w:cs="Arial"/>
          <w:sz w:val="22"/>
          <w:szCs w:val="22"/>
        </w:rPr>
        <w:t xml:space="preserve">reporting of defects and failures to comply </w:t>
      </w:r>
      <w:r w:rsidR="00FA6BCA" w:rsidRPr="009F5AF4">
        <w:rPr>
          <w:rFonts w:ascii="Arial" w:hAnsi="Arial" w:cs="Arial"/>
          <w:sz w:val="22"/>
          <w:szCs w:val="22"/>
        </w:rPr>
        <w:t xml:space="preserve">by a responsible officer </w:t>
      </w:r>
      <w:r w:rsidR="00696CBE" w:rsidRPr="009F5AF4">
        <w:rPr>
          <w:rFonts w:ascii="Arial" w:hAnsi="Arial" w:cs="Arial"/>
          <w:sz w:val="22"/>
          <w:szCs w:val="22"/>
        </w:rPr>
        <w:t xml:space="preserve">of the licensee, vendor, or applicant </w:t>
      </w:r>
      <w:r w:rsidR="00FA6BCA" w:rsidRPr="009F5AF4">
        <w:rPr>
          <w:rFonts w:ascii="Arial" w:hAnsi="Arial" w:cs="Arial"/>
          <w:sz w:val="22"/>
          <w:szCs w:val="22"/>
        </w:rPr>
        <w:t xml:space="preserve">within 2 days </w:t>
      </w:r>
      <w:r w:rsidRPr="009F5AF4">
        <w:rPr>
          <w:rFonts w:ascii="Arial" w:hAnsi="Arial" w:cs="Arial"/>
          <w:sz w:val="22"/>
          <w:szCs w:val="22"/>
        </w:rPr>
        <w:t xml:space="preserve">after </w:t>
      </w:r>
      <w:r w:rsidR="00FA6BCA" w:rsidRPr="009F5AF4">
        <w:rPr>
          <w:rFonts w:ascii="Arial" w:hAnsi="Arial" w:cs="Arial"/>
          <w:sz w:val="22"/>
          <w:szCs w:val="22"/>
        </w:rPr>
        <w:t>being notified of the evaluation results</w:t>
      </w:r>
      <w:r w:rsidRPr="009F5AF4">
        <w:rPr>
          <w:rFonts w:ascii="Arial" w:hAnsi="Arial" w:cs="Arial"/>
          <w:sz w:val="22"/>
          <w:szCs w:val="22"/>
        </w:rPr>
        <w:t>.</w:t>
      </w:r>
      <w:r w:rsidR="00FA6BCA" w:rsidRPr="009F5AF4">
        <w:rPr>
          <w:rFonts w:ascii="Arial" w:hAnsi="Arial" w:cs="Arial"/>
          <w:sz w:val="22"/>
          <w:szCs w:val="22"/>
        </w:rPr>
        <w:t xml:space="preserve">  Written or electronic notification to the NRC is required within 30 days</w:t>
      </w:r>
      <w:r w:rsidR="003F1EF4" w:rsidRPr="009F5AF4">
        <w:rPr>
          <w:rFonts w:ascii="Arial" w:hAnsi="Arial" w:cs="Arial"/>
          <w:sz w:val="22"/>
          <w:szCs w:val="22"/>
        </w:rPr>
        <w:t xml:space="preserve"> from the initial notification</w:t>
      </w:r>
      <w:r w:rsidR="00FA6BCA" w:rsidRPr="009F5AF4">
        <w:rPr>
          <w:rFonts w:ascii="Arial" w:hAnsi="Arial" w:cs="Arial"/>
          <w:sz w:val="22"/>
          <w:szCs w:val="22"/>
        </w:rPr>
        <w:t xml:space="preserve">.  </w:t>
      </w:r>
      <w:r w:rsidR="00CD5F6A" w:rsidRPr="009F5AF4">
        <w:rPr>
          <w:rFonts w:ascii="Arial" w:hAnsi="Arial" w:cs="Arial"/>
          <w:sz w:val="22"/>
          <w:szCs w:val="22"/>
        </w:rPr>
        <w:t>Less frequent reporting would reduce</w:t>
      </w:r>
      <w:r w:rsidRPr="009F5AF4">
        <w:rPr>
          <w:rFonts w:ascii="Arial" w:hAnsi="Arial" w:cs="Arial"/>
          <w:sz w:val="22"/>
          <w:szCs w:val="22"/>
        </w:rPr>
        <w:t xml:space="preserve"> NRC effectiveness in the area of assessing potentially generic safety issues and in disseminating such information to affected parties.</w:t>
      </w:r>
    </w:p>
    <w:p w14:paraId="217258FE" w14:textId="77777777" w:rsidR="00A879F3" w:rsidRDefault="00A879F3">
      <w:pPr>
        <w:widowControl/>
        <w:rPr>
          <w:rFonts w:ascii="Arial" w:hAnsi="Arial" w:cs="Arial"/>
          <w:sz w:val="22"/>
          <w:szCs w:val="22"/>
        </w:rPr>
      </w:pPr>
    </w:p>
    <w:p w14:paraId="3ACCC3FE" w14:textId="77777777"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7.</w:t>
      </w:r>
      <w:r w:rsidRPr="009F5AF4">
        <w:rPr>
          <w:rFonts w:ascii="Arial" w:hAnsi="Arial" w:cs="Arial"/>
          <w:sz w:val="22"/>
          <w:szCs w:val="22"/>
        </w:rPr>
        <w:tab/>
      </w:r>
      <w:r w:rsidRPr="009F5AF4">
        <w:rPr>
          <w:rFonts w:ascii="Arial" w:hAnsi="Arial" w:cs="Arial"/>
          <w:sz w:val="22"/>
          <w:szCs w:val="22"/>
          <w:u w:val="single"/>
        </w:rPr>
        <w:t xml:space="preserve">Circumstances which Justify Variation from </w:t>
      </w:r>
      <w:r w:rsidR="0041187D">
        <w:rPr>
          <w:rFonts w:ascii="Arial" w:hAnsi="Arial" w:cs="Arial"/>
          <w:sz w:val="22"/>
          <w:szCs w:val="22"/>
          <w:u w:val="single"/>
        </w:rPr>
        <w:t>the Office of Management and Budget (OMB)</w:t>
      </w:r>
      <w:r w:rsidRPr="009F5AF4">
        <w:rPr>
          <w:rFonts w:ascii="Arial" w:hAnsi="Arial" w:cs="Arial"/>
          <w:sz w:val="22"/>
          <w:szCs w:val="22"/>
          <w:u w:val="single"/>
        </w:rPr>
        <w:t xml:space="preserve"> Guidelines</w:t>
      </w:r>
    </w:p>
    <w:p w14:paraId="5C87B832" w14:textId="77777777" w:rsidR="006A2BD8" w:rsidRPr="009F5AF4" w:rsidRDefault="006A2BD8">
      <w:pPr>
        <w:widowControl/>
        <w:rPr>
          <w:rFonts w:ascii="Arial" w:hAnsi="Arial" w:cs="Arial"/>
          <w:sz w:val="22"/>
          <w:szCs w:val="22"/>
        </w:rPr>
      </w:pPr>
    </w:p>
    <w:p w14:paraId="5DB23698" w14:textId="77777777" w:rsidR="00A879F3" w:rsidRPr="009F5AF4" w:rsidRDefault="00A879F3">
      <w:pPr>
        <w:widowControl/>
        <w:ind w:left="1440"/>
        <w:rPr>
          <w:rFonts w:ascii="Arial" w:hAnsi="Arial" w:cs="Arial"/>
          <w:sz w:val="22"/>
          <w:szCs w:val="22"/>
        </w:rPr>
      </w:pPr>
      <w:r w:rsidRPr="009F5AF4">
        <w:rPr>
          <w:rFonts w:ascii="Arial" w:hAnsi="Arial" w:cs="Arial"/>
          <w:sz w:val="22"/>
          <w:szCs w:val="22"/>
        </w:rPr>
        <w:t>The 10 CFR</w:t>
      </w:r>
      <w:r w:rsidR="0041187D">
        <w:rPr>
          <w:rFonts w:ascii="Arial" w:hAnsi="Arial" w:cs="Arial"/>
          <w:sz w:val="22"/>
          <w:szCs w:val="22"/>
        </w:rPr>
        <w:t xml:space="preserve"> Part</w:t>
      </w:r>
      <w:r w:rsidRPr="009F5AF4">
        <w:rPr>
          <w:rFonts w:ascii="Arial" w:hAnsi="Arial" w:cs="Arial"/>
          <w:sz w:val="22"/>
          <w:szCs w:val="22"/>
        </w:rPr>
        <w:t xml:space="preserve"> 21 regulation requires the reporting of defects and failures to comply that could create an SSH in facilities or activities licensed by the NRC.  This information is needed within two days by telephone or facsimile and 30 days by written report to ensure that the NRC receives prompt notification of these defects and failures to comply, evaluates them, and is able to promptly disseminate to other licensees information regarding those defects and failures to comply that are determined to be potentially generic safety problems.</w:t>
      </w:r>
    </w:p>
    <w:p w14:paraId="18E55CA8" w14:textId="77777777" w:rsidR="00A879F3" w:rsidRPr="009F5AF4" w:rsidRDefault="00A879F3">
      <w:pPr>
        <w:widowControl/>
        <w:rPr>
          <w:rFonts w:ascii="Arial" w:hAnsi="Arial" w:cs="Arial"/>
          <w:sz w:val="22"/>
          <w:szCs w:val="22"/>
        </w:rPr>
      </w:pPr>
    </w:p>
    <w:p w14:paraId="3220610A" w14:textId="77777777" w:rsidR="009B66A7" w:rsidRPr="009F5AF4" w:rsidRDefault="00F92AF3">
      <w:pPr>
        <w:widowControl/>
        <w:ind w:left="1440"/>
        <w:rPr>
          <w:rFonts w:ascii="Arial" w:hAnsi="Arial" w:cs="Arial"/>
          <w:sz w:val="22"/>
          <w:szCs w:val="22"/>
        </w:rPr>
      </w:pPr>
      <w:r w:rsidRPr="009F5AF4">
        <w:rPr>
          <w:rFonts w:ascii="Arial" w:hAnsi="Arial" w:cs="Arial"/>
          <w:sz w:val="22"/>
          <w:szCs w:val="22"/>
        </w:rPr>
        <w:t>T</w:t>
      </w:r>
      <w:r w:rsidR="00A879F3" w:rsidRPr="009F5AF4">
        <w:rPr>
          <w:rFonts w:ascii="Arial" w:hAnsi="Arial" w:cs="Arial"/>
          <w:sz w:val="22"/>
          <w:szCs w:val="22"/>
        </w:rPr>
        <w:t xml:space="preserve">he 10 CFR </w:t>
      </w:r>
      <w:r w:rsidR="0041187D">
        <w:rPr>
          <w:rFonts w:ascii="Arial" w:hAnsi="Arial" w:cs="Arial"/>
          <w:sz w:val="22"/>
          <w:szCs w:val="22"/>
        </w:rPr>
        <w:t xml:space="preserve">Part </w:t>
      </w:r>
      <w:r w:rsidR="00A879F3" w:rsidRPr="009F5AF4">
        <w:rPr>
          <w:rFonts w:ascii="Arial" w:hAnsi="Arial" w:cs="Arial"/>
          <w:sz w:val="22"/>
          <w:szCs w:val="22"/>
        </w:rPr>
        <w:t>21 regulation requires reco</w:t>
      </w:r>
      <w:r w:rsidRPr="009F5AF4">
        <w:rPr>
          <w:rFonts w:ascii="Arial" w:hAnsi="Arial" w:cs="Arial"/>
          <w:sz w:val="22"/>
          <w:szCs w:val="22"/>
        </w:rPr>
        <w:t xml:space="preserve">rds </w:t>
      </w:r>
      <w:r w:rsidR="00511A06" w:rsidRPr="009F5AF4">
        <w:rPr>
          <w:rFonts w:ascii="Arial" w:hAnsi="Arial" w:cs="Arial"/>
          <w:sz w:val="22"/>
          <w:szCs w:val="22"/>
        </w:rPr>
        <w:t xml:space="preserve">be retained beyond the 3 </w:t>
      </w:r>
      <w:r w:rsidR="00A879F3" w:rsidRPr="009F5AF4">
        <w:rPr>
          <w:rFonts w:ascii="Arial" w:hAnsi="Arial" w:cs="Arial"/>
          <w:sz w:val="22"/>
          <w:szCs w:val="22"/>
        </w:rPr>
        <w:t>year limit established by OMB.  This longer retention is required because review of experience with existing records in re</w:t>
      </w:r>
      <w:r w:rsidR="001606E0" w:rsidRPr="009F5AF4">
        <w:rPr>
          <w:rFonts w:ascii="Arial" w:hAnsi="Arial" w:cs="Arial"/>
          <w:sz w:val="22"/>
          <w:szCs w:val="22"/>
        </w:rPr>
        <w:t xml:space="preserve">cent reviews indicates that a 3 </w:t>
      </w:r>
      <w:r w:rsidR="00A879F3" w:rsidRPr="009F5AF4">
        <w:rPr>
          <w:rFonts w:ascii="Arial" w:hAnsi="Arial" w:cs="Arial"/>
          <w:sz w:val="22"/>
          <w:szCs w:val="22"/>
        </w:rPr>
        <w:t xml:space="preserve">year retention </w:t>
      </w:r>
      <w:r w:rsidR="001606E0" w:rsidRPr="009F5AF4">
        <w:rPr>
          <w:rFonts w:ascii="Arial" w:hAnsi="Arial" w:cs="Arial"/>
          <w:sz w:val="22"/>
          <w:szCs w:val="22"/>
        </w:rPr>
        <w:t xml:space="preserve">period </w:t>
      </w:r>
      <w:r w:rsidR="00A879F3" w:rsidRPr="009F5AF4">
        <w:rPr>
          <w:rFonts w:ascii="Arial" w:hAnsi="Arial" w:cs="Arial"/>
          <w:sz w:val="22"/>
          <w:szCs w:val="22"/>
        </w:rPr>
        <w:t>would not be adequate for review and evaluation of recurring defects.  It is necessar</w:t>
      </w:r>
      <w:r w:rsidR="001606E0" w:rsidRPr="009F5AF4">
        <w:rPr>
          <w:rFonts w:ascii="Arial" w:hAnsi="Arial" w:cs="Arial"/>
          <w:sz w:val="22"/>
          <w:szCs w:val="22"/>
        </w:rPr>
        <w:t xml:space="preserve">y to be able to verify that a defect that could create a SSH </w:t>
      </w:r>
      <w:r w:rsidR="00A879F3" w:rsidRPr="009F5AF4">
        <w:rPr>
          <w:rFonts w:ascii="Arial" w:hAnsi="Arial" w:cs="Arial"/>
          <w:sz w:val="22"/>
          <w:szCs w:val="22"/>
        </w:rPr>
        <w:t xml:space="preserve">has been adequately </w:t>
      </w:r>
      <w:r w:rsidR="00756F89" w:rsidRPr="009F5AF4">
        <w:rPr>
          <w:rFonts w:ascii="Arial" w:hAnsi="Arial" w:cs="Arial"/>
          <w:sz w:val="22"/>
          <w:szCs w:val="22"/>
        </w:rPr>
        <w:t xml:space="preserve">identified, </w:t>
      </w:r>
      <w:r w:rsidR="00A879F3" w:rsidRPr="009F5AF4">
        <w:rPr>
          <w:rFonts w:ascii="Arial" w:hAnsi="Arial" w:cs="Arial"/>
          <w:sz w:val="22"/>
          <w:szCs w:val="22"/>
        </w:rPr>
        <w:t xml:space="preserve">evaluated, reported, and corrected as required.  Records of evaluations are therefore required to be </w:t>
      </w:r>
      <w:r w:rsidRPr="009F5AF4">
        <w:rPr>
          <w:rFonts w:ascii="Arial" w:hAnsi="Arial" w:cs="Arial"/>
          <w:sz w:val="22"/>
          <w:szCs w:val="22"/>
        </w:rPr>
        <w:t xml:space="preserve">retained for 5 years.  Supplier </w:t>
      </w:r>
      <w:r w:rsidR="00A879F3" w:rsidRPr="009F5AF4">
        <w:rPr>
          <w:rFonts w:ascii="Arial" w:hAnsi="Arial" w:cs="Arial"/>
          <w:sz w:val="22"/>
          <w:szCs w:val="22"/>
        </w:rPr>
        <w:t>notifications to purchasers/affected licensees are retained for 5 years.  Supplier records of the identification of purchasers of basic components are retained for 10 years after delivery of the basic component.</w:t>
      </w:r>
      <w:r w:rsidR="0039573A" w:rsidRPr="009F5AF4">
        <w:rPr>
          <w:rFonts w:ascii="Arial" w:hAnsi="Arial" w:cs="Arial"/>
          <w:sz w:val="22"/>
          <w:szCs w:val="22"/>
        </w:rPr>
        <w:t xml:space="preserve">  </w:t>
      </w:r>
    </w:p>
    <w:p w14:paraId="1F378577" w14:textId="77777777" w:rsidR="009B66A7" w:rsidRPr="009F5AF4" w:rsidRDefault="009B66A7">
      <w:pPr>
        <w:widowControl/>
        <w:ind w:left="1440"/>
        <w:rPr>
          <w:rFonts w:ascii="Arial" w:hAnsi="Arial" w:cs="Arial"/>
          <w:sz w:val="22"/>
          <w:szCs w:val="22"/>
        </w:rPr>
      </w:pPr>
    </w:p>
    <w:p w14:paraId="3007EEFD" w14:textId="77777777" w:rsidR="00A879F3" w:rsidRPr="009F5AF4" w:rsidRDefault="00FA67F3" w:rsidP="00DA63C2">
      <w:pPr>
        <w:widowControl/>
        <w:ind w:left="1440"/>
        <w:rPr>
          <w:rFonts w:ascii="Arial" w:hAnsi="Arial" w:cs="Arial"/>
          <w:sz w:val="22"/>
          <w:szCs w:val="22"/>
        </w:rPr>
      </w:pPr>
      <w:r w:rsidRPr="009F5AF4">
        <w:rPr>
          <w:rFonts w:ascii="Arial" w:hAnsi="Arial" w:cs="Arial"/>
          <w:sz w:val="22"/>
          <w:szCs w:val="22"/>
        </w:rPr>
        <w:t xml:space="preserve">The </w:t>
      </w:r>
      <w:r w:rsidR="00DA63C2" w:rsidRPr="009F5AF4">
        <w:rPr>
          <w:rFonts w:ascii="Arial" w:hAnsi="Arial" w:cs="Arial"/>
          <w:sz w:val="22"/>
          <w:szCs w:val="22"/>
        </w:rPr>
        <w:t xml:space="preserve">10 CFR </w:t>
      </w:r>
      <w:r w:rsidR="0041187D">
        <w:rPr>
          <w:rFonts w:ascii="Arial" w:hAnsi="Arial" w:cs="Arial"/>
          <w:sz w:val="22"/>
          <w:szCs w:val="22"/>
        </w:rPr>
        <w:t xml:space="preserve">Part </w:t>
      </w:r>
      <w:r w:rsidR="00DA63C2" w:rsidRPr="009F5AF4">
        <w:rPr>
          <w:rFonts w:ascii="Arial" w:hAnsi="Arial" w:cs="Arial"/>
          <w:sz w:val="22"/>
          <w:szCs w:val="22"/>
        </w:rPr>
        <w:t>21</w:t>
      </w:r>
      <w:r w:rsidR="009B66A7" w:rsidRPr="009F5AF4">
        <w:rPr>
          <w:rFonts w:ascii="Arial" w:hAnsi="Arial" w:cs="Arial"/>
          <w:sz w:val="22"/>
          <w:szCs w:val="22"/>
        </w:rPr>
        <w:t xml:space="preserve"> </w:t>
      </w:r>
      <w:r w:rsidRPr="009F5AF4">
        <w:rPr>
          <w:rFonts w:ascii="Arial" w:hAnsi="Arial" w:cs="Arial"/>
          <w:sz w:val="22"/>
          <w:szCs w:val="22"/>
        </w:rPr>
        <w:t xml:space="preserve">regulation also </w:t>
      </w:r>
      <w:r w:rsidR="009B66A7" w:rsidRPr="009F5AF4">
        <w:rPr>
          <w:rFonts w:ascii="Arial" w:hAnsi="Arial" w:cs="Arial"/>
          <w:sz w:val="22"/>
          <w:szCs w:val="22"/>
        </w:rPr>
        <w:t>imposes</w:t>
      </w:r>
      <w:r w:rsidR="0039573A" w:rsidRPr="009F5AF4">
        <w:rPr>
          <w:rFonts w:ascii="Arial" w:hAnsi="Arial" w:cs="Arial"/>
          <w:sz w:val="22"/>
          <w:szCs w:val="22"/>
        </w:rPr>
        <w:t xml:space="preserve"> record retention requirements for new reactor</w:t>
      </w:r>
      <w:r w:rsidR="008C5E46" w:rsidRPr="009F5AF4">
        <w:rPr>
          <w:rFonts w:ascii="Arial" w:hAnsi="Arial" w:cs="Arial"/>
          <w:sz w:val="22"/>
          <w:szCs w:val="22"/>
        </w:rPr>
        <w:t xml:space="preserve"> licensing </w:t>
      </w:r>
      <w:r w:rsidR="009C360E" w:rsidRPr="009F5AF4">
        <w:rPr>
          <w:rFonts w:ascii="Arial" w:hAnsi="Arial" w:cs="Arial"/>
          <w:sz w:val="22"/>
          <w:szCs w:val="22"/>
        </w:rPr>
        <w:t xml:space="preserve">activities </w:t>
      </w:r>
      <w:r w:rsidR="008C5E46" w:rsidRPr="009F5AF4">
        <w:rPr>
          <w:rFonts w:ascii="Arial" w:hAnsi="Arial" w:cs="Arial"/>
          <w:sz w:val="22"/>
          <w:szCs w:val="22"/>
        </w:rPr>
        <w:t>under 10 CFR Part 52</w:t>
      </w:r>
      <w:r w:rsidR="00DA63C2" w:rsidRPr="009F5AF4">
        <w:rPr>
          <w:rFonts w:ascii="Arial" w:hAnsi="Arial" w:cs="Arial"/>
          <w:sz w:val="22"/>
          <w:szCs w:val="22"/>
        </w:rPr>
        <w:t xml:space="preserve"> </w:t>
      </w:r>
      <w:r w:rsidR="009B66A7" w:rsidRPr="009F5AF4">
        <w:rPr>
          <w:rFonts w:ascii="Arial" w:hAnsi="Arial" w:cs="Arial"/>
          <w:sz w:val="22"/>
          <w:szCs w:val="22"/>
        </w:rPr>
        <w:t>“Early Site Permits; Standard Design Certifications; and Combined Licenses for Nuclear Plants.</w:t>
      </w:r>
      <w:r w:rsidR="00C40473">
        <w:rPr>
          <w:rFonts w:ascii="Arial" w:hAnsi="Arial" w:cs="Arial"/>
          <w:sz w:val="22"/>
          <w:szCs w:val="22"/>
        </w:rPr>
        <w:t>”</w:t>
      </w:r>
      <w:r w:rsidR="009B66A7" w:rsidRPr="009F5AF4">
        <w:rPr>
          <w:rFonts w:ascii="Arial" w:hAnsi="Arial" w:cs="Arial"/>
          <w:sz w:val="22"/>
          <w:szCs w:val="22"/>
        </w:rPr>
        <w:t xml:space="preserve"> </w:t>
      </w:r>
      <w:r w:rsidR="00DC00D2" w:rsidRPr="009F5AF4">
        <w:rPr>
          <w:rFonts w:ascii="Arial" w:hAnsi="Arial" w:cs="Arial"/>
          <w:sz w:val="22"/>
          <w:szCs w:val="22"/>
        </w:rPr>
        <w:t xml:space="preserve"> The 10 CFR</w:t>
      </w:r>
      <w:r w:rsidR="0041187D">
        <w:rPr>
          <w:rFonts w:ascii="Arial" w:hAnsi="Arial" w:cs="Arial"/>
          <w:sz w:val="22"/>
          <w:szCs w:val="22"/>
        </w:rPr>
        <w:t xml:space="preserve"> Part</w:t>
      </w:r>
      <w:r w:rsidR="00DC00D2" w:rsidRPr="009F5AF4">
        <w:rPr>
          <w:rFonts w:ascii="Arial" w:hAnsi="Arial" w:cs="Arial"/>
          <w:sz w:val="22"/>
          <w:szCs w:val="22"/>
        </w:rPr>
        <w:t> </w:t>
      </w:r>
      <w:r w:rsidRPr="009F5AF4">
        <w:rPr>
          <w:rFonts w:ascii="Arial" w:hAnsi="Arial" w:cs="Arial"/>
          <w:sz w:val="22"/>
          <w:szCs w:val="22"/>
        </w:rPr>
        <w:t>52</w:t>
      </w:r>
      <w:r w:rsidR="00DA63C2" w:rsidRPr="009F5AF4">
        <w:rPr>
          <w:rFonts w:ascii="Arial" w:hAnsi="Arial" w:cs="Arial"/>
          <w:sz w:val="22"/>
          <w:szCs w:val="22"/>
        </w:rPr>
        <w:t xml:space="preserve"> </w:t>
      </w:r>
      <w:r w:rsidRPr="009F5AF4">
        <w:rPr>
          <w:rFonts w:ascii="Arial" w:hAnsi="Arial" w:cs="Arial"/>
          <w:sz w:val="22"/>
          <w:szCs w:val="22"/>
        </w:rPr>
        <w:t xml:space="preserve">process </w:t>
      </w:r>
      <w:r w:rsidR="00DA63C2" w:rsidRPr="009F5AF4">
        <w:rPr>
          <w:rFonts w:ascii="Arial" w:hAnsi="Arial" w:cs="Arial"/>
          <w:sz w:val="22"/>
          <w:szCs w:val="22"/>
        </w:rPr>
        <w:t xml:space="preserve">provides for a standard design approval, which is subsequently referenced in a final standard design certification rule, and that standard design certification is, in turn referenced in a combined license issued by the NRC.  </w:t>
      </w:r>
      <w:r w:rsidRPr="009F5AF4">
        <w:rPr>
          <w:rFonts w:ascii="Arial" w:hAnsi="Arial" w:cs="Arial"/>
          <w:sz w:val="22"/>
          <w:szCs w:val="22"/>
        </w:rPr>
        <w:t xml:space="preserve">The NRC imposes </w:t>
      </w:r>
      <w:r w:rsidR="00DA63C2" w:rsidRPr="009F5AF4">
        <w:rPr>
          <w:rFonts w:ascii="Arial" w:hAnsi="Arial" w:cs="Arial"/>
          <w:sz w:val="22"/>
          <w:szCs w:val="22"/>
        </w:rPr>
        <w:t xml:space="preserve">longer </w:t>
      </w:r>
      <w:r w:rsidR="009C360E" w:rsidRPr="009F5AF4">
        <w:rPr>
          <w:rFonts w:ascii="Arial" w:hAnsi="Arial" w:cs="Arial"/>
          <w:sz w:val="22"/>
          <w:szCs w:val="22"/>
        </w:rPr>
        <w:t xml:space="preserve">retention times for </w:t>
      </w:r>
      <w:r w:rsidR="00DA63C2" w:rsidRPr="009F5AF4">
        <w:rPr>
          <w:rFonts w:ascii="Arial" w:hAnsi="Arial" w:cs="Arial"/>
          <w:sz w:val="22"/>
          <w:szCs w:val="22"/>
        </w:rPr>
        <w:t>record</w:t>
      </w:r>
      <w:r w:rsidR="009C360E" w:rsidRPr="009F5AF4">
        <w:rPr>
          <w:rFonts w:ascii="Arial" w:hAnsi="Arial" w:cs="Arial"/>
          <w:sz w:val="22"/>
          <w:szCs w:val="22"/>
        </w:rPr>
        <w:t>s</w:t>
      </w:r>
      <w:r w:rsidR="00DA63C2" w:rsidRPr="009F5AF4">
        <w:rPr>
          <w:rFonts w:ascii="Arial" w:hAnsi="Arial" w:cs="Arial"/>
          <w:sz w:val="22"/>
          <w:szCs w:val="22"/>
        </w:rPr>
        <w:t xml:space="preserve"> associated with Part 52 licensing beca</w:t>
      </w:r>
      <w:r w:rsidR="0041187D">
        <w:rPr>
          <w:rFonts w:ascii="Arial" w:hAnsi="Arial" w:cs="Arial"/>
          <w:sz w:val="22"/>
          <w:szCs w:val="22"/>
        </w:rPr>
        <w:t>use of the potentially longer “regulatory life”</w:t>
      </w:r>
      <w:r w:rsidR="00DA63C2" w:rsidRPr="009F5AF4">
        <w:rPr>
          <w:rFonts w:ascii="Arial" w:hAnsi="Arial" w:cs="Arial"/>
          <w:sz w:val="22"/>
          <w:szCs w:val="22"/>
        </w:rPr>
        <w:t xml:space="preserve"> of a referenced license, standard design approval or standard design certification.  Therefore, t</w:t>
      </w:r>
      <w:r w:rsidR="009B66A7" w:rsidRPr="009F5AF4">
        <w:rPr>
          <w:rFonts w:ascii="Arial" w:hAnsi="Arial" w:cs="Arial"/>
          <w:sz w:val="22"/>
          <w:szCs w:val="22"/>
        </w:rPr>
        <w:t xml:space="preserve">hose entities </w:t>
      </w:r>
      <w:r w:rsidR="00455EBB" w:rsidRPr="009F5AF4">
        <w:rPr>
          <w:rFonts w:ascii="Arial" w:hAnsi="Arial" w:cs="Arial"/>
          <w:sz w:val="22"/>
          <w:szCs w:val="22"/>
        </w:rPr>
        <w:t>providing a</w:t>
      </w:r>
      <w:r w:rsidR="009B66A7" w:rsidRPr="009F5AF4">
        <w:rPr>
          <w:rFonts w:ascii="Arial" w:hAnsi="Arial" w:cs="Arial"/>
          <w:sz w:val="22"/>
          <w:szCs w:val="22"/>
        </w:rPr>
        <w:t xml:space="preserve"> certified design or design approval shall r</w:t>
      </w:r>
      <w:r w:rsidR="00DA63C2" w:rsidRPr="009F5AF4">
        <w:rPr>
          <w:rFonts w:ascii="Arial" w:hAnsi="Arial" w:cs="Arial"/>
          <w:sz w:val="22"/>
          <w:szCs w:val="22"/>
        </w:rPr>
        <w:t xml:space="preserve">etain any notifications sent to </w:t>
      </w:r>
      <w:r w:rsidR="009B66A7" w:rsidRPr="009F5AF4">
        <w:rPr>
          <w:rFonts w:ascii="Arial" w:hAnsi="Arial" w:cs="Arial"/>
          <w:sz w:val="22"/>
          <w:szCs w:val="22"/>
        </w:rPr>
        <w:t>purchasers and affected licensees for a minimum of 5 years after the date of the notification, and retain a record of the purchasers for 15 years after delivery of the design which is the subject of the design approval or service associated with the design.</w:t>
      </w:r>
    </w:p>
    <w:p w14:paraId="3B6821B3" w14:textId="77777777" w:rsidR="00A879F3" w:rsidRPr="009F5AF4" w:rsidRDefault="00A879F3">
      <w:pPr>
        <w:widowControl/>
        <w:rPr>
          <w:rFonts w:ascii="Arial" w:hAnsi="Arial" w:cs="Arial"/>
          <w:sz w:val="22"/>
          <w:szCs w:val="22"/>
        </w:rPr>
      </w:pPr>
    </w:p>
    <w:p w14:paraId="24E195F0" w14:textId="77777777" w:rsidR="00C82841" w:rsidRDefault="00A879F3" w:rsidP="00C82841">
      <w:pPr>
        <w:widowControl/>
        <w:ind w:left="1440" w:hanging="720"/>
        <w:rPr>
          <w:rFonts w:ascii="Arial" w:hAnsi="Arial" w:cs="Arial"/>
          <w:sz w:val="22"/>
          <w:szCs w:val="22"/>
          <w:u w:val="single"/>
        </w:rPr>
      </w:pPr>
      <w:r w:rsidRPr="009F5AF4">
        <w:rPr>
          <w:rFonts w:ascii="Arial" w:hAnsi="Arial" w:cs="Arial"/>
          <w:sz w:val="22"/>
          <w:szCs w:val="22"/>
        </w:rPr>
        <w:t>8.</w:t>
      </w:r>
      <w:r w:rsidRPr="009F5AF4">
        <w:rPr>
          <w:rFonts w:ascii="Arial" w:hAnsi="Arial" w:cs="Arial"/>
          <w:sz w:val="22"/>
          <w:szCs w:val="22"/>
        </w:rPr>
        <w:tab/>
      </w:r>
      <w:r w:rsidRPr="009F5AF4">
        <w:rPr>
          <w:rFonts w:ascii="Arial" w:hAnsi="Arial" w:cs="Arial"/>
          <w:sz w:val="22"/>
          <w:szCs w:val="22"/>
          <w:u w:val="single"/>
        </w:rPr>
        <w:t>Consultation Outside the NRC</w:t>
      </w:r>
    </w:p>
    <w:p w14:paraId="7D41DDB8" w14:textId="77777777" w:rsidR="00C82841" w:rsidRDefault="006A2BD8" w:rsidP="00C82841">
      <w:pPr>
        <w:widowControl/>
        <w:ind w:left="1440" w:hanging="720"/>
        <w:rPr>
          <w:rFonts w:ascii="Arial" w:hAnsi="Arial" w:cs="Arial"/>
          <w:sz w:val="22"/>
          <w:szCs w:val="22"/>
        </w:rPr>
      </w:pPr>
      <w:r>
        <w:rPr>
          <w:rFonts w:ascii="Arial" w:hAnsi="Arial" w:cs="Arial"/>
          <w:sz w:val="22"/>
          <w:szCs w:val="22"/>
        </w:rPr>
        <w:tab/>
      </w:r>
    </w:p>
    <w:p w14:paraId="62E3CB43" w14:textId="2409FCB9" w:rsidR="006A2BD8" w:rsidRPr="00D15847" w:rsidRDefault="006A2BD8" w:rsidP="00C82841">
      <w:pPr>
        <w:widowControl/>
        <w:ind w:left="1440"/>
        <w:rPr>
          <w:rFonts w:ascii="Arial" w:hAnsi="Arial" w:cs="Arial"/>
          <w:iCs/>
          <w:sz w:val="22"/>
          <w:szCs w:val="22"/>
        </w:rPr>
      </w:pPr>
      <w:r w:rsidRPr="00D33419">
        <w:rPr>
          <w:rFonts w:ascii="Arial" w:hAnsi="Arial" w:cs="Arial"/>
          <w:sz w:val="22"/>
          <w:szCs w:val="22"/>
        </w:rPr>
        <w:t>Opportunity for public comment on the information collection requireme</w:t>
      </w:r>
      <w:r w:rsidR="0048058B" w:rsidRPr="00D33419">
        <w:rPr>
          <w:rFonts w:ascii="Arial" w:hAnsi="Arial" w:cs="Arial"/>
          <w:sz w:val="22"/>
          <w:szCs w:val="22"/>
        </w:rPr>
        <w:t xml:space="preserve">nts for this clearance package </w:t>
      </w:r>
      <w:r w:rsidR="00D15847">
        <w:rPr>
          <w:rFonts w:ascii="Arial" w:hAnsi="Arial" w:cs="Arial"/>
          <w:sz w:val="22"/>
          <w:szCs w:val="22"/>
        </w:rPr>
        <w:t>was</w:t>
      </w:r>
      <w:r w:rsidR="0092593B">
        <w:rPr>
          <w:rFonts w:ascii="Arial" w:hAnsi="Arial" w:cs="Arial"/>
          <w:sz w:val="22"/>
          <w:szCs w:val="22"/>
        </w:rPr>
        <w:t xml:space="preserve"> </w:t>
      </w:r>
      <w:r w:rsidRPr="00D33419">
        <w:rPr>
          <w:rFonts w:ascii="Arial" w:hAnsi="Arial" w:cs="Arial"/>
          <w:sz w:val="22"/>
          <w:szCs w:val="22"/>
        </w:rPr>
        <w:t xml:space="preserve">published </w:t>
      </w:r>
      <w:r w:rsidR="0048058B" w:rsidRPr="00D33419">
        <w:rPr>
          <w:rFonts w:ascii="Arial" w:hAnsi="Arial" w:cs="Arial"/>
          <w:sz w:val="22"/>
          <w:szCs w:val="22"/>
        </w:rPr>
        <w:t xml:space="preserve">in </w:t>
      </w:r>
      <w:r w:rsidRPr="00D33419">
        <w:rPr>
          <w:rFonts w:ascii="Arial" w:hAnsi="Arial" w:cs="Arial"/>
          <w:sz w:val="22"/>
          <w:szCs w:val="22"/>
        </w:rPr>
        <w:t xml:space="preserve">the </w:t>
      </w:r>
      <w:r w:rsidRPr="00D33419">
        <w:rPr>
          <w:rFonts w:ascii="Arial" w:hAnsi="Arial" w:cs="Arial"/>
          <w:iCs/>
          <w:sz w:val="22"/>
          <w:szCs w:val="22"/>
          <w:u w:val="single"/>
        </w:rPr>
        <w:t>Federal</w:t>
      </w:r>
      <w:r w:rsidRPr="00D33419">
        <w:rPr>
          <w:rFonts w:ascii="Arial" w:hAnsi="Arial" w:cs="Arial"/>
          <w:iCs/>
          <w:sz w:val="22"/>
          <w:szCs w:val="22"/>
        </w:rPr>
        <w:t xml:space="preserve"> </w:t>
      </w:r>
      <w:r w:rsidRPr="00D33419">
        <w:rPr>
          <w:rFonts w:ascii="Arial" w:hAnsi="Arial" w:cs="Arial"/>
          <w:iCs/>
          <w:sz w:val="22"/>
          <w:szCs w:val="22"/>
          <w:u w:val="single"/>
        </w:rPr>
        <w:t>Register</w:t>
      </w:r>
      <w:r w:rsidR="00D15847">
        <w:rPr>
          <w:rFonts w:ascii="Arial" w:hAnsi="Arial" w:cs="Arial"/>
          <w:iCs/>
          <w:sz w:val="22"/>
          <w:szCs w:val="22"/>
        </w:rPr>
        <w:t xml:space="preserve"> on September 8, 2016 (81 FR 62184).</w:t>
      </w:r>
    </w:p>
    <w:p w14:paraId="1F8B66A9" w14:textId="77777777" w:rsidR="006A2BD8" w:rsidRDefault="006A2BD8">
      <w:pPr>
        <w:widowControl/>
        <w:tabs>
          <w:tab w:val="left" w:pos="-1440"/>
        </w:tabs>
        <w:ind w:left="1440" w:hanging="720"/>
        <w:rPr>
          <w:rFonts w:ascii="Arial" w:hAnsi="Arial" w:cs="Arial"/>
          <w:strike/>
          <w:sz w:val="22"/>
          <w:szCs w:val="22"/>
        </w:rPr>
      </w:pPr>
    </w:p>
    <w:p w14:paraId="08FE9832" w14:textId="67408983" w:rsidR="00B07771" w:rsidRPr="007752C5" w:rsidRDefault="00B07771" w:rsidP="00B07771">
      <w:pPr>
        <w:ind w:left="1440"/>
        <w:rPr>
          <w:rFonts w:ascii="Arial" w:hAnsi="Arial" w:cs="Arial"/>
          <w:sz w:val="22"/>
          <w:szCs w:val="22"/>
        </w:rPr>
      </w:pPr>
      <w:r w:rsidRPr="007752C5">
        <w:rPr>
          <w:rFonts w:ascii="Arial" w:hAnsi="Arial" w:cs="Arial"/>
          <w:sz w:val="22"/>
          <w:szCs w:val="22"/>
        </w:rPr>
        <w:t>Th</w:t>
      </w:r>
      <w:r w:rsidR="00D15847">
        <w:rPr>
          <w:rFonts w:ascii="Arial" w:hAnsi="Arial" w:cs="Arial"/>
          <w:sz w:val="22"/>
          <w:szCs w:val="22"/>
        </w:rPr>
        <w:t>e NRC contacted</w:t>
      </w:r>
      <w:r w:rsidRPr="007752C5">
        <w:rPr>
          <w:rFonts w:ascii="Arial" w:hAnsi="Arial" w:cs="Arial"/>
          <w:sz w:val="22"/>
          <w:szCs w:val="22"/>
        </w:rPr>
        <w:t xml:space="preserve"> Enertech, Westinghouse Electric Company (WEC), Tennessee Valley Authority (TVA), SCANA, </w:t>
      </w:r>
      <w:r w:rsidR="00B145C5">
        <w:rPr>
          <w:rFonts w:ascii="Arial" w:hAnsi="Arial" w:cs="Arial"/>
          <w:sz w:val="22"/>
          <w:szCs w:val="22"/>
        </w:rPr>
        <w:t xml:space="preserve">and </w:t>
      </w:r>
      <w:r w:rsidRPr="007752C5">
        <w:rPr>
          <w:rFonts w:ascii="Arial" w:hAnsi="Arial" w:cs="Arial"/>
          <w:sz w:val="22"/>
          <w:szCs w:val="22"/>
        </w:rPr>
        <w:t>Ameren, via email to give them the opportunity to provide comments.  No comments were received.</w:t>
      </w:r>
    </w:p>
    <w:p w14:paraId="02FA7907" w14:textId="77777777" w:rsidR="00B07771" w:rsidRPr="007752C5" w:rsidRDefault="00B07771" w:rsidP="00B07771">
      <w:pPr>
        <w:ind w:left="1440"/>
        <w:rPr>
          <w:rFonts w:ascii="Arial" w:hAnsi="Arial" w:cs="Arial"/>
          <w:sz w:val="22"/>
          <w:szCs w:val="22"/>
        </w:rPr>
      </w:pPr>
    </w:p>
    <w:p w14:paraId="2A21618D" w14:textId="77777777" w:rsidR="00B07771" w:rsidRPr="007752C5" w:rsidRDefault="00B07771" w:rsidP="00B07771">
      <w:pPr>
        <w:ind w:left="1440"/>
        <w:rPr>
          <w:rFonts w:ascii="Arial" w:hAnsi="Arial" w:cs="Arial"/>
          <w:sz w:val="22"/>
          <w:szCs w:val="22"/>
        </w:rPr>
      </w:pPr>
      <w:r w:rsidRPr="007752C5">
        <w:rPr>
          <w:rFonts w:ascii="Arial" w:hAnsi="Arial" w:cs="Arial"/>
          <w:sz w:val="22"/>
          <w:szCs w:val="22"/>
        </w:rPr>
        <w:t xml:space="preserve">The NRC received comments from Dale Porter, GE Hitachi Nuclear Energy (GEH), </w:t>
      </w:r>
      <w:hyperlink r:id="rId11" w:history="1">
        <w:r w:rsidRPr="007752C5">
          <w:t>Dale.Porter@GE.Com</w:t>
        </w:r>
      </w:hyperlink>
      <w:r w:rsidRPr="007752C5">
        <w:rPr>
          <w:rFonts w:ascii="Arial" w:hAnsi="Arial" w:cs="Arial"/>
          <w:sz w:val="22"/>
          <w:szCs w:val="22"/>
        </w:rPr>
        <w:t xml:space="preserve"> as follows:</w:t>
      </w:r>
    </w:p>
    <w:p w14:paraId="2A9FE188" w14:textId="77777777" w:rsidR="00B07771" w:rsidRPr="007752C5" w:rsidRDefault="00B07771" w:rsidP="00B07771">
      <w:pPr>
        <w:ind w:left="1440"/>
        <w:rPr>
          <w:rFonts w:ascii="Arial" w:hAnsi="Arial" w:cs="Arial"/>
          <w:sz w:val="22"/>
          <w:szCs w:val="22"/>
        </w:rPr>
      </w:pPr>
    </w:p>
    <w:p w14:paraId="5DA81837" w14:textId="77777777" w:rsidR="00B07771" w:rsidRPr="007752C5" w:rsidRDefault="00B07771" w:rsidP="00B07771">
      <w:pPr>
        <w:ind w:left="1440"/>
        <w:rPr>
          <w:rFonts w:ascii="Arial" w:hAnsi="Arial" w:cs="Arial"/>
          <w:sz w:val="22"/>
          <w:szCs w:val="22"/>
        </w:rPr>
      </w:pPr>
      <w:r w:rsidRPr="00B145C5">
        <w:rPr>
          <w:rFonts w:ascii="Arial" w:hAnsi="Arial" w:cs="Arial"/>
          <w:sz w:val="22"/>
          <w:szCs w:val="22"/>
        </w:rPr>
        <w:t>NRC Question</w:t>
      </w:r>
      <w:r w:rsidRPr="007752C5">
        <w:rPr>
          <w:rFonts w:ascii="Arial" w:hAnsi="Arial" w:cs="Arial"/>
          <w:sz w:val="22"/>
          <w:szCs w:val="22"/>
        </w:rPr>
        <w:t>:</w:t>
      </w:r>
    </w:p>
    <w:p w14:paraId="14B5E673" w14:textId="77777777" w:rsidR="00B07771" w:rsidRPr="007752C5" w:rsidRDefault="00B07771" w:rsidP="00B07771">
      <w:pPr>
        <w:ind w:left="1440"/>
        <w:rPr>
          <w:rFonts w:ascii="Arial" w:hAnsi="Arial" w:cs="Arial"/>
          <w:sz w:val="22"/>
          <w:szCs w:val="22"/>
        </w:rPr>
      </w:pPr>
      <w:r w:rsidRPr="007752C5">
        <w:rPr>
          <w:rFonts w:ascii="Arial" w:hAnsi="Arial" w:cs="Arial"/>
          <w:sz w:val="22"/>
          <w:szCs w:val="22"/>
        </w:rPr>
        <w:t>Is the proposed collection of information necessary for the NRC to properly perform its functions?</w:t>
      </w:r>
    </w:p>
    <w:p w14:paraId="215695E8" w14:textId="77777777" w:rsidR="00B07771" w:rsidRPr="007752C5" w:rsidRDefault="00B07771" w:rsidP="00B07771">
      <w:pPr>
        <w:ind w:left="1440"/>
        <w:rPr>
          <w:rFonts w:ascii="Arial" w:hAnsi="Arial" w:cs="Arial"/>
          <w:sz w:val="22"/>
          <w:szCs w:val="22"/>
        </w:rPr>
      </w:pPr>
    </w:p>
    <w:p w14:paraId="11C1ADBD" w14:textId="77777777" w:rsidR="00B07771" w:rsidRPr="007752C5" w:rsidRDefault="00B07771" w:rsidP="00B07771">
      <w:pPr>
        <w:ind w:left="1440"/>
        <w:rPr>
          <w:rFonts w:ascii="Arial" w:hAnsi="Arial" w:cs="Arial"/>
          <w:sz w:val="22"/>
          <w:szCs w:val="22"/>
        </w:rPr>
      </w:pPr>
      <w:r w:rsidRPr="00B145C5">
        <w:rPr>
          <w:rFonts w:ascii="Arial" w:hAnsi="Arial" w:cs="Arial"/>
          <w:sz w:val="22"/>
          <w:szCs w:val="22"/>
        </w:rPr>
        <w:t>GEH Comment</w:t>
      </w:r>
      <w:r w:rsidRPr="007752C5">
        <w:rPr>
          <w:rFonts w:ascii="Arial" w:hAnsi="Arial" w:cs="Arial"/>
          <w:sz w:val="22"/>
          <w:szCs w:val="22"/>
        </w:rPr>
        <w:t>:</w:t>
      </w:r>
    </w:p>
    <w:p w14:paraId="4E32F7F0" w14:textId="77777777" w:rsidR="00B07771" w:rsidRPr="007752C5" w:rsidRDefault="00B07771" w:rsidP="00B07771">
      <w:pPr>
        <w:ind w:left="1440"/>
        <w:rPr>
          <w:rFonts w:ascii="Arial" w:hAnsi="Arial" w:cs="Arial"/>
          <w:sz w:val="22"/>
          <w:szCs w:val="22"/>
        </w:rPr>
      </w:pPr>
      <w:r w:rsidRPr="007752C5">
        <w:rPr>
          <w:rFonts w:ascii="Arial" w:hAnsi="Arial" w:cs="Arial"/>
          <w:sz w:val="22"/>
          <w:szCs w:val="22"/>
        </w:rPr>
        <w:t xml:space="preserve">Yes. In order to accurately understand the burden placed on suppliers and licensees collection of resource expenditures would be important.  </w:t>
      </w:r>
    </w:p>
    <w:p w14:paraId="145E8895" w14:textId="77777777" w:rsidR="00B07771" w:rsidRPr="007752C5" w:rsidRDefault="00B07771" w:rsidP="00B07771">
      <w:pPr>
        <w:ind w:left="1440"/>
        <w:rPr>
          <w:rFonts w:ascii="Arial" w:hAnsi="Arial" w:cs="Arial"/>
          <w:sz w:val="22"/>
          <w:szCs w:val="22"/>
        </w:rPr>
      </w:pPr>
    </w:p>
    <w:p w14:paraId="09AA802B" w14:textId="77777777" w:rsidR="00B07771" w:rsidRPr="007752C5" w:rsidRDefault="00B07771" w:rsidP="00B07771">
      <w:pPr>
        <w:ind w:left="1440"/>
        <w:rPr>
          <w:rFonts w:ascii="Arial" w:hAnsi="Arial" w:cs="Arial"/>
          <w:sz w:val="22"/>
          <w:szCs w:val="22"/>
        </w:rPr>
      </w:pPr>
      <w:r w:rsidRPr="00B145C5">
        <w:rPr>
          <w:rFonts w:ascii="Arial" w:hAnsi="Arial" w:cs="Arial"/>
          <w:sz w:val="22"/>
          <w:szCs w:val="22"/>
        </w:rPr>
        <w:t>NRC Response</w:t>
      </w:r>
      <w:r w:rsidRPr="007752C5">
        <w:rPr>
          <w:rFonts w:ascii="Arial" w:hAnsi="Arial" w:cs="Arial"/>
          <w:sz w:val="22"/>
          <w:szCs w:val="22"/>
        </w:rPr>
        <w:t>:</w:t>
      </w:r>
    </w:p>
    <w:p w14:paraId="6D03A266" w14:textId="0BE1F165" w:rsidR="00B07771" w:rsidRPr="007752C5" w:rsidRDefault="004A6259" w:rsidP="00B07771">
      <w:pPr>
        <w:ind w:left="1440"/>
        <w:rPr>
          <w:rFonts w:ascii="Arial" w:hAnsi="Arial" w:cs="Arial"/>
          <w:sz w:val="22"/>
          <w:szCs w:val="22"/>
        </w:rPr>
      </w:pPr>
      <w:r w:rsidRPr="007752C5">
        <w:rPr>
          <w:rFonts w:ascii="Arial" w:hAnsi="Arial" w:cs="Arial"/>
          <w:sz w:val="22"/>
          <w:szCs w:val="22"/>
        </w:rPr>
        <w:t xml:space="preserve">The NRC staff understands the burden placed on entities </w:t>
      </w:r>
      <w:r w:rsidR="00E556C2" w:rsidRPr="007752C5">
        <w:rPr>
          <w:rFonts w:ascii="Arial" w:hAnsi="Arial" w:cs="Arial"/>
          <w:sz w:val="22"/>
          <w:szCs w:val="22"/>
        </w:rPr>
        <w:t>that required to evaluate and report under</w:t>
      </w:r>
      <w:r w:rsidRPr="007752C5">
        <w:rPr>
          <w:rFonts w:ascii="Arial" w:hAnsi="Arial" w:cs="Arial"/>
          <w:sz w:val="22"/>
          <w:szCs w:val="22"/>
        </w:rPr>
        <w:t xml:space="preserve"> 10 CFR Part 21.  The threshold for evaluating and reporting is reserved for only the most safety significant conditions.</w:t>
      </w:r>
    </w:p>
    <w:p w14:paraId="3F7A0669" w14:textId="77777777" w:rsidR="00B07771" w:rsidRPr="007752C5" w:rsidRDefault="00B07771" w:rsidP="00B07771">
      <w:pPr>
        <w:ind w:left="1440"/>
        <w:rPr>
          <w:rFonts w:ascii="Arial" w:hAnsi="Arial" w:cs="Arial"/>
          <w:sz w:val="22"/>
          <w:szCs w:val="22"/>
        </w:rPr>
      </w:pPr>
    </w:p>
    <w:p w14:paraId="4754BE97" w14:textId="77777777" w:rsidR="00B07771" w:rsidRPr="007752C5" w:rsidRDefault="00B07771" w:rsidP="00B07771">
      <w:pPr>
        <w:ind w:left="1440"/>
        <w:rPr>
          <w:rFonts w:ascii="Arial" w:hAnsi="Arial" w:cs="Arial"/>
          <w:sz w:val="22"/>
          <w:szCs w:val="22"/>
        </w:rPr>
      </w:pPr>
      <w:r w:rsidRPr="00B145C5">
        <w:rPr>
          <w:rFonts w:ascii="Arial" w:hAnsi="Arial" w:cs="Arial"/>
          <w:sz w:val="22"/>
          <w:szCs w:val="22"/>
        </w:rPr>
        <w:t>NRC Question</w:t>
      </w:r>
      <w:r w:rsidRPr="007752C5">
        <w:rPr>
          <w:rFonts w:ascii="Arial" w:hAnsi="Arial" w:cs="Arial"/>
          <w:sz w:val="22"/>
          <w:szCs w:val="22"/>
        </w:rPr>
        <w:t>:</w:t>
      </w:r>
    </w:p>
    <w:p w14:paraId="19207588" w14:textId="77777777" w:rsidR="00B07771" w:rsidRPr="00B145C5" w:rsidRDefault="00B07771" w:rsidP="00B07771">
      <w:pPr>
        <w:ind w:left="1440"/>
        <w:rPr>
          <w:rFonts w:ascii="Arial" w:hAnsi="Arial" w:cs="Arial"/>
          <w:sz w:val="22"/>
          <w:szCs w:val="22"/>
        </w:rPr>
      </w:pPr>
      <w:r w:rsidRPr="007752C5">
        <w:rPr>
          <w:rFonts w:ascii="Arial" w:hAnsi="Arial" w:cs="Arial"/>
          <w:sz w:val="22"/>
          <w:szCs w:val="22"/>
        </w:rPr>
        <w:t>Does the information have practical utility</w:t>
      </w:r>
      <w:r w:rsidRPr="00B145C5">
        <w:rPr>
          <w:rFonts w:ascii="Arial" w:hAnsi="Arial" w:cs="Arial"/>
          <w:sz w:val="22"/>
          <w:szCs w:val="22"/>
        </w:rPr>
        <w:t>?</w:t>
      </w:r>
    </w:p>
    <w:p w14:paraId="0D49B19C" w14:textId="77777777" w:rsidR="00B07771" w:rsidRPr="00B145C5" w:rsidRDefault="00B07771" w:rsidP="00B07771">
      <w:pPr>
        <w:ind w:left="1440"/>
        <w:rPr>
          <w:rFonts w:ascii="Arial" w:hAnsi="Arial" w:cs="Arial"/>
          <w:sz w:val="22"/>
          <w:szCs w:val="22"/>
        </w:rPr>
      </w:pPr>
    </w:p>
    <w:p w14:paraId="5F2F60EC" w14:textId="77777777" w:rsidR="00B07771" w:rsidRPr="007752C5" w:rsidRDefault="00B07771" w:rsidP="00B07771">
      <w:pPr>
        <w:ind w:left="1440"/>
        <w:rPr>
          <w:rFonts w:ascii="Arial" w:hAnsi="Arial" w:cs="Arial"/>
          <w:sz w:val="22"/>
          <w:szCs w:val="22"/>
        </w:rPr>
      </w:pPr>
      <w:r w:rsidRPr="00B145C5">
        <w:rPr>
          <w:rFonts w:ascii="Arial" w:hAnsi="Arial" w:cs="Arial"/>
          <w:sz w:val="22"/>
          <w:szCs w:val="22"/>
        </w:rPr>
        <w:t>GEH Comment</w:t>
      </w:r>
      <w:r w:rsidRPr="007752C5">
        <w:rPr>
          <w:rFonts w:ascii="Arial" w:hAnsi="Arial" w:cs="Arial"/>
          <w:sz w:val="22"/>
          <w:szCs w:val="22"/>
        </w:rPr>
        <w:t>:</w:t>
      </w:r>
    </w:p>
    <w:p w14:paraId="37A620DE" w14:textId="77777777" w:rsidR="00B07771" w:rsidRPr="007752C5" w:rsidRDefault="00B07771" w:rsidP="00B07771">
      <w:pPr>
        <w:ind w:left="1440"/>
        <w:rPr>
          <w:rFonts w:ascii="Arial" w:hAnsi="Arial" w:cs="Arial"/>
          <w:sz w:val="22"/>
          <w:szCs w:val="22"/>
        </w:rPr>
      </w:pPr>
      <w:r w:rsidRPr="007752C5">
        <w:rPr>
          <w:rFonts w:ascii="Arial" w:hAnsi="Arial" w:cs="Arial"/>
          <w:sz w:val="22"/>
          <w:szCs w:val="22"/>
        </w:rPr>
        <w:t>Changes in the regulation that impose additional requirements should be based on a value added basis, based on empirical data. Without this data the cost may outweigh the benefit.</w:t>
      </w:r>
    </w:p>
    <w:p w14:paraId="7B47A409" w14:textId="77777777" w:rsidR="00B07771" w:rsidRPr="007752C5" w:rsidRDefault="00B07771" w:rsidP="00B07771">
      <w:pPr>
        <w:ind w:left="1440"/>
        <w:rPr>
          <w:rFonts w:ascii="Arial" w:hAnsi="Arial" w:cs="Arial"/>
          <w:sz w:val="22"/>
          <w:szCs w:val="22"/>
        </w:rPr>
      </w:pPr>
    </w:p>
    <w:p w14:paraId="066CE0BD" w14:textId="77777777" w:rsidR="00B07771" w:rsidRPr="007752C5" w:rsidRDefault="00B07771" w:rsidP="00B07771">
      <w:pPr>
        <w:ind w:left="1440"/>
        <w:rPr>
          <w:rFonts w:ascii="Arial" w:hAnsi="Arial" w:cs="Arial"/>
          <w:sz w:val="22"/>
          <w:szCs w:val="22"/>
        </w:rPr>
      </w:pPr>
      <w:r w:rsidRPr="00B145C5">
        <w:rPr>
          <w:rFonts w:ascii="Arial" w:hAnsi="Arial" w:cs="Arial"/>
          <w:sz w:val="22"/>
          <w:szCs w:val="22"/>
        </w:rPr>
        <w:t>NRC Response</w:t>
      </w:r>
      <w:r w:rsidRPr="007752C5">
        <w:rPr>
          <w:rFonts w:ascii="Arial" w:hAnsi="Arial" w:cs="Arial"/>
          <w:sz w:val="22"/>
          <w:szCs w:val="22"/>
        </w:rPr>
        <w:t>:</w:t>
      </w:r>
    </w:p>
    <w:p w14:paraId="19F662B1" w14:textId="089F5E88" w:rsidR="00B07771" w:rsidRPr="007752C5" w:rsidRDefault="004200FA" w:rsidP="00B07771">
      <w:pPr>
        <w:ind w:left="1440"/>
        <w:rPr>
          <w:rFonts w:ascii="Arial" w:hAnsi="Arial" w:cs="Arial"/>
          <w:sz w:val="22"/>
          <w:szCs w:val="22"/>
        </w:rPr>
      </w:pPr>
      <w:r w:rsidRPr="007752C5">
        <w:rPr>
          <w:rFonts w:ascii="Arial" w:hAnsi="Arial" w:cs="Arial"/>
          <w:sz w:val="22"/>
          <w:szCs w:val="22"/>
        </w:rPr>
        <w:t>The NRC staff have no current plans to revise the regulation.</w:t>
      </w:r>
    </w:p>
    <w:p w14:paraId="1C34E457" w14:textId="77777777" w:rsidR="00B07771" w:rsidRPr="007752C5" w:rsidRDefault="00B07771" w:rsidP="00B07771">
      <w:pPr>
        <w:ind w:left="1440"/>
        <w:rPr>
          <w:rFonts w:ascii="Arial" w:hAnsi="Arial" w:cs="Arial"/>
          <w:sz w:val="22"/>
          <w:szCs w:val="22"/>
        </w:rPr>
      </w:pPr>
    </w:p>
    <w:p w14:paraId="34288E63" w14:textId="77777777" w:rsidR="00B07771" w:rsidRPr="007752C5" w:rsidRDefault="00B07771" w:rsidP="00B07771">
      <w:pPr>
        <w:ind w:left="1440"/>
        <w:rPr>
          <w:rFonts w:ascii="Arial" w:hAnsi="Arial" w:cs="Arial"/>
          <w:sz w:val="22"/>
          <w:szCs w:val="22"/>
        </w:rPr>
      </w:pPr>
      <w:r w:rsidRPr="00B145C5">
        <w:rPr>
          <w:rFonts w:ascii="Arial" w:hAnsi="Arial" w:cs="Arial"/>
          <w:sz w:val="22"/>
          <w:szCs w:val="22"/>
        </w:rPr>
        <w:t>NRC Question</w:t>
      </w:r>
      <w:r w:rsidRPr="007752C5">
        <w:rPr>
          <w:rFonts w:ascii="Arial" w:hAnsi="Arial" w:cs="Arial"/>
          <w:sz w:val="22"/>
          <w:szCs w:val="22"/>
        </w:rPr>
        <w:t>:</w:t>
      </w:r>
    </w:p>
    <w:p w14:paraId="12EB28F6" w14:textId="77777777" w:rsidR="00B07771" w:rsidRPr="007752C5" w:rsidRDefault="00B07771" w:rsidP="00B07771">
      <w:pPr>
        <w:ind w:left="1440"/>
        <w:rPr>
          <w:rFonts w:ascii="Arial" w:hAnsi="Arial" w:cs="Arial"/>
          <w:sz w:val="22"/>
          <w:szCs w:val="22"/>
        </w:rPr>
      </w:pPr>
      <w:r w:rsidRPr="007752C5">
        <w:rPr>
          <w:rFonts w:ascii="Arial" w:hAnsi="Arial" w:cs="Arial"/>
          <w:sz w:val="22"/>
          <w:szCs w:val="22"/>
        </w:rPr>
        <w:t>Is the estimate of the burden of the information collection accurate?</w:t>
      </w:r>
    </w:p>
    <w:p w14:paraId="628F134C" w14:textId="77777777" w:rsidR="00B07771" w:rsidRPr="007752C5" w:rsidRDefault="00B07771" w:rsidP="00B07771">
      <w:pPr>
        <w:ind w:left="1440"/>
        <w:rPr>
          <w:rFonts w:ascii="Arial" w:hAnsi="Arial" w:cs="Arial"/>
          <w:sz w:val="22"/>
          <w:szCs w:val="22"/>
        </w:rPr>
      </w:pPr>
    </w:p>
    <w:p w14:paraId="25E431B6" w14:textId="77777777" w:rsidR="00B07771" w:rsidRPr="007752C5" w:rsidRDefault="00B07771" w:rsidP="00B07771">
      <w:pPr>
        <w:ind w:left="1440"/>
        <w:rPr>
          <w:rFonts w:ascii="Arial" w:hAnsi="Arial" w:cs="Arial"/>
          <w:sz w:val="22"/>
          <w:szCs w:val="22"/>
        </w:rPr>
      </w:pPr>
      <w:r w:rsidRPr="00534A19">
        <w:rPr>
          <w:rFonts w:ascii="Arial" w:hAnsi="Arial" w:cs="Arial"/>
          <w:sz w:val="22"/>
          <w:szCs w:val="22"/>
        </w:rPr>
        <w:t>GEH Comment</w:t>
      </w:r>
      <w:r w:rsidRPr="007752C5">
        <w:rPr>
          <w:rFonts w:ascii="Arial" w:hAnsi="Arial" w:cs="Arial"/>
          <w:sz w:val="22"/>
          <w:szCs w:val="22"/>
        </w:rPr>
        <w:t>:</w:t>
      </w:r>
    </w:p>
    <w:p w14:paraId="3E53EA8F" w14:textId="6D574522" w:rsidR="00B07771" w:rsidRPr="007752C5" w:rsidRDefault="00B07771" w:rsidP="00B07771">
      <w:pPr>
        <w:ind w:left="1440"/>
        <w:rPr>
          <w:rFonts w:ascii="Arial" w:hAnsi="Arial" w:cs="Arial"/>
          <w:sz w:val="22"/>
          <w:szCs w:val="22"/>
        </w:rPr>
      </w:pPr>
      <w:r w:rsidRPr="007752C5">
        <w:rPr>
          <w:rFonts w:ascii="Arial" w:hAnsi="Arial" w:cs="Arial"/>
          <w:sz w:val="22"/>
          <w:szCs w:val="22"/>
        </w:rPr>
        <w:t>Since the vast majority of 10</w:t>
      </w:r>
      <w:r w:rsidR="00833DD9">
        <w:rPr>
          <w:rFonts w:ascii="Arial" w:hAnsi="Arial" w:cs="Arial"/>
          <w:sz w:val="22"/>
          <w:szCs w:val="22"/>
        </w:rPr>
        <w:t xml:space="preserve"> </w:t>
      </w:r>
      <w:r w:rsidRPr="007752C5">
        <w:rPr>
          <w:rFonts w:ascii="Arial" w:hAnsi="Arial" w:cs="Arial"/>
          <w:sz w:val="22"/>
          <w:szCs w:val="22"/>
        </w:rPr>
        <w:t>CFR part 21 evaluations do not result in notifications to the NRC the values noted do not seem to accurately reflect the burden imposed by the regulation.</w:t>
      </w:r>
    </w:p>
    <w:p w14:paraId="345A48D1" w14:textId="77777777" w:rsidR="00B07771" w:rsidRPr="007752C5" w:rsidRDefault="00B07771" w:rsidP="00B07771">
      <w:pPr>
        <w:ind w:left="1440"/>
        <w:rPr>
          <w:rFonts w:ascii="Arial" w:hAnsi="Arial" w:cs="Arial"/>
          <w:sz w:val="22"/>
          <w:szCs w:val="22"/>
        </w:rPr>
      </w:pPr>
    </w:p>
    <w:p w14:paraId="06A83DBD" w14:textId="77777777" w:rsidR="00B07771" w:rsidRPr="00534A19" w:rsidRDefault="00B07771" w:rsidP="00B07771">
      <w:pPr>
        <w:ind w:left="1440"/>
        <w:rPr>
          <w:rFonts w:ascii="Arial" w:hAnsi="Arial" w:cs="Arial"/>
          <w:sz w:val="22"/>
          <w:szCs w:val="22"/>
        </w:rPr>
      </w:pPr>
      <w:r w:rsidRPr="00534A19">
        <w:rPr>
          <w:rFonts w:ascii="Arial" w:hAnsi="Arial" w:cs="Arial"/>
          <w:sz w:val="22"/>
          <w:szCs w:val="22"/>
        </w:rPr>
        <w:t>NRC Response:</w:t>
      </w:r>
    </w:p>
    <w:p w14:paraId="7F553DE5" w14:textId="6DAAD55E" w:rsidR="00B07771" w:rsidRPr="007752C5" w:rsidRDefault="00E556C2" w:rsidP="00B07771">
      <w:pPr>
        <w:ind w:left="1440"/>
        <w:rPr>
          <w:rFonts w:ascii="Arial" w:hAnsi="Arial" w:cs="Arial"/>
          <w:sz w:val="22"/>
          <w:szCs w:val="22"/>
        </w:rPr>
      </w:pPr>
      <w:r w:rsidRPr="007752C5">
        <w:rPr>
          <w:rFonts w:ascii="Arial" w:hAnsi="Arial" w:cs="Arial"/>
          <w:sz w:val="22"/>
          <w:szCs w:val="22"/>
        </w:rPr>
        <w:t xml:space="preserve">The NRC staff’s estimates are an average based on the entire industry.  The burden on some entities may be greater than the average.  Typically, archetictual engineering and nuclear steam system </w:t>
      </w:r>
      <w:r w:rsidR="0008159F" w:rsidRPr="007752C5">
        <w:rPr>
          <w:rFonts w:ascii="Arial" w:hAnsi="Arial" w:cs="Arial"/>
          <w:sz w:val="22"/>
          <w:szCs w:val="22"/>
        </w:rPr>
        <w:t>supplier firms, such as General Electric Hitachi, will evaluate and report a higher number of potential 10 CFR Part 21 reports</w:t>
      </w:r>
      <w:r w:rsidR="00A012EE" w:rsidRPr="007752C5">
        <w:rPr>
          <w:rFonts w:ascii="Arial" w:hAnsi="Arial" w:cs="Arial"/>
          <w:sz w:val="22"/>
          <w:szCs w:val="22"/>
        </w:rPr>
        <w:t xml:space="preserve"> over the evaluation period</w:t>
      </w:r>
      <w:r w:rsidR="0008159F" w:rsidRPr="007752C5">
        <w:rPr>
          <w:rFonts w:ascii="Arial" w:hAnsi="Arial" w:cs="Arial"/>
          <w:sz w:val="22"/>
          <w:szCs w:val="22"/>
        </w:rPr>
        <w:t>.</w:t>
      </w:r>
    </w:p>
    <w:p w14:paraId="043469EA" w14:textId="77777777" w:rsidR="00B07771" w:rsidRPr="007752C5" w:rsidRDefault="00B07771" w:rsidP="00B07771">
      <w:pPr>
        <w:ind w:left="1440"/>
        <w:rPr>
          <w:rFonts w:ascii="Arial" w:hAnsi="Arial" w:cs="Arial"/>
          <w:sz w:val="22"/>
          <w:szCs w:val="22"/>
        </w:rPr>
      </w:pPr>
    </w:p>
    <w:p w14:paraId="69CFE2E3" w14:textId="77777777" w:rsidR="00B07771" w:rsidRPr="00F237D7" w:rsidRDefault="00B07771" w:rsidP="00B07771">
      <w:pPr>
        <w:ind w:left="1440"/>
        <w:rPr>
          <w:rFonts w:ascii="Arial" w:hAnsi="Arial" w:cs="Arial"/>
          <w:sz w:val="22"/>
          <w:szCs w:val="22"/>
        </w:rPr>
      </w:pPr>
      <w:r w:rsidRPr="00F237D7">
        <w:rPr>
          <w:rFonts w:ascii="Arial" w:hAnsi="Arial" w:cs="Arial"/>
          <w:sz w:val="22"/>
          <w:szCs w:val="22"/>
        </w:rPr>
        <w:t>NRC Question:</w:t>
      </w:r>
    </w:p>
    <w:p w14:paraId="67401719" w14:textId="77777777" w:rsidR="00B07771" w:rsidRPr="007752C5" w:rsidRDefault="00B07771" w:rsidP="00B07771">
      <w:pPr>
        <w:ind w:left="1440"/>
        <w:rPr>
          <w:rFonts w:ascii="Arial" w:hAnsi="Arial" w:cs="Arial"/>
          <w:sz w:val="22"/>
          <w:szCs w:val="22"/>
        </w:rPr>
      </w:pPr>
      <w:r w:rsidRPr="007752C5">
        <w:rPr>
          <w:rFonts w:ascii="Arial" w:hAnsi="Arial" w:cs="Arial"/>
          <w:sz w:val="22"/>
          <w:szCs w:val="22"/>
        </w:rPr>
        <w:t>Is there a way to enhance the quality, utility, and clarity of the information to be collected?</w:t>
      </w:r>
    </w:p>
    <w:p w14:paraId="20C304DB" w14:textId="77777777" w:rsidR="00B07771" w:rsidRPr="007752C5" w:rsidRDefault="00B07771" w:rsidP="00B07771">
      <w:pPr>
        <w:ind w:left="1440"/>
        <w:rPr>
          <w:rFonts w:ascii="Arial" w:hAnsi="Arial" w:cs="Arial"/>
          <w:sz w:val="22"/>
          <w:szCs w:val="22"/>
        </w:rPr>
      </w:pPr>
    </w:p>
    <w:p w14:paraId="749E192D" w14:textId="77777777" w:rsidR="00B07771" w:rsidRPr="007752C5" w:rsidRDefault="00B07771" w:rsidP="00B07771">
      <w:pPr>
        <w:ind w:left="1440"/>
        <w:rPr>
          <w:rFonts w:ascii="Arial" w:hAnsi="Arial" w:cs="Arial"/>
          <w:sz w:val="22"/>
          <w:szCs w:val="22"/>
        </w:rPr>
      </w:pPr>
      <w:r w:rsidRPr="00F237D7">
        <w:rPr>
          <w:rFonts w:ascii="Arial" w:hAnsi="Arial" w:cs="Arial"/>
          <w:sz w:val="22"/>
          <w:szCs w:val="22"/>
        </w:rPr>
        <w:t>GEH Comment</w:t>
      </w:r>
      <w:r w:rsidRPr="007752C5">
        <w:rPr>
          <w:rFonts w:ascii="Arial" w:hAnsi="Arial" w:cs="Arial"/>
          <w:sz w:val="22"/>
          <w:szCs w:val="22"/>
        </w:rPr>
        <w:t>:</w:t>
      </w:r>
    </w:p>
    <w:p w14:paraId="7038C875" w14:textId="77777777" w:rsidR="00B07771" w:rsidRPr="007752C5" w:rsidRDefault="00B07771" w:rsidP="00B07771">
      <w:pPr>
        <w:ind w:left="1440"/>
        <w:rPr>
          <w:rFonts w:ascii="Arial" w:hAnsi="Arial" w:cs="Arial"/>
          <w:sz w:val="22"/>
          <w:szCs w:val="22"/>
        </w:rPr>
      </w:pPr>
      <w:r w:rsidRPr="007752C5">
        <w:rPr>
          <w:rFonts w:ascii="Arial" w:hAnsi="Arial" w:cs="Arial"/>
          <w:sz w:val="22"/>
          <w:szCs w:val="22"/>
        </w:rPr>
        <w:t>To accurately understand the burden imposed by the implementation of the requirements of 10CFRPart 21 the NRC should solicit information from the largest contributors to the overall industry burden (in a confidential manner) for all aspects of the 10CFR Part 21 process, from initiation through notifications, including all non-reported (i.e. Safe) conditions, as this category (from the GEH perspective) is the largest family of evaluations.</w:t>
      </w:r>
    </w:p>
    <w:p w14:paraId="4D6F2D1C" w14:textId="77777777" w:rsidR="00B07771" w:rsidRPr="007752C5" w:rsidRDefault="00B07771" w:rsidP="00B07771">
      <w:pPr>
        <w:ind w:left="1440"/>
        <w:rPr>
          <w:rFonts w:ascii="Arial" w:hAnsi="Arial" w:cs="Arial"/>
          <w:sz w:val="22"/>
          <w:szCs w:val="22"/>
        </w:rPr>
      </w:pPr>
    </w:p>
    <w:p w14:paraId="3D2267B5" w14:textId="77777777" w:rsidR="00B07771" w:rsidRPr="00F237D7" w:rsidRDefault="00B07771" w:rsidP="00B07771">
      <w:pPr>
        <w:ind w:left="1440"/>
        <w:rPr>
          <w:rFonts w:ascii="Arial" w:hAnsi="Arial" w:cs="Arial"/>
          <w:sz w:val="22"/>
          <w:szCs w:val="22"/>
        </w:rPr>
      </w:pPr>
      <w:r w:rsidRPr="00F237D7">
        <w:rPr>
          <w:rFonts w:ascii="Arial" w:hAnsi="Arial" w:cs="Arial"/>
          <w:sz w:val="22"/>
          <w:szCs w:val="22"/>
        </w:rPr>
        <w:t>NRC Response:</w:t>
      </w:r>
    </w:p>
    <w:p w14:paraId="702652EF" w14:textId="77777777" w:rsidR="0029302B" w:rsidRDefault="0008159F" w:rsidP="00B07771">
      <w:pPr>
        <w:ind w:left="1440"/>
        <w:rPr>
          <w:rFonts w:ascii="Arial" w:hAnsi="Arial" w:cs="Arial"/>
          <w:sz w:val="22"/>
          <w:szCs w:val="22"/>
        </w:rPr>
      </w:pPr>
      <w:r w:rsidRPr="007752C5">
        <w:rPr>
          <w:rFonts w:ascii="Arial" w:hAnsi="Arial" w:cs="Arial"/>
          <w:sz w:val="22"/>
          <w:szCs w:val="22"/>
        </w:rPr>
        <w:t>The NRC staff is currently working with industry stakeholders on accepting a guidance document, Nuclear Energy Institute (NEI) 14-09, “Guidelines for Implementation of 10 CFR Part 21 Reporting of Defects and Noncompliance.”</w:t>
      </w:r>
      <w:r w:rsidR="00D547F8" w:rsidRPr="007752C5">
        <w:rPr>
          <w:rFonts w:ascii="Arial" w:hAnsi="Arial" w:cs="Arial"/>
          <w:sz w:val="22"/>
          <w:szCs w:val="22"/>
        </w:rPr>
        <w:t xml:space="preserve">  </w:t>
      </w:r>
    </w:p>
    <w:p w14:paraId="05F9E3A1" w14:textId="77777777" w:rsidR="0029302B" w:rsidRDefault="0029302B" w:rsidP="00B07771">
      <w:pPr>
        <w:ind w:left="1440"/>
        <w:rPr>
          <w:rFonts w:ascii="Arial" w:hAnsi="Arial" w:cs="Arial"/>
          <w:sz w:val="22"/>
          <w:szCs w:val="22"/>
        </w:rPr>
      </w:pPr>
    </w:p>
    <w:p w14:paraId="6BF1711B" w14:textId="094889B9" w:rsidR="00B07771" w:rsidRPr="007752C5" w:rsidRDefault="00D547F8" w:rsidP="00B07771">
      <w:pPr>
        <w:ind w:left="1440"/>
        <w:rPr>
          <w:rFonts w:ascii="Arial" w:hAnsi="Arial" w:cs="Arial"/>
          <w:sz w:val="22"/>
          <w:szCs w:val="22"/>
        </w:rPr>
      </w:pPr>
      <w:r w:rsidRPr="007752C5">
        <w:rPr>
          <w:rFonts w:ascii="Arial" w:hAnsi="Arial" w:cs="Arial"/>
          <w:sz w:val="22"/>
          <w:szCs w:val="22"/>
        </w:rPr>
        <w:t>The purpose of this guidance is to describe an acceptable approach to comply with the requirements for evaluation and notification in 10 CFR Part 21.  This guidance document promotes consistent implementation of NRC requirements.</w:t>
      </w:r>
    </w:p>
    <w:p w14:paraId="288CF74C" w14:textId="77777777" w:rsidR="00B07771" w:rsidRPr="007752C5" w:rsidRDefault="00B07771" w:rsidP="00B07771">
      <w:pPr>
        <w:ind w:left="1440"/>
        <w:rPr>
          <w:rFonts w:ascii="Arial" w:hAnsi="Arial" w:cs="Arial"/>
          <w:sz w:val="22"/>
          <w:szCs w:val="22"/>
        </w:rPr>
      </w:pPr>
    </w:p>
    <w:p w14:paraId="42F7D409" w14:textId="77777777" w:rsidR="00B07771" w:rsidRPr="00F237D7" w:rsidRDefault="00B07771" w:rsidP="00B07771">
      <w:pPr>
        <w:ind w:left="1440"/>
        <w:rPr>
          <w:rFonts w:ascii="Arial" w:hAnsi="Arial" w:cs="Arial"/>
          <w:sz w:val="22"/>
          <w:szCs w:val="22"/>
        </w:rPr>
      </w:pPr>
      <w:r w:rsidRPr="00F237D7">
        <w:rPr>
          <w:rFonts w:ascii="Arial" w:hAnsi="Arial" w:cs="Arial"/>
          <w:sz w:val="22"/>
          <w:szCs w:val="22"/>
        </w:rPr>
        <w:t>NRC Question:</w:t>
      </w:r>
    </w:p>
    <w:p w14:paraId="388E244D" w14:textId="77777777" w:rsidR="00B07771" w:rsidRPr="007752C5" w:rsidRDefault="00B07771" w:rsidP="00B07771">
      <w:pPr>
        <w:ind w:left="1440"/>
        <w:rPr>
          <w:rFonts w:ascii="Arial" w:hAnsi="Arial" w:cs="Arial"/>
          <w:sz w:val="22"/>
          <w:szCs w:val="22"/>
        </w:rPr>
      </w:pPr>
      <w:r w:rsidRPr="007752C5">
        <w:rPr>
          <w:rFonts w:ascii="Arial" w:hAnsi="Arial" w:cs="Arial"/>
          <w:sz w:val="22"/>
          <w:szCs w:val="22"/>
        </w:rPr>
        <w:t>How can the burden of the information collection on respondents be minimized, including the use of automated collection techniques or other forms of information technology?</w:t>
      </w:r>
    </w:p>
    <w:p w14:paraId="40137F4E" w14:textId="77777777" w:rsidR="00B07771" w:rsidRPr="007752C5" w:rsidRDefault="00B07771" w:rsidP="00B07771">
      <w:pPr>
        <w:ind w:left="1440"/>
        <w:rPr>
          <w:rFonts w:ascii="Arial" w:hAnsi="Arial" w:cs="Arial"/>
          <w:sz w:val="22"/>
          <w:szCs w:val="22"/>
        </w:rPr>
      </w:pPr>
    </w:p>
    <w:p w14:paraId="4707AB4D" w14:textId="77777777" w:rsidR="00B07771" w:rsidRPr="00F237D7" w:rsidRDefault="00B07771" w:rsidP="00B07771">
      <w:pPr>
        <w:ind w:left="1440"/>
        <w:rPr>
          <w:rFonts w:ascii="Arial" w:hAnsi="Arial" w:cs="Arial"/>
          <w:sz w:val="22"/>
          <w:szCs w:val="22"/>
        </w:rPr>
      </w:pPr>
      <w:r w:rsidRPr="00F237D7">
        <w:rPr>
          <w:rFonts w:ascii="Arial" w:hAnsi="Arial" w:cs="Arial"/>
          <w:sz w:val="22"/>
          <w:szCs w:val="22"/>
        </w:rPr>
        <w:t>GEH Comment:</w:t>
      </w:r>
    </w:p>
    <w:p w14:paraId="0C438C42" w14:textId="77777777" w:rsidR="00B07771" w:rsidRPr="007752C5" w:rsidRDefault="00B07771" w:rsidP="00B07771">
      <w:pPr>
        <w:ind w:left="1440"/>
        <w:rPr>
          <w:rFonts w:ascii="Arial" w:hAnsi="Arial" w:cs="Arial"/>
          <w:sz w:val="22"/>
          <w:szCs w:val="22"/>
        </w:rPr>
      </w:pPr>
      <w:r w:rsidRPr="007752C5">
        <w:rPr>
          <w:rFonts w:ascii="Arial" w:hAnsi="Arial" w:cs="Arial"/>
          <w:sz w:val="22"/>
          <w:szCs w:val="22"/>
        </w:rPr>
        <w:t>Automated collection would appear to add additional burden and in many cases may not be possible. GEH believes that a simple request for information (held by the NRC in confidence) would be the best approach.</w:t>
      </w:r>
    </w:p>
    <w:p w14:paraId="166866F1" w14:textId="77777777" w:rsidR="00B07771" w:rsidRPr="007752C5" w:rsidRDefault="00B07771" w:rsidP="00B07771">
      <w:pPr>
        <w:ind w:left="1440"/>
        <w:rPr>
          <w:rFonts w:ascii="Arial" w:hAnsi="Arial" w:cs="Arial"/>
          <w:sz w:val="22"/>
          <w:szCs w:val="22"/>
        </w:rPr>
      </w:pPr>
    </w:p>
    <w:p w14:paraId="3E41F069" w14:textId="0443CE62" w:rsidR="00B07771" w:rsidRPr="007752C5" w:rsidRDefault="00B07771" w:rsidP="00B07771">
      <w:pPr>
        <w:ind w:left="1440"/>
        <w:rPr>
          <w:rFonts w:ascii="Arial" w:hAnsi="Arial" w:cs="Arial"/>
          <w:sz w:val="22"/>
          <w:szCs w:val="22"/>
        </w:rPr>
      </w:pPr>
      <w:r w:rsidRPr="007752C5">
        <w:rPr>
          <w:rFonts w:ascii="Arial" w:hAnsi="Arial" w:cs="Arial"/>
          <w:sz w:val="22"/>
          <w:szCs w:val="22"/>
        </w:rPr>
        <w:t>While it may be important for the NRC to gain the requested information on the burden posed to suppliers and licensees, the fact that the NRC no longer posts the notifications to the 10</w:t>
      </w:r>
      <w:r w:rsidR="00833DD9">
        <w:rPr>
          <w:rFonts w:ascii="Arial" w:hAnsi="Arial" w:cs="Arial"/>
          <w:sz w:val="22"/>
          <w:szCs w:val="22"/>
        </w:rPr>
        <w:t xml:space="preserve"> </w:t>
      </w:r>
      <w:r w:rsidRPr="007752C5">
        <w:rPr>
          <w:rFonts w:ascii="Arial" w:hAnsi="Arial" w:cs="Arial"/>
          <w:sz w:val="22"/>
          <w:szCs w:val="22"/>
        </w:rPr>
        <w:t>CFR Part 21 Notifications portal in a timely manner is disconcerting given the burden that it places on the suppliers and licensees, and defeats the purpose of maintaining plant safety when safety concerns are raised. It is true that 10</w:t>
      </w:r>
      <w:r w:rsidR="00833DD9">
        <w:rPr>
          <w:rFonts w:ascii="Arial" w:hAnsi="Arial" w:cs="Arial"/>
          <w:sz w:val="22"/>
          <w:szCs w:val="22"/>
        </w:rPr>
        <w:t xml:space="preserve"> </w:t>
      </w:r>
      <w:r w:rsidRPr="007752C5">
        <w:rPr>
          <w:rFonts w:ascii="Arial" w:hAnsi="Arial" w:cs="Arial"/>
          <w:sz w:val="22"/>
          <w:szCs w:val="22"/>
        </w:rPr>
        <w:t>CFR Part 21 Reports are posted to the daily event report portal (for 10</w:t>
      </w:r>
      <w:r w:rsidR="00833DD9">
        <w:rPr>
          <w:rFonts w:ascii="Arial" w:hAnsi="Arial" w:cs="Arial"/>
          <w:sz w:val="22"/>
          <w:szCs w:val="22"/>
        </w:rPr>
        <w:t xml:space="preserve"> </w:t>
      </w:r>
      <w:r w:rsidRPr="007752C5">
        <w:rPr>
          <w:rFonts w:ascii="Arial" w:hAnsi="Arial" w:cs="Arial"/>
          <w:sz w:val="22"/>
          <w:szCs w:val="22"/>
        </w:rPr>
        <w:t>CFR 50.72 and 50.73 reports), however, without monitoring on both portals valuable safety information can be missed, and not acted upon in a timely manner.</w:t>
      </w:r>
    </w:p>
    <w:p w14:paraId="02B0C337" w14:textId="77777777" w:rsidR="00B07771" w:rsidRPr="007752C5" w:rsidRDefault="00B07771" w:rsidP="00B07771">
      <w:pPr>
        <w:ind w:left="1440"/>
        <w:rPr>
          <w:rFonts w:ascii="Arial" w:hAnsi="Arial" w:cs="Arial"/>
          <w:sz w:val="22"/>
          <w:szCs w:val="22"/>
        </w:rPr>
      </w:pPr>
    </w:p>
    <w:p w14:paraId="523DCB01" w14:textId="77777777" w:rsidR="00B07771" w:rsidRPr="00536ADA" w:rsidRDefault="00B07771" w:rsidP="00B07771">
      <w:pPr>
        <w:ind w:left="1440"/>
        <w:rPr>
          <w:rFonts w:ascii="Arial" w:hAnsi="Arial" w:cs="Arial"/>
          <w:sz w:val="22"/>
          <w:szCs w:val="22"/>
        </w:rPr>
      </w:pPr>
      <w:r w:rsidRPr="00536ADA">
        <w:rPr>
          <w:rFonts w:ascii="Arial" w:hAnsi="Arial" w:cs="Arial"/>
          <w:sz w:val="22"/>
          <w:szCs w:val="22"/>
        </w:rPr>
        <w:t>NRC Response:</w:t>
      </w:r>
    </w:p>
    <w:p w14:paraId="27A1BDC8" w14:textId="0C853C2E" w:rsidR="00B07771" w:rsidRPr="00B07771" w:rsidRDefault="00D547F8" w:rsidP="00B07771">
      <w:pPr>
        <w:ind w:left="1440"/>
        <w:rPr>
          <w:rFonts w:ascii="Arial" w:hAnsi="Arial" w:cs="Arial"/>
          <w:sz w:val="22"/>
          <w:szCs w:val="22"/>
        </w:rPr>
      </w:pPr>
      <w:r w:rsidRPr="007752C5">
        <w:rPr>
          <w:rFonts w:ascii="Arial" w:hAnsi="Arial" w:cs="Arial"/>
          <w:sz w:val="22"/>
          <w:szCs w:val="22"/>
        </w:rPr>
        <w:t>The regulations were revised to prevent duplicate reporting of the same event.  Licensees were given the option to evaluate and report a potential Part 21 issue under §50.72 and §50.73 in order to relieve licensees of the burden to evaluate and issue multiple reports.  Please see §21.29(c) for details.</w:t>
      </w:r>
    </w:p>
    <w:p w14:paraId="07F2CF12" w14:textId="77777777" w:rsidR="00B07771" w:rsidRPr="006A2BD8" w:rsidRDefault="00B07771">
      <w:pPr>
        <w:widowControl/>
        <w:tabs>
          <w:tab w:val="left" w:pos="-1440"/>
        </w:tabs>
        <w:ind w:left="1440" w:hanging="720"/>
        <w:rPr>
          <w:rFonts w:ascii="Arial" w:hAnsi="Arial" w:cs="Arial"/>
          <w:strike/>
          <w:sz w:val="22"/>
          <w:szCs w:val="22"/>
        </w:rPr>
      </w:pPr>
    </w:p>
    <w:p w14:paraId="41EE244E" w14:textId="77777777"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9.</w:t>
      </w:r>
      <w:r w:rsidRPr="009F5AF4">
        <w:rPr>
          <w:rFonts w:ascii="Arial" w:hAnsi="Arial" w:cs="Arial"/>
          <w:sz w:val="22"/>
          <w:szCs w:val="22"/>
        </w:rPr>
        <w:tab/>
      </w:r>
      <w:r w:rsidRPr="009F5AF4">
        <w:rPr>
          <w:rFonts w:ascii="Arial" w:hAnsi="Arial" w:cs="Arial"/>
          <w:sz w:val="22"/>
          <w:szCs w:val="22"/>
          <w:u w:val="single"/>
        </w:rPr>
        <w:t>Payment or Gift to Respondents</w:t>
      </w:r>
    </w:p>
    <w:p w14:paraId="67F3A60A" w14:textId="77777777" w:rsidR="00A879F3" w:rsidRPr="009F5AF4" w:rsidRDefault="00A879F3">
      <w:pPr>
        <w:widowControl/>
        <w:rPr>
          <w:rFonts w:ascii="Arial" w:hAnsi="Arial" w:cs="Arial"/>
          <w:sz w:val="22"/>
          <w:szCs w:val="22"/>
        </w:rPr>
      </w:pPr>
    </w:p>
    <w:p w14:paraId="0935C872" w14:textId="77777777" w:rsidR="00A879F3" w:rsidRDefault="00A879F3">
      <w:pPr>
        <w:widowControl/>
        <w:ind w:left="1440"/>
        <w:rPr>
          <w:rFonts w:ascii="Arial" w:hAnsi="Arial" w:cs="Arial"/>
          <w:sz w:val="22"/>
          <w:szCs w:val="22"/>
        </w:rPr>
      </w:pPr>
      <w:r w:rsidRPr="009F5AF4">
        <w:rPr>
          <w:rFonts w:ascii="Arial" w:hAnsi="Arial" w:cs="Arial"/>
          <w:sz w:val="22"/>
          <w:szCs w:val="22"/>
        </w:rPr>
        <w:t>Not applicable.</w:t>
      </w:r>
    </w:p>
    <w:p w14:paraId="6F5765B9" w14:textId="77777777" w:rsidR="004445D0" w:rsidRDefault="004445D0">
      <w:pPr>
        <w:widowControl/>
        <w:tabs>
          <w:tab w:val="left" w:pos="-1440"/>
        </w:tabs>
        <w:ind w:left="1440" w:hanging="720"/>
        <w:rPr>
          <w:rFonts w:ascii="Arial" w:hAnsi="Arial" w:cs="Arial"/>
          <w:sz w:val="22"/>
          <w:szCs w:val="22"/>
        </w:rPr>
      </w:pPr>
    </w:p>
    <w:p w14:paraId="06E65FC6" w14:textId="77777777"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10.</w:t>
      </w:r>
      <w:r w:rsidRPr="009F5AF4">
        <w:rPr>
          <w:rFonts w:ascii="Arial" w:hAnsi="Arial" w:cs="Arial"/>
          <w:sz w:val="22"/>
          <w:szCs w:val="22"/>
        </w:rPr>
        <w:tab/>
      </w:r>
      <w:r w:rsidRPr="009F5AF4">
        <w:rPr>
          <w:rFonts w:ascii="Arial" w:hAnsi="Arial" w:cs="Arial"/>
          <w:sz w:val="22"/>
          <w:szCs w:val="22"/>
          <w:u w:val="single"/>
        </w:rPr>
        <w:t>Confidentiality of the Information</w:t>
      </w:r>
    </w:p>
    <w:p w14:paraId="4EF4E241" w14:textId="77777777" w:rsidR="00A879F3" w:rsidRPr="009F5AF4" w:rsidRDefault="00A879F3">
      <w:pPr>
        <w:widowControl/>
        <w:rPr>
          <w:rFonts w:ascii="Arial" w:hAnsi="Arial" w:cs="Arial"/>
          <w:sz w:val="22"/>
          <w:szCs w:val="22"/>
        </w:rPr>
      </w:pPr>
    </w:p>
    <w:p w14:paraId="2398C1B7" w14:textId="77777777" w:rsidR="00F01E00" w:rsidRPr="00D33419" w:rsidRDefault="00F01E00" w:rsidP="00F01E00">
      <w:pPr>
        <w:widowControl/>
        <w:ind w:left="1440"/>
        <w:rPr>
          <w:rFonts w:ascii="Arial" w:hAnsi="Arial" w:cs="Arial"/>
          <w:sz w:val="22"/>
          <w:szCs w:val="22"/>
        </w:rPr>
      </w:pPr>
      <w:r w:rsidRPr="00D33419">
        <w:rPr>
          <w:rFonts w:ascii="Arial" w:hAnsi="Arial" w:cs="Arial"/>
          <w:sz w:val="22"/>
          <w:szCs w:val="22"/>
        </w:rPr>
        <w:t xml:space="preserve">Confidential and proprietary information is protected in accordance with NRC regulations in 10 CFR 9.17(a) and 10 CFR 2.390(b).  However, no information normally considered confidential or proprietary is requested.  </w:t>
      </w:r>
    </w:p>
    <w:p w14:paraId="364C44C0" w14:textId="77777777" w:rsidR="00F01E00" w:rsidRPr="00D33419" w:rsidRDefault="00F01E00" w:rsidP="00F01E00">
      <w:pPr>
        <w:pStyle w:val="CommentText"/>
      </w:pPr>
    </w:p>
    <w:p w14:paraId="26F6473A" w14:textId="77777777"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11.</w:t>
      </w:r>
      <w:r w:rsidRPr="009F5AF4">
        <w:rPr>
          <w:rFonts w:ascii="Arial" w:hAnsi="Arial" w:cs="Arial"/>
          <w:sz w:val="22"/>
          <w:szCs w:val="22"/>
        </w:rPr>
        <w:tab/>
      </w:r>
      <w:r w:rsidRPr="009F5AF4">
        <w:rPr>
          <w:rFonts w:ascii="Arial" w:hAnsi="Arial" w:cs="Arial"/>
          <w:sz w:val="22"/>
          <w:szCs w:val="22"/>
          <w:u w:val="single"/>
        </w:rPr>
        <w:t>Justification for Sensitive Questions</w:t>
      </w:r>
    </w:p>
    <w:p w14:paraId="51174EDE" w14:textId="77777777" w:rsidR="00A879F3" w:rsidRPr="009F5AF4" w:rsidRDefault="00A879F3">
      <w:pPr>
        <w:widowControl/>
        <w:rPr>
          <w:rFonts w:ascii="Arial" w:hAnsi="Arial" w:cs="Arial"/>
          <w:sz w:val="22"/>
          <w:szCs w:val="22"/>
        </w:rPr>
      </w:pPr>
    </w:p>
    <w:p w14:paraId="0639697A" w14:textId="77777777" w:rsidR="00A879F3" w:rsidRDefault="00A879F3">
      <w:pPr>
        <w:widowControl/>
        <w:ind w:left="1440"/>
        <w:rPr>
          <w:rFonts w:ascii="Arial" w:hAnsi="Arial" w:cs="Arial"/>
          <w:sz w:val="22"/>
          <w:szCs w:val="22"/>
        </w:rPr>
      </w:pPr>
      <w:r w:rsidRPr="009F5AF4">
        <w:rPr>
          <w:rFonts w:ascii="Arial" w:hAnsi="Arial" w:cs="Arial"/>
          <w:sz w:val="22"/>
          <w:szCs w:val="22"/>
        </w:rPr>
        <w:t xml:space="preserve">This </w:t>
      </w:r>
      <w:r w:rsidR="00C75A05">
        <w:rPr>
          <w:rFonts w:ascii="Arial" w:hAnsi="Arial" w:cs="Arial"/>
          <w:sz w:val="22"/>
          <w:szCs w:val="22"/>
        </w:rPr>
        <w:t>information collection</w:t>
      </w:r>
      <w:r w:rsidRPr="009F5AF4">
        <w:rPr>
          <w:rFonts w:ascii="Arial" w:hAnsi="Arial" w:cs="Arial"/>
          <w:sz w:val="22"/>
          <w:szCs w:val="22"/>
        </w:rPr>
        <w:t xml:space="preserve"> does not request sensitive information.</w:t>
      </w:r>
    </w:p>
    <w:p w14:paraId="63902417" w14:textId="77777777" w:rsidR="00A879F3" w:rsidRPr="009F5AF4" w:rsidRDefault="00A879F3">
      <w:pPr>
        <w:widowControl/>
        <w:rPr>
          <w:rFonts w:ascii="Arial" w:hAnsi="Arial" w:cs="Arial"/>
          <w:sz w:val="22"/>
          <w:szCs w:val="22"/>
        </w:rPr>
      </w:pPr>
    </w:p>
    <w:p w14:paraId="2BC57E18" w14:textId="77777777" w:rsidR="005A4FCF" w:rsidRPr="009F5AF4" w:rsidRDefault="00A879F3" w:rsidP="00BC7035">
      <w:pPr>
        <w:widowControl/>
        <w:tabs>
          <w:tab w:val="left" w:pos="-1440"/>
        </w:tabs>
        <w:ind w:left="1440" w:hanging="720"/>
        <w:rPr>
          <w:rFonts w:ascii="Arial" w:hAnsi="Arial" w:cs="Arial"/>
          <w:sz w:val="22"/>
          <w:szCs w:val="22"/>
        </w:rPr>
      </w:pPr>
      <w:r w:rsidRPr="009F5AF4">
        <w:rPr>
          <w:rFonts w:ascii="Arial" w:hAnsi="Arial" w:cs="Arial"/>
          <w:sz w:val="22"/>
          <w:szCs w:val="22"/>
        </w:rPr>
        <w:t>12.</w:t>
      </w:r>
      <w:r w:rsidRPr="009F5AF4">
        <w:rPr>
          <w:rFonts w:ascii="Arial" w:hAnsi="Arial" w:cs="Arial"/>
          <w:sz w:val="22"/>
          <w:szCs w:val="22"/>
        </w:rPr>
        <w:tab/>
      </w:r>
      <w:r w:rsidRPr="009F5AF4">
        <w:rPr>
          <w:rFonts w:ascii="Arial" w:hAnsi="Arial" w:cs="Arial"/>
          <w:sz w:val="22"/>
          <w:szCs w:val="22"/>
          <w:u w:val="single"/>
        </w:rPr>
        <w:t>Estimated Industry Burden and Burden Hour Cost</w:t>
      </w:r>
    </w:p>
    <w:p w14:paraId="52831C3C" w14:textId="77777777" w:rsidR="00F2159E" w:rsidRPr="00756626" w:rsidRDefault="00802CBA" w:rsidP="00BC7035">
      <w:pPr>
        <w:widowControl/>
        <w:tabs>
          <w:tab w:val="left" w:pos="-1440"/>
        </w:tabs>
        <w:ind w:left="1440" w:hanging="720"/>
        <w:rPr>
          <w:rFonts w:ascii="Arial" w:hAnsi="Arial" w:cs="Arial"/>
          <w:sz w:val="22"/>
          <w:szCs w:val="22"/>
        </w:rPr>
      </w:pPr>
      <w:r>
        <w:rPr>
          <w:rFonts w:ascii="Arial" w:hAnsi="Arial" w:cs="Arial"/>
          <w:color w:val="FF0000"/>
          <w:sz w:val="22"/>
          <w:szCs w:val="22"/>
        </w:rPr>
        <w:tab/>
      </w:r>
    </w:p>
    <w:p w14:paraId="0ADF0883" w14:textId="6F45E327" w:rsidR="00B7263C" w:rsidRPr="00F2159E" w:rsidRDefault="00A879F3" w:rsidP="004D1C95">
      <w:pPr>
        <w:widowControl/>
        <w:ind w:left="1440"/>
        <w:rPr>
          <w:rFonts w:ascii="Arial" w:hAnsi="Arial" w:cs="Arial"/>
          <w:sz w:val="22"/>
          <w:szCs w:val="22"/>
        </w:rPr>
      </w:pPr>
      <w:r w:rsidRPr="00F2159E">
        <w:rPr>
          <w:rFonts w:ascii="Arial" w:hAnsi="Arial" w:cs="Arial"/>
          <w:sz w:val="22"/>
          <w:szCs w:val="22"/>
        </w:rPr>
        <w:t>The total burden to respondents for reporting</w:t>
      </w:r>
      <w:r w:rsidR="000B210A" w:rsidRPr="00F2159E">
        <w:rPr>
          <w:rFonts w:ascii="Arial" w:hAnsi="Arial" w:cs="Arial"/>
          <w:sz w:val="22"/>
          <w:szCs w:val="22"/>
        </w:rPr>
        <w:t>,</w:t>
      </w:r>
      <w:r w:rsidRPr="00F2159E">
        <w:rPr>
          <w:rFonts w:ascii="Arial" w:hAnsi="Arial" w:cs="Arial"/>
          <w:sz w:val="22"/>
          <w:szCs w:val="22"/>
        </w:rPr>
        <w:t xml:space="preserve"> recordkeeping</w:t>
      </w:r>
      <w:r w:rsidR="000B210A" w:rsidRPr="00F2159E">
        <w:rPr>
          <w:rFonts w:ascii="Arial" w:hAnsi="Arial" w:cs="Arial"/>
          <w:sz w:val="22"/>
          <w:szCs w:val="22"/>
        </w:rPr>
        <w:t>, and third party disclosure</w:t>
      </w:r>
      <w:r w:rsidRPr="00F2159E">
        <w:rPr>
          <w:rFonts w:ascii="Arial" w:hAnsi="Arial" w:cs="Arial"/>
          <w:sz w:val="22"/>
          <w:szCs w:val="22"/>
        </w:rPr>
        <w:t xml:space="preserve"> in accordance with 10 CFR 21 is estimated to be </w:t>
      </w:r>
      <w:r w:rsidR="008A3CDF">
        <w:rPr>
          <w:rFonts w:ascii="Arial" w:hAnsi="Arial" w:cs="Arial"/>
          <w:sz w:val="22"/>
          <w:szCs w:val="22"/>
        </w:rPr>
        <w:t>43,56</w:t>
      </w:r>
      <w:r w:rsidR="00401615">
        <w:rPr>
          <w:rFonts w:ascii="Arial" w:hAnsi="Arial" w:cs="Arial"/>
          <w:sz w:val="22"/>
          <w:szCs w:val="22"/>
        </w:rPr>
        <w:t>5</w:t>
      </w:r>
      <w:r w:rsidR="00B7263C" w:rsidRPr="00F2159E">
        <w:rPr>
          <w:rFonts w:ascii="Arial" w:hAnsi="Arial" w:cs="Arial"/>
          <w:sz w:val="22"/>
          <w:szCs w:val="22"/>
        </w:rPr>
        <w:t xml:space="preserve"> </w:t>
      </w:r>
      <w:r w:rsidRPr="00F2159E">
        <w:rPr>
          <w:rFonts w:ascii="Arial" w:hAnsi="Arial" w:cs="Arial"/>
          <w:sz w:val="22"/>
          <w:szCs w:val="22"/>
        </w:rPr>
        <w:t>hours with an estim</w:t>
      </w:r>
      <w:r w:rsidR="001606E0" w:rsidRPr="00F2159E">
        <w:rPr>
          <w:rFonts w:ascii="Arial" w:hAnsi="Arial" w:cs="Arial"/>
          <w:sz w:val="22"/>
          <w:szCs w:val="22"/>
        </w:rPr>
        <w:t xml:space="preserve">ated cost of </w:t>
      </w:r>
      <w:r w:rsidR="00B7263C" w:rsidRPr="00F2159E">
        <w:rPr>
          <w:rFonts w:ascii="Arial" w:hAnsi="Arial" w:cs="Arial"/>
          <w:sz w:val="22"/>
          <w:szCs w:val="22"/>
        </w:rPr>
        <w:t>$</w:t>
      </w:r>
      <w:r w:rsidR="00BA0536">
        <w:rPr>
          <w:rFonts w:ascii="Arial" w:hAnsi="Arial" w:cs="Arial"/>
          <w:sz w:val="22"/>
          <w:szCs w:val="22"/>
        </w:rPr>
        <w:t>11,</w:t>
      </w:r>
      <w:r w:rsidR="008A3CDF">
        <w:rPr>
          <w:rFonts w:ascii="Arial" w:hAnsi="Arial" w:cs="Arial"/>
          <w:sz w:val="22"/>
          <w:szCs w:val="22"/>
        </w:rPr>
        <w:t>544,725</w:t>
      </w:r>
      <w:r w:rsidR="00160015" w:rsidRPr="00F2159E">
        <w:rPr>
          <w:rFonts w:ascii="Arial" w:hAnsi="Arial" w:cs="Arial"/>
          <w:sz w:val="22"/>
          <w:szCs w:val="22"/>
        </w:rPr>
        <w:t xml:space="preserve"> </w:t>
      </w:r>
      <w:r w:rsidR="00ED0D44" w:rsidRPr="00F2159E">
        <w:rPr>
          <w:rFonts w:ascii="Arial" w:hAnsi="Arial" w:cs="Arial"/>
          <w:sz w:val="22"/>
          <w:szCs w:val="22"/>
        </w:rPr>
        <w:t>at $</w:t>
      </w:r>
      <w:r w:rsidR="006F6F40">
        <w:rPr>
          <w:rFonts w:ascii="Arial" w:hAnsi="Arial" w:cs="Arial"/>
          <w:sz w:val="22"/>
          <w:szCs w:val="22"/>
        </w:rPr>
        <w:t>26</w:t>
      </w:r>
      <w:r w:rsidR="00507CB8">
        <w:rPr>
          <w:rFonts w:ascii="Arial" w:hAnsi="Arial" w:cs="Arial"/>
          <w:sz w:val="22"/>
          <w:szCs w:val="22"/>
        </w:rPr>
        <w:t>5</w:t>
      </w:r>
      <w:r w:rsidR="006F6F40" w:rsidRPr="00F2159E">
        <w:rPr>
          <w:rFonts w:ascii="Arial" w:hAnsi="Arial" w:cs="Arial"/>
          <w:sz w:val="22"/>
          <w:szCs w:val="22"/>
        </w:rPr>
        <w:t xml:space="preserve"> </w:t>
      </w:r>
      <w:r w:rsidRPr="00F2159E">
        <w:rPr>
          <w:rFonts w:ascii="Arial" w:hAnsi="Arial" w:cs="Arial"/>
          <w:sz w:val="22"/>
          <w:szCs w:val="22"/>
        </w:rPr>
        <w:t>per ho</w:t>
      </w:r>
      <w:r w:rsidR="00B7263C" w:rsidRPr="00F2159E">
        <w:rPr>
          <w:rFonts w:ascii="Arial" w:hAnsi="Arial" w:cs="Arial"/>
          <w:sz w:val="22"/>
          <w:szCs w:val="22"/>
        </w:rPr>
        <w:t>ur of professional staff time.</w:t>
      </w:r>
    </w:p>
    <w:p w14:paraId="29562D7B" w14:textId="77777777" w:rsidR="00B7263C" w:rsidRPr="009F5AF4" w:rsidRDefault="00B7263C" w:rsidP="004D1C95">
      <w:pPr>
        <w:widowControl/>
        <w:ind w:left="1440"/>
        <w:rPr>
          <w:rFonts w:ascii="Arial" w:hAnsi="Arial" w:cs="Arial"/>
          <w:sz w:val="22"/>
          <w:szCs w:val="22"/>
        </w:rPr>
      </w:pPr>
    </w:p>
    <w:p w14:paraId="6A1BA1BF" w14:textId="7B0C0934" w:rsidR="00EF3708" w:rsidRPr="009F5AF4" w:rsidRDefault="00A879F3" w:rsidP="004D1C95">
      <w:pPr>
        <w:widowControl/>
        <w:ind w:left="1440"/>
        <w:rPr>
          <w:rFonts w:ascii="Arial" w:hAnsi="Arial" w:cs="Arial"/>
          <w:sz w:val="22"/>
          <w:szCs w:val="22"/>
        </w:rPr>
      </w:pPr>
      <w:r w:rsidRPr="009F5AF4">
        <w:rPr>
          <w:rFonts w:ascii="Arial" w:hAnsi="Arial" w:cs="Arial"/>
          <w:sz w:val="22"/>
          <w:szCs w:val="22"/>
        </w:rPr>
        <w:t xml:space="preserve">This estimate includes </w:t>
      </w:r>
      <w:r w:rsidR="008A3CDF">
        <w:rPr>
          <w:rFonts w:ascii="Arial" w:hAnsi="Arial" w:cs="Arial"/>
          <w:sz w:val="22"/>
          <w:szCs w:val="22"/>
        </w:rPr>
        <w:t>18,023</w:t>
      </w:r>
      <w:r w:rsidR="00B7263C" w:rsidRPr="009F5AF4">
        <w:rPr>
          <w:rFonts w:ascii="Arial" w:hAnsi="Arial" w:cs="Arial"/>
          <w:sz w:val="22"/>
          <w:szCs w:val="22"/>
        </w:rPr>
        <w:t xml:space="preserve"> hours for reporting, </w:t>
      </w:r>
      <w:r w:rsidR="00BF52EC">
        <w:rPr>
          <w:rFonts w:ascii="Arial" w:hAnsi="Arial" w:cs="Arial"/>
          <w:sz w:val="22"/>
          <w:szCs w:val="22"/>
        </w:rPr>
        <w:t>25,257</w:t>
      </w:r>
      <w:r w:rsidR="00F01E00" w:rsidRPr="009F5AF4">
        <w:rPr>
          <w:rFonts w:ascii="Arial" w:hAnsi="Arial" w:cs="Arial"/>
          <w:sz w:val="22"/>
          <w:szCs w:val="22"/>
        </w:rPr>
        <w:t xml:space="preserve"> </w:t>
      </w:r>
      <w:r w:rsidRPr="009F5AF4">
        <w:rPr>
          <w:rFonts w:ascii="Arial" w:hAnsi="Arial" w:cs="Arial"/>
          <w:sz w:val="22"/>
          <w:szCs w:val="22"/>
        </w:rPr>
        <w:t>hours for recordkeeping</w:t>
      </w:r>
      <w:r w:rsidR="00B7263C" w:rsidRPr="009F5AF4">
        <w:rPr>
          <w:rFonts w:ascii="Arial" w:hAnsi="Arial" w:cs="Arial"/>
          <w:sz w:val="22"/>
          <w:szCs w:val="22"/>
        </w:rPr>
        <w:t xml:space="preserve">, and </w:t>
      </w:r>
      <w:r w:rsidR="00BF52EC">
        <w:rPr>
          <w:rFonts w:ascii="Arial" w:hAnsi="Arial" w:cs="Arial"/>
          <w:sz w:val="22"/>
          <w:szCs w:val="22"/>
        </w:rPr>
        <w:t>285</w:t>
      </w:r>
      <w:r w:rsidR="00F01E00" w:rsidRPr="009F5AF4">
        <w:rPr>
          <w:rFonts w:ascii="Arial" w:hAnsi="Arial" w:cs="Arial"/>
          <w:sz w:val="22"/>
          <w:szCs w:val="22"/>
        </w:rPr>
        <w:t xml:space="preserve"> </w:t>
      </w:r>
      <w:r w:rsidR="00B7263C" w:rsidRPr="009F5AF4">
        <w:rPr>
          <w:rFonts w:ascii="Arial" w:hAnsi="Arial" w:cs="Arial"/>
          <w:sz w:val="22"/>
          <w:szCs w:val="22"/>
        </w:rPr>
        <w:t>hours for third-party disclosures.</w:t>
      </w:r>
      <w:r w:rsidRPr="009F5AF4">
        <w:rPr>
          <w:rFonts w:ascii="Arial" w:hAnsi="Arial" w:cs="Arial"/>
          <w:sz w:val="22"/>
          <w:szCs w:val="22"/>
        </w:rPr>
        <w:t xml:space="preserve">  Details are included in th</w:t>
      </w:r>
      <w:r w:rsidR="004D1C95" w:rsidRPr="009F5AF4">
        <w:rPr>
          <w:rFonts w:ascii="Arial" w:hAnsi="Arial" w:cs="Arial"/>
          <w:sz w:val="22"/>
          <w:szCs w:val="22"/>
        </w:rPr>
        <w:t xml:space="preserve">e attached industry burden tables (Table </w:t>
      </w:r>
      <w:r w:rsidR="00EF3708" w:rsidRPr="009F5AF4">
        <w:rPr>
          <w:rFonts w:ascii="Arial" w:hAnsi="Arial" w:cs="Arial"/>
          <w:sz w:val="22"/>
          <w:szCs w:val="22"/>
        </w:rPr>
        <w:t>1-3</w:t>
      </w:r>
      <w:r w:rsidR="004D1C95" w:rsidRPr="009F5AF4">
        <w:rPr>
          <w:rFonts w:ascii="Arial" w:hAnsi="Arial" w:cs="Arial"/>
          <w:sz w:val="22"/>
          <w:szCs w:val="22"/>
        </w:rPr>
        <w:t>)</w:t>
      </w:r>
      <w:r w:rsidR="00EF3708" w:rsidRPr="009F5AF4">
        <w:rPr>
          <w:rFonts w:ascii="Arial" w:hAnsi="Arial" w:cs="Arial"/>
          <w:sz w:val="22"/>
          <w:szCs w:val="22"/>
        </w:rPr>
        <w:t>.</w:t>
      </w:r>
    </w:p>
    <w:p w14:paraId="411902F7" w14:textId="77777777" w:rsidR="00EF3708" w:rsidRPr="009F5AF4" w:rsidRDefault="00EF3708" w:rsidP="004D1C95">
      <w:pPr>
        <w:widowControl/>
        <w:ind w:left="1440"/>
        <w:rPr>
          <w:rFonts w:ascii="Arial" w:hAnsi="Arial" w:cs="Arial"/>
          <w:sz w:val="22"/>
          <w:szCs w:val="22"/>
        </w:rPr>
      </w:pPr>
    </w:p>
    <w:p w14:paraId="77938AC1" w14:textId="6F29E0DB" w:rsidR="00160015" w:rsidRDefault="004D1C95" w:rsidP="004D1C95">
      <w:pPr>
        <w:widowControl/>
        <w:ind w:left="1440"/>
        <w:rPr>
          <w:rFonts w:ascii="Arial" w:hAnsi="Arial" w:cs="Arial"/>
          <w:sz w:val="22"/>
          <w:szCs w:val="22"/>
        </w:rPr>
      </w:pPr>
      <w:r w:rsidRPr="009F5AF4">
        <w:rPr>
          <w:rFonts w:ascii="Arial" w:hAnsi="Arial" w:cs="Arial"/>
          <w:sz w:val="22"/>
          <w:szCs w:val="22"/>
        </w:rPr>
        <w:t>The estimated number of reports is based upon the average number of reports received pe</w:t>
      </w:r>
      <w:r w:rsidR="00EF3708" w:rsidRPr="009F5AF4">
        <w:rPr>
          <w:rFonts w:ascii="Arial" w:hAnsi="Arial" w:cs="Arial"/>
          <w:sz w:val="22"/>
          <w:szCs w:val="22"/>
        </w:rPr>
        <w:t>r year for the past three years (</w:t>
      </w:r>
      <w:r w:rsidR="00A7630E" w:rsidRPr="009F5AF4">
        <w:rPr>
          <w:rFonts w:ascii="Arial" w:hAnsi="Arial" w:cs="Arial"/>
          <w:sz w:val="22"/>
          <w:szCs w:val="22"/>
        </w:rPr>
        <w:t>20</w:t>
      </w:r>
      <w:r w:rsidR="00A7630E">
        <w:rPr>
          <w:rFonts w:ascii="Arial" w:hAnsi="Arial" w:cs="Arial"/>
          <w:sz w:val="22"/>
          <w:szCs w:val="22"/>
        </w:rPr>
        <w:t>13</w:t>
      </w:r>
      <w:r w:rsidR="00A7630E" w:rsidRPr="009F5AF4">
        <w:rPr>
          <w:rFonts w:ascii="Arial" w:hAnsi="Arial" w:cs="Arial"/>
          <w:sz w:val="22"/>
          <w:szCs w:val="22"/>
        </w:rPr>
        <w:t xml:space="preserve"> </w:t>
      </w:r>
      <w:r w:rsidR="00EF3708" w:rsidRPr="009F5AF4">
        <w:rPr>
          <w:rFonts w:ascii="Arial" w:hAnsi="Arial" w:cs="Arial"/>
          <w:sz w:val="22"/>
          <w:szCs w:val="22"/>
        </w:rPr>
        <w:t xml:space="preserve">– </w:t>
      </w:r>
      <w:r w:rsidR="00A7630E" w:rsidRPr="009F5AF4">
        <w:rPr>
          <w:rFonts w:ascii="Arial" w:hAnsi="Arial" w:cs="Arial"/>
          <w:sz w:val="22"/>
          <w:szCs w:val="22"/>
        </w:rPr>
        <w:t>20</w:t>
      </w:r>
      <w:r w:rsidR="00A7630E">
        <w:rPr>
          <w:rFonts w:ascii="Arial" w:hAnsi="Arial" w:cs="Arial"/>
          <w:sz w:val="22"/>
          <w:szCs w:val="22"/>
        </w:rPr>
        <w:t>15</w:t>
      </w:r>
      <w:r w:rsidR="00EF3708" w:rsidRPr="009F5AF4">
        <w:rPr>
          <w:rFonts w:ascii="Arial" w:hAnsi="Arial" w:cs="Arial"/>
          <w:sz w:val="22"/>
          <w:szCs w:val="22"/>
        </w:rPr>
        <w:t>)</w:t>
      </w:r>
      <w:r w:rsidR="000B210A">
        <w:rPr>
          <w:rFonts w:ascii="Arial" w:hAnsi="Arial" w:cs="Arial"/>
          <w:sz w:val="22"/>
          <w:szCs w:val="22"/>
        </w:rPr>
        <w:t>.</w:t>
      </w:r>
      <w:r w:rsidRPr="009F5AF4">
        <w:rPr>
          <w:rFonts w:ascii="Arial" w:hAnsi="Arial" w:cs="Arial"/>
          <w:sz w:val="22"/>
          <w:szCs w:val="22"/>
        </w:rPr>
        <w:t xml:space="preserve">  </w:t>
      </w:r>
      <w:r w:rsidR="00160015" w:rsidRPr="009F5AF4">
        <w:rPr>
          <w:rFonts w:ascii="Arial" w:hAnsi="Arial" w:cs="Arial"/>
          <w:sz w:val="22"/>
          <w:szCs w:val="22"/>
        </w:rPr>
        <w:t xml:space="preserve">During the three-year period from </w:t>
      </w:r>
      <w:r w:rsidR="00A7630E" w:rsidRPr="009F5AF4">
        <w:rPr>
          <w:rFonts w:ascii="Arial" w:hAnsi="Arial" w:cs="Arial"/>
          <w:sz w:val="22"/>
          <w:szCs w:val="22"/>
        </w:rPr>
        <w:t>20</w:t>
      </w:r>
      <w:r w:rsidR="00A7630E">
        <w:rPr>
          <w:rFonts w:ascii="Arial" w:hAnsi="Arial" w:cs="Arial"/>
          <w:sz w:val="22"/>
          <w:szCs w:val="22"/>
        </w:rPr>
        <w:t>13</w:t>
      </w:r>
      <w:r w:rsidR="00160015" w:rsidRPr="009F5AF4">
        <w:rPr>
          <w:rFonts w:ascii="Arial" w:hAnsi="Arial" w:cs="Arial"/>
          <w:sz w:val="22"/>
          <w:szCs w:val="22"/>
        </w:rPr>
        <w:t>-</w:t>
      </w:r>
      <w:r w:rsidR="00A7630E" w:rsidRPr="009F5AF4">
        <w:rPr>
          <w:rFonts w:ascii="Arial" w:hAnsi="Arial" w:cs="Arial"/>
          <w:sz w:val="22"/>
          <w:szCs w:val="22"/>
        </w:rPr>
        <w:t>20</w:t>
      </w:r>
      <w:r w:rsidR="00A7630E">
        <w:rPr>
          <w:rFonts w:ascii="Arial" w:hAnsi="Arial" w:cs="Arial"/>
          <w:sz w:val="22"/>
          <w:szCs w:val="22"/>
        </w:rPr>
        <w:t>15</w:t>
      </w:r>
      <w:r w:rsidR="00160015" w:rsidRPr="009F5AF4">
        <w:rPr>
          <w:rFonts w:ascii="Arial" w:hAnsi="Arial" w:cs="Arial"/>
          <w:sz w:val="22"/>
          <w:szCs w:val="22"/>
        </w:rPr>
        <w:t xml:space="preserve">, the NRC received </w:t>
      </w:r>
      <w:r w:rsidR="00933EDA">
        <w:rPr>
          <w:rFonts w:ascii="Arial" w:hAnsi="Arial" w:cs="Arial"/>
          <w:sz w:val="22"/>
          <w:szCs w:val="22"/>
        </w:rPr>
        <w:t>210</w:t>
      </w:r>
      <w:r w:rsidR="00A7630E" w:rsidRPr="009F5AF4">
        <w:rPr>
          <w:rFonts w:ascii="Arial" w:hAnsi="Arial" w:cs="Arial"/>
          <w:sz w:val="22"/>
          <w:szCs w:val="22"/>
        </w:rPr>
        <w:t xml:space="preserve"> </w:t>
      </w:r>
      <w:r w:rsidR="00160015" w:rsidRPr="009F5AF4">
        <w:rPr>
          <w:rFonts w:ascii="Arial" w:hAnsi="Arial" w:cs="Arial"/>
          <w:sz w:val="22"/>
          <w:szCs w:val="22"/>
        </w:rPr>
        <w:t xml:space="preserve">Part 21 reports.  The number of distinct issues was </w:t>
      </w:r>
      <w:r w:rsidR="00933EDA">
        <w:rPr>
          <w:rFonts w:ascii="Arial" w:hAnsi="Arial" w:cs="Arial"/>
          <w:sz w:val="22"/>
          <w:szCs w:val="22"/>
        </w:rPr>
        <w:t>191</w:t>
      </w:r>
      <w:r w:rsidR="00160015" w:rsidRPr="009F5AF4">
        <w:rPr>
          <w:rFonts w:ascii="Arial" w:hAnsi="Arial" w:cs="Arial"/>
          <w:sz w:val="22"/>
          <w:szCs w:val="22"/>
        </w:rPr>
        <w:t xml:space="preserve">.  Therefore the estimated average number of issues reviewed by the NRC is about </w:t>
      </w:r>
      <w:r w:rsidR="00933EDA">
        <w:rPr>
          <w:rFonts w:ascii="Arial" w:hAnsi="Arial" w:cs="Arial"/>
          <w:sz w:val="22"/>
          <w:szCs w:val="22"/>
        </w:rPr>
        <w:t>6</w:t>
      </w:r>
      <w:r w:rsidR="00791E36">
        <w:rPr>
          <w:rFonts w:ascii="Arial" w:hAnsi="Arial" w:cs="Arial"/>
          <w:sz w:val="22"/>
          <w:szCs w:val="22"/>
        </w:rPr>
        <w:t>4</w:t>
      </w:r>
      <w:r w:rsidR="00A7630E" w:rsidRPr="009F5AF4">
        <w:rPr>
          <w:rFonts w:ascii="Arial" w:hAnsi="Arial" w:cs="Arial"/>
          <w:sz w:val="22"/>
          <w:szCs w:val="22"/>
        </w:rPr>
        <w:t xml:space="preserve"> </w:t>
      </w:r>
      <w:r w:rsidR="00160015" w:rsidRPr="009F5AF4">
        <w:rPr>
          <w:rFonts w:ascii="Arial" w:hAnsi="Arial" w:cs="Arial"/>
          <w:sz w:val="22"/>
          <w:szCs w:val="22"/>
        </w:rPr>
        <w:t>issues per year (</w:t>
      </w:r>
      <w:r w:rsidR="00933EDA">
        <w:rPr>
          <w:rFonts w:ascii="Arial" w:hAnsi="Arial" w:cs="Arial"/>
          <w:sz w:val="22"/>
          <w:szCs w:val="22"/>
        </w:rPr>
        <w:t>191</w:t>
      </w:r>
      <w:r w:rsidR="00A7630E" w:rsidRPr="009F5AF4">
        <w:rPr>
          <w:rFonts w:ascii="Arial" w:hAnsi="Arial" w:cs="Arial"/>
          <w:sz w:val="22"/>
          <w:szCs w:val="22"/>
        </w:rPr>
        <w:t xml:space="preserve"> </w:t>
      </w:r>
      <w:r w:rsidR="00160015" w:rsidRPr="009F5AF4">
        <w:rPr>
          <w:rFonts w:ascii="Arial" w:hAnsi="Arial" w:cs="Arial"/>
          <w:sz w:val="22"/>
          <w:szCs w:val="22"/>
        </w:rPr>
        <w:t xml:space="preserve">issues / 3 years = </w:t>
      </w:r>
      <w:r w:rsidR="00933EDA">
        <w:rPr>
          <w:rFonts w:ascii="Arial" w:hAnsi="Arial" w:cs="Arial"/>
          <w:sz w:val="22"/>
          <w:szCs w:val="22"/>
        </w:rPr>
        <w:t>6</w:t>
      </w:r>
      <w:r w:rsidR="00791E36">
        <w:rPr>
          <w:rFonts w:ascii="Arial" w:hAnsi="Arial" w:cs="Arial"/>
          <w:sz w:val="22"/>
          <w:szCs w:val="22"/>
        </w:rPr>
        <w:t>4</w:t>
      </w:r>
      <w:r w:rsidR="00A7630E" w:rsidRPr="009F5AF4">
        <w:rPr>
          <w:rFonts w:ascii="Arial" w:hAnsi="Arial" w:cs="Arial"/>
          <w:sz w:val="22"/>
          <w:szCs w:val="22"/>
        </w:rPr>
        <w:t xml:space="preserve"> </w:t>
      </w:r>
      <w:r w:rsidR="00160015" w:rsidRPr="009F5AF4">
        <w:rPr>
          <w:rFonts w:ascii="Arial" w:hAnsi="Arial" w:cs="Arial"/>
          <w:sz w:val="22"/>
          <w:szCs w:val="22"/>
        </w:rPr>
        <w:t>issues per year).</w:t>
      </w:r>
      <w:r w:rsidR="0007733C">
        <w:rPr>
          <w:rFonts w:ascii="Arial" w:hAnsi="Arial" w:cs="Arial"/>
          <w:sz w:val="22"/>
          <w:szCs w:val="22"/>
        </w:rPr>
        <w:t xml:space="preserve"> The NRC staff etimates that we will continue to receive similar numbers of reports in the next three years.</w:t>
      </w:r>
    </w:p>
    <w:p w14:paraId="723F03D3" w14:textId="77777777" w:rsidR="00160015" w:rsidRDefault="00160015" w:rsidP="004D1C95">
      <w:pPr>
        <w:widowControl/>
        <w:ind w:left="1440"/>
        <w:rPr>
          <w:rFonts w:ascii="Arial" w:hAnsi="Arial" w:cs="Arial"/>
          <w:sz w:val="22"/>
          <w:szCs w:val="22"/>
        </w:rPr>
      </w:pPr>
    </w:p>
    <w:p w14:paraId="76829D46" w14:textId="77777777" w:rsidR="00160015" w:rsidRDefault="00160015" w:rsidP="004D1C95">
      <w:pPr>
        <w:widowControl/>
        <w:ind w:left="1440"/>
        <w:rPr>
          <w:rFonts w:ascii="Arial" w:hAnsi="Arial" w:cs="Arial"/>
          <w:sz w:val="22"/>
          <w:szCs w:val="22"/>
        </w:rPr>
      </w:pPr>
      <w:r>
        <w:rPr>
          <w:rFonts w:ascii="Arial" w:hAnsi="Arial" w:cs="Arial"/>
          <w:sz w:val="22"/>
          <w:szCs w:val="22"/>
        </w:rPr>
        <w:t>The number of recordkeepers is based on the estimated number of licensees, vendors, and fuel facilities who are keeping records under 10 CFR 21.51.</w:t>
      </w:r>
    </w:p>
    <w:p w14:paraId="0BD88EBA" w14:textId="77777777" w:rsidR="00160015" w:rsidRDefault="00160015" w:rsidP="004D1C95">
      <w:pPr>
        <w:widowControl/>
        <w:ind w:left="1440"/>
        <w:rPr>
          <w:rFonts w:ascii="Arial" w:hAnsi="Arial" w:cs="Arial"/>
          <w:sz w:val="22"/>
          <w:szCs w:val="22"/>
        </w:rPr>
      </w:pPr>
    </w:p>
    <w:p w14:paraId="0DE838A2" w14:textId="77777777" w:rsidR="00A879F3" w:rsidRPr="009F5AF4" w:rsidRDefault="00A879F3" w:rsidP="004D1C95">
      <w:pPr>
        <w:widowControl/>
        <w:ind w:left="1440"/>
        <w:rPr>
          <w:rFonts w:ascii="Arial" w:hAnsi="Arial" w:cs="Arial"/>
          <w:sz w:val="22"/>
          <w:szCs w:val="22"/>
        </w:rPr>
      </w:pPr>
      <w:r w:rsidRPr="009F5AF4">
        <w:rPr>
          <w:rFonts w:ascii="Arial" w:hAnsi="Arial" w:cs="Arial"/>
          <w:sz w:val="22"/>
          <w:szCs w:val="22"/>
        </w:rPr>
        <w:t>The estimated cost per burden hour is based upon NRC</w:t>
      </w:r>
      <w:r w:rsidR="004D1C95" w:rsidRPr="009F5AF4">
        <w:rPr>
          <w:rFonts w:ascii="Arial" w:hAnsi="Arial" w:cs="Arial"/>
          <w:sz w:val="22"/>
          <w:szCs w:val="22"/>
        </w:rPr>
        <w:t>’</w:t>
      </w:r>
      <w:r w:rsidRPr="009F5AF4">
        <w:rPr>
          <w:rFonts w:ascii="Arial" w:hAnsi="Arial" w:cs="Arial"/>
          <w:sz w:val="22"/>
          <w:szCs w:val="22"/>
        </w:rPr>
        <w:t>s annual fee recovery rate, as published in NRC</w:t>
      </w:r>
      <w:r w:rsidR="004D1C95" w:rsidRPr="009F5AF4">
        <w:rPr>
          <w:rFonts w:ascii="Arial" w:hAnsi="Arial" w:cs="Arial"/>
          <w:sz w:val="22"/>
          <w:szCs w:val="22"/>
        </w:rPr>
        <w:t>’</w:t>
      </w:r>
      <w:r w:rsidRPr="009F5AF4">
        <w:rPr>
          <w:rFonts w:ascii="Arial" w:hAnsi="Arial" w:cs="Arial"/>
          <w:sz w:val="22"/>
          <w:szCs w:val="22"/>
        </w:rPr>
        <w:t xml:space="preserve">s annual fee recovery rule. </w:t>
      </w:r>
    </w:p>
    <w:p w14:paraId="20D16822" w14:textId="77777777" w:rsidR="00A879F3" w:rsidRPr="009F5AF4" w:rsidRDefault="00A879F3" w:rsidP="00012F9A">
      <w:pPr>
        <w:widowControl/>
        <w:rPr>
          <w:rFonts w:ascii="Arial" w:hAnsi="Arial" w:cs="Arial"/>
          <w:sz w:val="22"/>
          <w:szCs w:val="22"/>
        </w:rPr>
      </w:pPr>
    </w:p>
    <w:p w14:paraId="1C94AC8E" w14:textId="77777777" w:rsidR="00A879F3" w:rsidRDefault="00A879F3">
      <w:pPr>
        <w:widowControl/>
        <w:tabs>
          <w:tab w:val="left" w:pos="-1440"/>
        </w:tabs>
        <w:ind w:left="1440" w:hanging="720"/>
        <w:rPr>
          <w:rFonts w:ascii="Arial" w:hAnsi="Arial" w:cs="Arial"/>
          <w:sz w:val="22"/>
          <w:szCs w:val="22"/>
          <w:u w:val="single"/>
        </w:rPr>
      </w:pPr>
      <w:r w:rsidRPr="009F5AF4">
        <w:rPr>
          <w:rFonts w:ascii="Arial" w:hAnsi="Arial" w:cs="Arial"/>
          <w:sz w:val="22"/>
          <w:szCs w:val="22"/>
        </w:rPr>
        <w:t>13.</w:t>
      </w:r>
      <w:r w:rsidRPr="009F5AF4">
        <w:rPr>
          <w:rFonts w:ascii="Arial" w:hAnsi="Arial" w:cs="Arial"/>
          <w:sz w:val="22"/>
          <w:szCs w:val="22"/>
        </w:rPr>
        <w:tab/>
      </w:r>
      <w:r w:rsidRPr="009F5AF4">
        <w:rPr>
          <w:rFonts w:ascii="Arial" w:hAnsi="Arial" w:cs="Arial"/>
          <w:sz w:val="22"/>
          <w:szCs w:val="22"/>
          <w:u w:val="single"/>
        </w:rPr>
        <w:t>Estimate of Other Additional Costs</w:t>
      </w:r>
    </w:p>
    <w:p w14:paraId="3237CE78" w14:textId="77777777" w:rsidR="000A33A0" w:rsidRPr="009F5AF4" w:rsidRDefault="000A33A0">
      <w:pPr>
        <w:widowControl/>
        <w:tabs>
          <w:tab w:val="left" w:pos="-1440"/>
        </w:tabs>
        <w:ind w:left="1440" w:hanging="720"/>
        <w:rPr>
          <w:rFonts w:ascii="Arial" w:hAnsi="Arial" w:cs="Arial"/>
          <w:sz w:val="22"/>
          <w:szCs w:val="22"/>
        </w:rPr>
      </w:pPr>
    </w:p>
    <w:p w14:paraId="0EAC9303" w14:textId="0AE73BB4" w:rsidR="00894018" w:rsidRPr="00F663A9" w:rsidRDefault="00894018" w:rsidP="00894018">
      <w:pPr>
        <w:widowControl/>
        <w:ind w:left="1440"/>
        <w:rPr>
          <w:rFonts w:ascii="Arial" w:hAnsi="Arial" w:cs="Arial"/>
          <w:sz w:val="22"/>
          <w:szCs w:val="22"/>
        </w:rPr>
      </w:pPr>
      <w:r w:rsidRPr="00F663A9">
        <w:rPr>
          <w:rFonts w:ascii="Arial" w:hAnsi="Arial" w:cs="Arial"/>
          <w:sz w:val="22"/>
          <w:szCs w:val="22"/>
        </w:rPr>
        <w:t xml:space="preserve">The NRC has determined that </w:t>
      </w:r>
      <w:r w:rsidR="00F2159E" w:rsidRPr="00F663A9">
        <w:rPr>
          <w:rFonts w:ascii="Arial" w:hAnsi="Arial" w:cs="Arial"/>
          <w:sz w:val="22"/>
          <w:szCs w:val="22"/>
        </w:rPr>
        <w:t>the</w:t>
      </w:r>
      <w:r w:rsidRPr="00F663A9">
        <w:rPr>
          <w:rFonts w:ascii="Arial" w:hAnsi="Arial" w:cs="Arial"/>
          <w:sz w:val="22"/>
          <w:szCs w:val="22"/>
        </w:rPr>
        <w:t xml:space="preserv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A710B6" w:rsidRPr="00F663A9">
        <w:rPr>
          <w:rFonts w:ascii="Arial" w:hAnsi="Arial" w:cs="Arial"/>
          <w:sz w:val="22"/>
          <w:szCs w:val="22"/>
        </w:rPr>
        <w:t xml:space="preserve">25,257 </w:t>
      </w:r>
      <w:r w:rsidRPr="00F663A9">
        <w:rPr>
          <w:rFonts w:ascii="Arial" w:hAnsi="Arial" w:cs="Arial"/>
          <w:sz w:val="22"/>
          <w:szCs w:val="22"/>
        </w:rPr>
        <w:t>hours, the storage cost for t</w:t>
      </w:r>
      <w:r w:rsidR="0093406D" w:rsidRPr="00F663A9">
        <w:rPr>
          <w:rFonts w:ascii="Arial" w:hAnsi="Arial" w:cs="Arial"/>
          <w:sz w:val="22"/>
          <w:szCs w:val="22"/>
        </w:rPr>
        <w:t xml:space="preserve">his clearance is </w:t>
      </w:r>
      <w:r w:rsidR="00F2159E" w:rsidRPr="00F663A9">
        <w:rPr>
          <w:rFonts w:ascii="Arial" w:hAnsi="Arial" w:cs="Arial"/>
          <w:sz w:val="22"/>
          <w:szCs w:val="22"/>
        </w:rPr>
        <w:t>$</w:t>
      </w:r>
      <w:r w:rsidR="00A710B6" w:rsidRPr="00F663A9">
        <w:rPr>
          <w:rFonts w:ascii="Arial" w:hAnsi="Arial" w:cs="Arial"/>
          <w:sz w:val="22"/>
          <w:szCs w:val="22"/>
        </w:rPr>
        <w:t>2,</w:t>
      </w:r>
      <w:r w:rsidR="00B93CC4">
        <w:rPr>
          <w:rFonts w:ascii="Arial" w:hAnsi="Arial" w:cs="Arial"/>
          <w:sz w:val="22"/>
          <w:szCs w:val="22"/>
        </w:rPr>
        <w:t>677</w:t>
      </w:r>
      <w:r w:rsidR="00B93CC4" w:rsidRPr="00F663A9">
        <w:rPr>
          <w:rFonts w:ascii="Arial" w:hAnsi="Arial" w:cs="Arial"/>
          <w:sz w:val="22"/>
          <w:szCs w:val="22"/>
        </w:rPr>
        <w:t xml:space="preserve"> </w:t>
      </w:r>
      <w:r w:rsidR="00F2159E" w:rsidRPr="00F663A9">
        <w:rPr>
          <w:rFonts w:ascii="Arial" w:hAnsi="Arial" w:cs="Arial"/>
          <w:sz w:val="22"/>
          <w:szCs w:val="22"/>
        </w:rPr>
        <w:t>(</w:t>
      </w:r>
      <w:r w:rsidR="00A710B6" w:rsidRPr="00F663A9">
        <w:rPr>
          <w:rFonts w:ascii="Arial" w:hAnsi="Arial" w:cs="Arial"/>
          <w:sz w:val="22"/>
          <w:szCs w:val="22"/>
        </w:rPr>
        <w:t xml:space="preserve">25,257 </w:t>
      </w:r>
      <w:r w:rsidR="00F2159E" w:rsidRPr="00F663A9">
        <w:rPr>
          <w:rFonts w:ascii="Arial" w:hAnsi="Arial" w:cs="Arial"/>
          <w:sz w:val="22"/>
          <w:szCs w:val="22"/>
        </w:rPr>
        <w:t>hours x $26</w:t>
      </w:r>
      <w:r w:rsidR="00B93CC4">
        <w:rPr>
          <w:rFonts w:ascii="Arial" w:hAnsi="Arial" w:cs="Arial"/>
          <w:sz w:val="22"/>
          <w:szCs w:val="22"/>
        </w:rPr>
        <w:t>5</w:t>
      </w:r>
      <w:r w:rsidRPr="00F663A9">
        <w:rPr>
          <w:rFonts w:ascii="Arial" w:hAnsi="Arial" w:cs="Arial"/>
          <w:sz w:val="22"/>
          <w:szCs w:val="22"/>
        </w:rPr>
        <w:t xml:space="preserve">/hour x </w:t>
      </w:r>
      <w:r w:rsidR="0093406D" w:rsidRPr="00F663A9">
        <w:rPr>
          <w:rFonts w:ascii="Arial" w:hAnsi="Arial" w:cs="Arial"/>
          <w:sz w:val="22"/>
          <w:szCs w:val="22"/>
        </w:rPr>
        <w:t>0</w:t>
      </w:r>
      <w:r w:rsidRPr="00F663A9">
        <w:rPr>
          <w:rFonts w:ascii="Arial" w:hAnsi="Arial" w:cs="Arial"/>
          <w:sz w:val="22"/>
          <w:szCs w:val="22"/>
        </w:rPr>
        <w:t>.0004).</w:t>
      </w:r>
    </w:p>
    <w:p w14:paraId="00AD21A8" w14:textId="77777777" w:rsidR="00A879F3" w:rsidRPr="00894018" w:rsidRDefault="00A879F3">
      <w:pPr>
        <w:widowControl/>
        <w:rPr>
          <w:rFonts w:ascii="Arial" w:hAnsi="Arial" w:cs="Arial"/>
          <w:strike/>
          <w:sz w:val="22"/>
          <w:szCs w:val="22"/>
        </w:rPr>
      </w:pPr>
    </w:p>
    <w:p w14:paraId="0CF0EA8C" w14:textId="77777777"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14.</w:t>
      </w:r>
      <w:r w:rsidRPr="009F5AF4">
        <w:rPr>
          <w:rFonts w:ascii="Arial" w:hAnsi="Arial" w:cs="Arial"/>
          <w:sz w:val="22"/>
          <w:szCs w:val="22"/>
        </w:rPr>
        <w:tab/>
      </w:r>
      <w:r w:rsidRPr="009F5AF4">
        <w:rPr>
          <w:rFonts w:ascii="Arial" w:hAnsi="Arial" w:cs="Arial"/>
          <w:sz w:val="22"/>
          <w:szCs w:val="22"/>
          <w:u w:val="single"/>
        </w:rPr>
        <w:t>Estimated Annual Cost to the Federal Government</w:t>
      </w:r>
    </w:p>
    <w:p w14:paraId="1455766D" w14:textId="60E1FE1C" w:rsidR="00FE29DD" w:rsidRPr="009F5AF4" w:rsidRDefault="00FE29DD" w:rsidP="00EF3708">
      <w:pPr>
        <w:widowControl/>
        <w:tabs>
          <w:tab w:val="center" w:pos="4680"/>
        </w:tabs>
        <w:rPr>
          <w:rFonts w:ascii="Arial" w:hAnsi="Arial" w:cs="Arial"/>
          <w:sz w:val="22"/>
          <w:szCs w:val="22"/>
        </w:rPr>
      </w:pPr>
      <w:r>
        <w:rPr>
          <w:rFonts w:ascii="Arial" w:hAnsi="Arial" w:cs="Arial"/>
          <w:sz w:val="22"/>
          <w:szCs w:val="22"/>
        </w:rPr>
        <w:t xml:space="preserve">                        </w:t>
      </w:r>
    </w:p>
    <w:p w14:paraId="2DACDE92" w14:textId="47BBEA1A" w:rsidR="00A879F3" w:rsidRDefault="0041187D">
      <w:pPr>
        <w:widowControl/>
        <w:ind w:left="1440"/>
        <w:rPr>
          <w:rFonts w:ascii="Arial" w:hAnsi="Arial" w:cs="Arial"/>
          <w:sz w:val="22"/>
          <w:szCs w:val="22"/>
        </w:rPr>
      </w:pPr>
      <w:r>
        <w:rPr>
          <w:rFonts w:ascii="Arial" w:hAnsi="Arial" w:cs="Arial"/>
          <w:sz w:val="22"/>
          <w:szCs w:val="22"/>
        </w:rPr>
        <w:t xml:space="preserve">The </w:t>
      </w:r>
      <w:r w:rsidR="00A879F3" w:rsidRPr="009F5AF4">
        <w:rPr>
          <w:rFonts w:ascii="Arial" w:hAnsi="Arial" w:cs="Arial"/>
          <w:sz w:val="22"/>
          <w:szCs w:val="22"/>
        </w:rPr>
        <w:t>NRC currently reviews reports by issue, not by the type of report (</w:t>
      </w:r>
      <w:r w:rsidR="00F149C1" w:rsidRPr="009F5AF4">
        <w:rPr>
          <w:rFonts w:ascii="Arial" w:hAnsi="Arial" w:cs="Arial"/>
          <w:sz w:val="22"/>
          <w:szCs w:val="22"/>
        </w:rPr>
        <w:t xml:space="preserve">e.g. </w:t>
      </w:r>
      <w:r w:rsidR="00A879F3" w:rsidRPr="009F5AF4">
        <w:rPr>
          <w:rFonts w:ascii="Arial" w:hAnsi="Arial" w:cs="Arial"/>
          <w:sz w:val="22"/>
          <w:szCs w:val="22"/>
        </w:rPr>
        <w:t xml:space="preserve">initial notification, </w:t>
      </w:r>
      <w:r w:rsidR="00080B37" w:rsidRPr="009F5AF4">
        <w:rPr>
          <w:rFonts w:ascii="Arial" w:hAnsi="Arial" w:cs="Arial"/>
          <w:sz w:val="22"/>
          <w:szCs w:val="22"/>
        </w:rPr>
        <w:t xml:space="preserve">interim reports, written </w:t>
      </w:r>
      <w:r w:rsidR="00A879F3" w:rsidRPr="009F5AF4">
        <w:rPr>
          <w:rFonts w:ascii="Arial" w:hAnsi="Arial" w:cs="Arial"/>
          <w:sz w:val="22"/>
          <w:szCs w:val="22"/>
        </w:rPr>
        <w:t>reports within 30 days, or reports if not resolved within 6</w:t>
      </w:r>
      <w:r w:rsidR="00FA6F55" w:rsidRPr="009F5AF4">
        <w:rPr>
          <w:rFonts w:ascii="Arial" w:hAnsi="Arial" w:cs="Arial"/>
          <w:sz w:val="22"/>
          <w:szCs w:val="22"/>
        </w:rPr>
        <w:t>0 days).  During the</w:t>
      </w:r>
      <w:r w:rsidR="00BF2963" w:rsidRPr="009F5AF4">
        <w:rPr>
          <w:rFonts w:ascii="Arial" w:hAnsi="Arial" w:cs="Arial"/>
          <w:sz w:val="22"/>
          <w:szCs w:val="22"/>
        </w:rPr>
        <w:t xml:space="preserve"> three-year</w:t>
      </w:r>
      <w:r w:rsidR="00FA6F55" w:rsidRPr="009F5AF4">
        <w:rPr>
          <w:rFonts w:ascii="Arial" w:hAnsi="Arial" w:cs="Arial"/>
          <w:sz w:val="22"/>
          <w:szCs w:val="22"/>
        </w:rPr>
        <w:t xml:space="preserve"> per</w:t>
      </w:r>
      <w:r w:rsidR="00080B37" w:rsidRPr="009F5AF4">
        <w:rPr>
          <w:rFonts w:ascii="Arial" w:hAnsi="Arial" w:cs="Arial"/>
          <w:sz w:val="22"/>
          <w:szCs w:val="22"/>
        </w:rPr>
        <w:t xml:space="preserve">iod </w:t>
      </w:r>
      <w:r w:rsidR="00BF2963" w:rsidRPr="009F5AF4">
        <w:rPr>
          <w:rFonts w:ascii="Arial" w:hAnsi="Arial" w:cs="Arial"/>
          <w:sz w:val="22"/>
          <w:szCs w:val="22"/>
        </w:rPr>
        <w:t xml:space="preserve">from </w:t>
      </w:r>
      <w:r w:rsidR="007F1D9F" w:rsidRPr="009F5AF4">
        <w:rPr>
          <w:rFonts w:ascii="Arial" w:hAnsi="Arial" w:cs="Arial"/>
          <w:sz w:val="22"/>
          <w:szCs w:val="22"/>
        </w:rPr>
        <w:t>20</w:t>
      </w:r>
      <w:r w:rsidR="007F1D9F">
        <w:rPr>
          <w:rFonts w:ascii="Arial" w:hAnsi="Arial" w:cs="Arial"/>
          <w:sz w:val="22"/>
          <w:szCs w:val="22"/>
        </w:rPr>
        <w:t>13</w:t>
      </w:r>
      <w:r w:rsidR="00080B37" w:rsidRPr="009F5AF4">
        <w:rPr>
          <w:rFonts w:ascii="Arial" w:hAnsi="Arial" w:cs="Arial"/>
          <w:sz w:val="22"/>
          <w:szCs w:val="22"/>
        </w:rPr>
        <w:t>-</w:t>
      </w:r>
      <w:r w:rsidR="007F1D9F" w:rsidRPr="009F5AF4">
        <w:rPr>
          <w:rFonts w:ascii="Arial" w:hAnsi="Arial" w:cs="Arial"/>
          <w:sz w:val="22"/>
          <w:szCs w:val="22"/>
        </w:rPr>
        <w:t>201</w:t>
      </w:r>
      <w:r w:rsidR="007F1D9F">
        <w:rPr>
          <w:rFonts w:ascii="Arial" w:hAnsi="Arial" w:cs="Arial"/>
          <w:sz w:val="22"/>
          <w:szCs w:val="22"/>
        </w:rPr>
        <w:t>5</w:t>
      </w:r>
      <w:r w:rsidR="00080B37" w:rsidRPr="009F5AF4">
        <w:rPr>
          <w:rFonts w:ascii="Arial" w:hAnsi="Arial" w:cs="Arial"/>
          <w:sz w:val="22"/>
          <w:szCs w:val="22"/>
        </w:rPr>
        <w:t xml:space="preserve">, </w:t>
      </w:r>
      <w:r w:rsidR="00BF2963" w:rsidRPr="009F5AF4">
        <w:rPr>
          <w:rFonts w:ascii="Arial" w:hAnsi="Arial" w:cs="Arial"/>
          <w:sz w:val="22"/>
          <w:szCs w:val="22"/>
        </w:rPr>
        <w:t xml:space="preserve">the </w:t>
      </w:r>
      <w:r w:rsidR="00080B37" w:rsidRPr="009F5AF4">
        <w:rPr>
          <w:rFonts w:ascii="Arial" w:hAnsi="Arial" w:cs="Arial"/>
          <w:sz w:val="22"/>
          <w:szCs w:val="22"/>
        </w:rPr>
        <w:t xml:space="preserve">NRC received </w:t>
      </w:r>
      <w:r w:rsidR="000477B7">
        <w:rPr>
          <w:rFonts w:ascii="Arial" w:hAnsi="Arial" w:cs="Arial"/>
          <w:sz w:val="22"/>
          <w:szCs w:val="22"/>
        </w:rPr>
        <w:t xml:space="preserve">210 </w:t>
      </w:r>
      <w:r w:rsidR="00F149C1" w:rsidRPr="009F5AF4">
        <w:rPr>
          <w:rFonts w:ascii="Arial" w:hAnsi="Arial" w:cs="Arial"/>
          <w:sz w:val="22"/>
          <w:szCs w:val="22"/>
        </w:rPr>
        <w:t xml:space="preserve">Part </w:t>
      </w:r>
      <w:r w:rsidR="00A879F3" w:rsidRPr="009F5AF4">
        <w:rPr>
          <w:rFonts w:ascii="Arial" w:hAnsi="Arial" w:cs="Arial"/>
          <w:sz w:val="22"/>
          <w:szCs w:val="22"/>
        </w:rPr>
        <w:t>21 reports.  The number</w:t>
      </w:r>
      <w:r w:rsidR="00080B37" w:rsidRPr="009F5AF4">
        <w:rPr>
          <w:rFonts w:ascii="Arial" w:hAnsi="Arial" w:cs="Arial"/>
          <w:sz w:val="22"/>
          <w:szCs w:val="22"/>
        </w:rPr>
        <w:t xml:space="preserve"> of distinct issues was </w:t>
      </w:r>
      <w:r w:rsidR="000477B7">
        <w:rPr>
          <w:rFonts w:ascii="Arial" w:hAnsi="Arial" w:cs="Arial"/>
          <w:sz w:val="22"/>
          <w:szCs w:val="22"/>
        </w:rPr>
        <w:t>191</w:t>
      </w:r>
      <w:r w:rsidR="007864B5" w:rsidRPr="009F5AF4">
        <w:rPr>
          <w:rFonts w:ascii="Arial" w:hAnsi="Arial" w:cs="Arial"/>
          <w:sz w:val="22"/>
          <w:szCs w:val="22"/>
        </w:rPr>
        <w:t xml:space="preserve">.  Therefore the estimated average number of issues reviewed by the NRC is </w:t>
      </w:r>
      <w:r w:rsidR="00A879F3" w:rsidRPr="009F5AF4">
        <w:rPr>
          <w:rFonts w:ascii="Arial" w:hAnsi="Arial" w:cs="Arial"/>
          <w:sz w:val="22"/>
          <w:szCs w:val="22"/>
        </w:rPr>
        <w:t>about</w:t>
      </w:r>
      <w:r w:rsidR="003C481A" w:rsidRPr="009F5AF4">
        <w:rPr>
          <w:rFonts w:ascii="Arial" w:hAnsi="Arial" w:cs="Arial"/>
          <w:sz w:val="22"/>
          <w:szCs w:val="22"/>
        </w:rPr>
        <w:t xml:space="preserve"> </w:t>
      </w:r>
      <w:r w:rsidR="000477B7">
        <w:rPr>
          <w:rFonts w:ascii="Arial" w:hAnsi="Arial" w:cs="Arial"/>
          <w:sz w:val="22"/>
          <w:szCs w:val="22"/>
        </w:rPr>
        <w:t>6</w:t>
      </w:r>
      <w:r w:rsidR="000C6538">
        <w:rPr>
          <w:rFonts w:ascii="Arial" w:hAnsi="Arial" w:cs="Arial"/>
          <w:sz w:val="22"/>
          <w:szCs w:val="22"/>
        </w:rPr>
        <w:t>4</w:t>
      </w:r>
      <w:r w:rsidR="007F1D9F" w:rsidRPr="009F5AF4">
        <w:rPr>
          <w:rFonts w:ascii="Arial" w:hAnsi="Arial" w:cs="Arial"/>
          <w:sz w:val="22"/>
          <w:szCs w:val="22"/>
        </w:rPr>
        <w:t xml:space="preserve"> </w:t>
      </w:r>
      <w:r w:rsidR="003C481A" w:rsidRPr="009F5AF4">
        <w:rPr>
          <w:rFonts w:ascii="Arial" w:hAnsi="Arial" w:cs="Arial"/>
          <w:sz w:val="22"/>
          <w:szCs w:val="22"/>
        </w:rPr>
        <w:t>issues per year</w:t>
      </w:r>
      <w:r w:rsidR="00BF2963" w:rsidRPr="009F5AF4">
        <w:rPr>
          <w:rFonts w:ascii="Arial" w:hAnsi="Arial" w:cs="Arial"/>
          <w:sz w:val="22"/>
          <w:szCs w:val="22"/>
        </w:rPr>
        <w:t xml:space="preserve"> (</w:t>
      </w:r>
      <w:r w:rsidR="000477B7">
        <w:rPr>
          <w:rFonts w:ascii="Arial" w:hAnsi="Arial" w:cs="Arial"/>
          <w:sz w:val="22"/>
          <w:szCs w:val="22"/>
        </w:rPr>
        <w:t>191</w:t>
      </w:r>
      <w:r w:rsidR="007F1D9F" w:rsidRPr="009F5AF4">
        <w:rPr>
          <w:rFonts w:ascii="Arial" w:hAnsi="Arial" w:cs="Arial"/>
          <w:sz w:val="22"/>
          <w:szCs w:val="22"/>
        </w:rPr>
        <w:t xml:space="preserve"> </w:t>
      </w:r>
      <w:r w:rsidR="00BF2963" w:rsidRPr="009F5AF4">
        <w:rPr>
          <w:rFonts w:ascii="Arial" w:hAnsi="Arial" w:cs="Arial"/>
          <w:sz w:val="22"/>
          <w:szCs w:val="22"/>
        </w:rPr>
        <w:t xml:space="preserve">issues / 3 years = </w:t>
      </w:r>
      <w:r w:rsidR="000477B7">
        <w:rPr>
          <w:rFonts w:ascii="Arial" w:hAnsi="Arial" w:cs="Arial"/>
          <w:sz w:val="22"/>
          <w:szCs w:val="22"/>
        </w:rPr>
        <w:t>6</w:t>
      </w:r>
      <w:r w:rsidR="00C81A85">
        <w:rPr>
          <w:rFonts w:ascii="Arial" w:hAnsi="Arial" w:cs="Arial"/>
          <w:sz w:val="22"/>
          <w:szCs w:val="22"/>
        </w:rPr>
        <w:t>4</w:t>
      </w:r>
      <w:r w:rsidR="007F1D9F" w:rsidRPr="009F5AF4">
        <w:rPr>
          <w:rFonts w:ascii="Arial" w:hAnsi="Arial" w:cs="Arial"/>
          <w:sz w:val="22"/>
          <w:szCs w:val="22"/>
        </w:rPr>
        <w:t xml:space="preserve"> </w:t>
      </w:r>
      <w:r w:rsidR="00BF2963" w:rsidRPr="009F5AF4">
        <w:rPr>
          <w:rFonts w:ascii="Arial" w:hAnsi="Arial" w:cs="Arial"/>
          <w:sz w:val="22"/>
          <w:szCs w:val="22"/>
        </w:rPr>
        <w:t>issues per year)</w:t>
      </w:r>
      <w:r w:rsidR="007864B5" w:rsidRPr="009F5AF4">
        <w:rPr>
          <w:rFonts w:ascii="Arial" w:hAnsi="Arial" w:cs="Arial"/>
          <w:sz w:val="22"/>
          <w:szCs w:val="22"/>
        </w:rPr>
        <w:t>.</w:t>
      </w:r>
      <w:r w:rsidR="00EF3708" w:rsidRPr="009F5AF4">
        <w:rPr>
          <w:rFonts w:ascii="Arial" w:hAnsi="Arial" w:cs="Arial"/>
          <w:sz w:val="22"/>
          <w:szCs w:val="22"/>
        </w:rPr>
        <w:t xml:space="preserve">  At </w:t>
      </w:r>
      <w:r w:rsidR="003052B6">
        <w:rPr>
          <w:rFonts w:ascii="Arial" w:hAnsi="Arial" w:cs="Arial"/>
          <w:sz w:val="22"/>
          <w:szCs w:val="22"/>
        </w:rPr>
        <w:t xml:space="preserve">49 </w:t>
      </w:r>
      <w:r w:rsidR="00EF3708" w:rsidRPr="009F5AF4">
        <w:rPr>
          <w:rFonts w:ascii="Arial" w:hAnsi="Arial" w:cs="Arial"/>
          <w:sz w:val="22"/>
          <w:szCs w:val="22"/>
        </w:rPr>
        <w:t xml:space="preserve">hours per issue, the total cost to the Federal government is </w:t>
      </w:r>
      <w:r w:rsidR="003052B6">
        <w:rPr>
          <w:rFonts w:ascii="Arial" w:hAnsi="Arial" w:cs="Arial"/>
          <w:sz w:val="22"/>
          <w:szCs w:val="22"/>
        </w:rPr>
        <w:t>$8</w:t>
      </w:r>
      <w:r w:rsidR="00C81A85">
        <w:rPr>
          <w:rFonts w:ascii="Arial" w:hAnsi="Arial" w:cs="Arial"/>
          <w:sz w:val="22"/>
          <w:szCs w:val="22"/>
        </w:rPr>
        <w:t>31,040</w:t>
      </w:r>
      <w:r w:rsidR="00EF3708" w:rsidRPr="009F5AF4">
        <w:rPr>
          <w:rFonts w:ascii="Arial" w:hAnsi="Arial" w:cs="Arial"/>
          <w:sz w:val="22"/>
          <w:szCs w:val="22"/>
        </w:rPr>
        <w:t xml:space="preserve"> (</w:t>
      </w:r>
      <w:r w:rsidR="003052B6">
        <w:rPr>
          <w:rFonts w:ascii="Arial" w:hAnsi="Arial" w:cs="Arial"/>
          <w:sz w:val="22"/>
          <w:szCs w:val="22"/>
        </w:rPr>
        <w:t>6</w:t>
      </w:r>
      <w:r w:rsidR="00C81A85">
        <w:rPr>
          <w:rFonts w:ascii="Arial" w:hAnsi="Arial" w:cs="Arial"/>
          <w:sz w:val="22"/>
          <w:szCs w:val="22"/>
        </w:rPr>
        <w:t>4</w:t>
      </w:r>
      <w:r w:rsidR="003052B6">
        <w:rPr>
          <w:rFonts w:ascii="Arial" w:hAnsi="Arial" w:cs="Arial"/>
          <w:sz w:val="22"/>
          <w:szCs w:val="22"/>
        </w:rPr>
        <w:t xml:space="preserve"> </w:t>
      </w:r>
      <w:r w:rsidR="00EF3708" w:rsidRPr="009F5AF4">
        <w:rPr>
          <w:rFonts w:ascii="Arial" w:hAnsi="Arial" w:cs="Arial"/>
          <w:sz w:val="22"/>
          <w:szCs w:val="22"/>
        </w:rPr>
        <w:t xml:space="preserve">issues x </w:t>
      </w:r>
      <w:r w:rsidR="003052B6">
        <w:rPr>
          <w:rFonts w:ascii="Arial" w:hAnsi="Arial" w:cs="Arial"/>
          <w:sz w:val="22"/>
          <w:szCs w:val="22"/>
        </w:rPr>
        <w:t xml:space="preserve">49 </w:t>
      </w:r>
      <w:r w:rsidR="00EF3708" w:rsidRPr="009F5AF4">
        <w:rPr>
          <w:rFonts w:ascii="Arial" w:hAnsi="Arial" w:cs="Arial"/>
          <w:sz w:val="22"/>
          <w:szCs w:val="22"/>
        </w:rPr>
        <w:t>hours per issues x $</w:t>
      </w:r>
      <w:r w:rsidR="006F6F40">
        <w:rPr>
          <w:rFonts w:ascii="Arial" w:hAnsi="Arial" w:cs="Arial"/>
          <w:sz w:val="22"/>
          <w:szCs w:val="22"/>
        </w:rPr>
        <w:t>26</w:t>
      </w:r>
      <w:r w:rsidR="004A01A3">
        <w:rPr>
          <w:rFonts w:ascii="Arial" w:hAnsi="Arial" w:cs="Arial"/>
          <w:sz w:val="22"/>
          <w:szCs w:val="22"/>
        </w:rPr>
        <w:t>5</w:t>
      </w:r>
      <w:r w:rsidR="00EF3708" w:rsidRPr="009F5AF4">
        <w:rPr>
          <w:rFonts w:ascii="Arial" w:hAnsi="Arial" w:cs="Arial"/>
          <w:sz w:val="22"/>
          <w:szCs w:val="22"/>
        </w:rPr>
        <w:t>/hr).</w:t>
      </w:r>
    </w:p>
    <w:p w14:paraId="60BA353E" w14:textId="77777777" w:rsidR="00CA3CA2" w:rsidRDefault="00CA3CA2">
      <w:pPr>
        <w:widowControl/>
        <w:ind w:left="1440"/>
        <w:rPr>
          <w:rFonts w:ascii="Arial" w:hAnsi="Arial" w:cs="Arial"/>
          <w:sz w:val="22"/>
          <w:szCs w:val="22"/>
        </w:rPr>
      </w:pPr>
    </w:p>
    <w:p w14:paraId="716807EB" w14:textId="77777777" w:rsidR="00EF3708" w:rsidRPr="009F5AF4" w:rsidRDefault="00EF3708" w:rsidP="00EF3708">
      <w:pPr>
        <w:widowControl/>
        <w:tabs>
          <w:tab w:val="center" w:pos="4680"/>
        </w:tabs>
        <w:jc w:val="center"/>
        <w:rPr>
          <w:rFonts w:ascii="Arial" w:hAnsi="Arial" w:cs="Arial"/>
          <w:sz w:val="22"/>
          <w:szCs w:val="22"/>
          <w:u w:val="single"/>
        </w:rPr>
      </w:pPr>
      <w:r w:rsidRPr="009F5AF4">
        <w:rPr>
          <w:rFonts w:ascii="Arial" w:hAnsi="Arial" w:cs="Arial"/>
          <w:sz w:val="22"/>
          <w:szCs w:val="22"/>
          <w:u w:val="single"/>
        </w:rPr>
        <w:t>NRC Annual Burden Table</w:t>
      </w:r>
    </w:p>
    <w:p w14:paraId="3F04ADE5" w14:textId="77777777" w:rsidR="00EF3708" w:rsidRPr="009F5AF4" w:rsidRDefault="00EF3708" w:rsidP="00EF3708">
      <w:pPr>
        <w:widowControl/>
        <w:tabs>
          <w:tab w:val="center" w:pos="4680"/>
        </w:tabs>
        <w:rPr>
          <w:rFonts w:ascii="Arial" w:hAnsi="Arial" w:cs="Arial"/>
          <w:sz w:val="22"/>
          <w:szCs w:val="22"/>
        </w:rPr>
      </w:pP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2"/>
        <w:gridCol w:w="1420"/>
        <w:gridCol w:w="1378"/>
        <w:gridCol w:w="1640"/>
        <w:gridCol w:w="2110"/>
      </w:tblGrid>
      <w:tr w:rsidR="00EF3708" w:rsidRPr="009F5AF4" w14:paraId="68D1E5DC" w14:textId="77777777" w:rsidTr="00DB62B0">
        <w:tc>
          <w:tcPr>
            <w:tcW w:w="1412" w:type="dxa"/>
          </w:tcPr>
          <w:p w14:paraId="318FF6D8" w14:textId="77777777" w:rsidR="00EF3708" w:rsidRPr="009F5AF4" w:rsidRDefault="00EF3708" w:rsidP="00DB62B0">
            <w:pPr>
              <w:widowControl/>
              <w:jc w:val="center"/>
              <w:rPr>
                <w:rFonts w:ascii="Arial" w:hAnsi="Arial" w:cs="Arial"/>
                <w:sz w:val="22"/>
                <w:szCs w:val="22"/>
              </w:rPr>
            </w:pPr>
            <w:r w:rsidRPr="009F5AF4">
              <w:rPr>
                <w:rFonts w:ascii="Arial" w:hAnsi="Arial" w:cs="Arial"/>
                <w:sz w:val="22"/>
                <w:szCs w:val="22"/>
                <w:u w:val="single"/>
              </w:rPr>
              <w:t>Activity</w:t>
            </w:r>
          </w:p>
          <w:p w14:paraId="7AFD8F56" w14:textId="77777777" w:rsidR="00EF3708" w:rsidRPr="009F5AF4" w:rsidRDefault="00EF3708" w:rsidP="00DB62B0">
            <w:pPr>
              <w:widowControl/>
              <w:tabs>
                <w:tab w:val="left" w:pos="-1440"/>
              </w:tabs>
              <w:jc w:val="center"/>
              <w:rPr>
                <w:rFonts w:ascii="Arial" w:hAnsi="Arial" w:cs="Arial"/>
                <w:sz w:val="22"/>
                <w:szCs w:val="22"/>
              </w:rPr>
            </w:pPr>
          </w:p>
        </w:tc>
        <w:tc>
          <w:tcPr>
            <w:tcW w:w="1476" w:type="dxa"/>
          </w:tcPr>
          <w:p w14:paraId="6C70D265" w14:textId="77777777" w:rsidR="00EF3708" w:rsidRPr="009F5AF4" w:rsidRDefault="00EF3708" w:rsidP="00EF3708">
            <w:pPr>
              <w:widowControl/>
              <w:tabs>
                <w:tab w:val="left" w:pos="-1440"/>
              </w:tabs>
              <w:jc w:val="center"/>
              <w:rPr>
                <w:rFonts w:ascii="Arial" w:hAnsi="Arial" w:cs="Arial"/>
                <w:sz w:val="22"/>
                <w:szCs w:val="22"/>
                <w:u w:val="single"/>
              </w:rPr>
            </w:pPr>
            <w:r w:rsidRPr="009F5AF4">
              <w:rPr>
                <w:rFonts w:ascii="Arial" w:hAnsi="Arial" w:cs="Arial"/>
                <w:sz w:val="22"/>
                <w:szCs w:val="22"/>
                <w:u w:val="single"/>
              </w:rPr>
              <w:t>Distinct Issues per year</w:t>
            </w:r>
          </w:p>
        </w:tc>
        <w:tc>
          <w:tcPr>
            <w:tcW w:w="1378" w:type="dxa"/>
          </w:tcPr>
          <w:p w14:paraId="3F446C25" w14:textId="77777777" w:rsidR="00EF3708" w:rsidRPr="009F5AF4" w:rsidRDefault="00EF3708" w:rsidP="00DB62B0">
            <w:pPr>
              <w:widowControl/>
              <w:jc w:val="center"/>
              <w:rPr>
                <w:rFonts w:ascii="Arial" w:hAnsi="Arial" w:cs="Arial"/>
                <w:sz w:val="22"/>
                <w:szCs w:val="22"/>
                <w:u w:val="single"/>
              </w:rPr>
            </w:pPr>
            <w:r w:rsidRPr="009F5AF4">
              <w:rPr>
                <w:rFonts w:ascii="Arial" w:hAnsi="Arial" w:cs="Arial"/>
                <w:sz w:val="22"/>
                <w:szCs w:val="22"/>
                <w:u w:val="single"/>
              </w:rPr>
              <w:t>Effort</w:t>
            </w:r>
          </w:p>
          <w:p w14:paraId="3EF5A03B" w14:textId="77777777" w:rsidR="00EF3708" w:rsidRPr="009F5AF4" w:rsidRDefault="00EF3708" w:rsidP="00DB62B0">
            <w:pPr>
              <w:widowControl/>
              <w:jc w:val="center"/>
              <w:rPr>
                <w:rFonts w:ascii="Arial" w:hAnsi="Arial" w:cs="Arial"/>
                <w:sz w:val="22"/>
                <w:szCs w:val="22"/>
              </w:rPr>
            </w:pPr>
            <w:r w:rsidRPr="009F5AF4">
              <w:rPr>
                <w:rFonts w:ascii="Arial" w:hAnsi="Arial" w:cs="Arial"/>
                <w:sz w:val="22"/>
                <w:szCs w:val="22"/>
                <w:u w:val="single"/>
              </w:rPr>
              <w:t>(hour/issue)</w:t>
            </w:r>
          </w:p>
        </w:tc>
        <w:tc>
          <w:tcPr>
            <w:tcW w:w="1681" w:type="dxa"/>
          </w:tcPr>
          <w:p w14:paraId="7010DAA3" w14:textId="77777777" w:rsidR="00EF3708" w:rsidRPr="009F5AF4" w:rsidRDefault="00EF3708" w:rsidP="00DB62B0">
            <w:pPr>
              <w:widowControl/>
              <w:tabs>
                <w:tab w:val="left" w:pos="-1440"/>
              </w:tabs>
              <w:jc w:val="center"/>
              <w:rPr>
                <w:rFonts w:ascii="Arial" w:hAnsi="Arial" w:cs="Arial"/>
                <w:sz w:val="22"/>
                <w:szCs w:val="22"/>
                <w:u w:val="single"/>
              </w:rPr>
            </w:pPr>
            <w:r w:rsidRPr="009F5AF4">
              <w:rPr>
                <w:rFonts w:ascii="Arial" w:hAnsi="Arial" w:cs="Arial"/>
                <w:sz w:val="22"/>
                <w:szCs w:val="22"/>
                <w:u w:val="single"/>
              </w:rPr>
              <w:t>Total Burden</w:t>
            </w:r>
          </w:p>
          <w:p w14:paraId="51A08BEF" w14:textId="77777777" w:rsidR="00EF3708" w:rsidRPr="009F5AF4" w:rsidRDefault="00EF3708" w:rsidP="00DB62B0">
            <w:pPr>
              <w:widowControl/>
              <w:tabs>
                <w:tab w:val="left" w:pos="-1440"/>
              </w:tabs>
              <w:jc w:val="center"/>
              <w:rPr>
                <w:rFonts w:ascii="Arial" w:hAnsi="Arial" w:cs="Arial"/>
                <w:sz w:val="22"/>
                <w:szCs w:val="22"/>
              </w:rPr>
            </w:pPr>
            <w:r w:rsidRPr="009F5AF4">
              <w:rPr>
                <w:rFonts w:ascii="Arial" w:hAnsi="Arial" w:cs="Arial"/>
                <w:sz w:val="22"/>
                <w:szCs w:val="22"/>
                <w:u w:val="single"/>
              </w:rPr>
              <w:t>(hour/year)</w:t>
            </w:r>
          </w:p>
        </w:tc>
        <w:tc>
          <w:tcPr>
            <w:tcW w:w="2189" w:type="dxa"/>
          </w:tcPr>
          <w:p w14:paraId="17253F3F" w14:textId="77777777" w:rsidR="00EF3708" w:rsidRPr="009F5AF4" w:rsidRDefault="00EF3708" w:rsidP="00DB62B0">
            <w:pPr>
              <w:widowControl/>
              <w:tabs>
                <w:tab w:val="left" w:pos="-1440"/>
              </w:tabs>
              <w:jc w:val="center"/>
              <w:rPr>
                <w:rFonts w:ascii="Arial" w:hAnsi="Arial" w:cs="Arial"/>
                <w:sz w:val="22"/>
                <w:szCs w:val="22"/>
                <w:u w:val="single"/>
              </w:rPr>
            </w:pPr>
            <w:r w:rsidRPr="009F5AF4">
              <w:rPr>
                <w:rFonts w:ascii="Arial" w:hAnsi="Arial" w:cs="Arial"/>
                <w:sz w:val="22"/>
                <w:szCs w:val="22"/>
                <w:u w:val="single"/>
              </w:rPr>
              <w:t>Total Cost</w:t>
            </w:r>
          </w:p>
          <w:p w14:paraId="0AF80B30" w14:textId="24F6FA89" w:rsidR="00EF3708" w:rsidRPr="009F5AF4" w:rsidRDefault="00EF3708" w:rsidP="00C77BCA">
            <w:pPr>
              <w:widowControl/>
              <w:tabs>
                <w:tab w:val="left" w:pos="-1440"/>
              </w:tabs>
              <w:jc w:val="center"/>
              <w:rPr>
                <w:rFonts w:ascii="Arial" w:hAnsi="Arial" w:cs="Arial"/>
                <w:sz w:val="22"/>
                <w:szCs w:val="22"/>
              </w:rPr>
            </w:pPr>
            <w:r w:rsidRPr="009F5AF4">
              <w:rPr>
                <w:rFonts w:ascii="Arial" w:hAnsi="Arial" w:cs="Arial"/>
                <w:sz w:val="22"/>
                <w:szCs w:val="22"/>
                <w:u w:val="single"/>
              </w:rPr>
              <w:t>@$</w:t>
            </w:r>
            <w:r w:rsidR="006F6F40">
              <w:rPr>
                <w:rFonts w:ascii="Arial" w:hAnsi="Arial" w:cs="Arial"/>
                <w:sz w:val="22"/>
                <w:szCs w:val="22"/>
                <w:u w:val="single"/>
              </w:rPr>
              <w:t>26</w:t>
            </w:r>
            <w:r w:rsidR="00C77BCA">
              <w:rPr>
                <w:rFonts w:ascii="Arial" w:hAnsi="Arial" w:cs="Arial"/>
                <w:sz w:val="22"/>
                <w:szCs w:val="22"/>
                <w:u w:val="single"/>
              </w:rPr>
              <w:t>5</w:t>
            </w:r>
            <w:r w:rsidRPr="009F5AF4">
              <w:rPr>
                <w:rFonts w:ascii="Arial" w:hAnsi="Arial" w:cs="Arial"/>
                <w:sz w:val="22"/>
                <w:szCs w:val="22"/>
                <w:u w:val="single"/>
              </w:rPr>
              <w:t>/hour</w:t>
            </w:r>
          </w:p>
        </w:tc>
      </w:tr>
      <w:tr w:rsidR="00EF3708" w:rsidRPr="009F5AF4" w14:paraId="3EB1447F" w14:textId="77777777" w:rsidTr="00DB62B0">
        <w:tc>
          <w:tcPr>
            <w:tcW w:w="1412" w:type="dxa"/>
          </w:tcPr>
          <w:p w14:paraId="576C1651" w14:textId="77777777" w:rsidR="00EF3708" w:rsidRPr="009F5AF4" w:rsidRDefault="00EF3708" w:rsidP="00DB62B0">
            <w:pPr>
              <w:widowControl/>
              <w:tabs>
                <w:tab w:val="left" w:pos="-1440"/>
              </w:tabs>
              <w:jc w:val="center"/>
              <w:rPr>
                <w:rFonts w:ascii="Arial" w:hAnsi="Arial" w:cs="Arial"/>
                <w:sz w:val="22"/>
                <w:szCs w:val="22"/>
              </w:rPr>
            </w:pPr>
            <w:r w:rsidRPr="009F5AF4">
              <w:rPr>
                <w:rFonts w:ascii="Arial" w:hAnsi="Arial" w:cs="Arial"/>
                <w:sz w:val="22"/>
                <w:szCs w:val="22"/>
              </w:rPr>
              <w:t>Review</w:t>
            </w:r>
          </w:p>
          <w:p w14:paraId="68A102C1" w14:textId="77777777" w:rsidR="00EF3708" w:rsidRPr="009F5AF4" w:rsidRDefault="00EF3708" w:rsidP="00DB62B0">
            <w:pPr>
              <w:widowControl/>
              <w:tabs>
                <w:tab w:val="left" w:pos="-1440"/>
              </w:tabs>
              <w:jc w:val="center"/>
              <w:rPr>
                <w:rFonts w:ascii="Arial" w:hAnsi="Arial" w:cs="Arial"/>
                <w:sz w:val="22"/>
                <w:szCs w:val="22"/>
              </w:rPr>
            </w:pPr>
            <w:r w:rsidRPr="009F5AF4">
              <w:rPr>
                <w:rFonts w:ascii="Arial" w:hAnsi="Arial" w:cs="Arial"/>
                <w:sz w:val="22"/>
                <w:szCs w:val="22"/>
              </w:rPr>
              <w:t>10 CFR 21 issues</w:t>
            </w:r>
          </w:p>
        </w:tc>
        <w:tc>
          <w:tcPr>
            <w:tcW w:w="1476" w:type="dxa"/>
          </w:tcPr>
          <w:p w14:paraId="03F3A472" w14:textId="77777777" w:rsidR="00EF3708" w:rsidRPr="009F5AF4" w:rsidRDefault="00EF3708" w:rsidP="00DB62B0">
            <w:pPr>
              <w:widowControl/>
              <w:tabs>
                <w:tab w:val="left" w:pos="-1440"/>
              </w:tabs>
              <w:jc w:val="center"/>
              <w:rPr>
                <w:rFonts w:ascii="Arial" w:hAnsi="Arial" w:cs="Arial"/>
                <w:sz w:val="22"/>
                <w:szCs w:val="22"/>
              </w:rPr>
            </w:pPr>
          </w:p>
          <w:p w14:paraId="34F86655" w14:textId="6DE09070" w:rsidR="00EF3708" w:rsidRPr="009F5AF4" w:rsidRDefault="003052B6" w:rsidP="00EB2E15">
            <w:pPr>
              <w:widowControl/>
              <w:tabs>
                <w:tab w:val="left" w:pos="-1440"/>
              </w:tabs>
              <w:jc w:val="center"/>
              <w:rPr>
                <w:rFonts w:ascii="Arial" w:hAnsi="Arial" w:cs="Arial"/>
                <w:sz w:val="22"/>
                <w:szCs w:val="22"/>
                <w:u w:val="single"/>
              </w:rPr>
            </w:pPr>
            <w:r>
              <w:rPr>
                <w:rFonts w:ascii="Arial" w:hAnsi="Arial" w:cs="Arial"/>
                <w:sz w:val="22"/>
                <w:szCs w:val="22"/>
              </w:rPr>
              <w:t>6</w:t>
            </w:r>
            <w:r w:rsidR="00EB2E15">
              <w:rPr>
                <w:rFonts w:ascii="Arial" w:hAnsi="Arial" w:cs="Arial"/>
                <w:sz w:val="22"/>
                <w:szCs w:val="22"/>
              </w:rPr>
              <w:t>4</w:t>
            </w:r>
          </w:p>
        </w:tc>
        <w:tc>
          <w:tcPr>
            <w:tcW w:w="1378" w:type="dxa"/>
          </w:tcPr>
          <w:p w14:paraId="387A9835" w14:textId="77777777" w:rsidR="00EF3708" w:rsidRPr="009F5AF4" w:rsidRDefault="00EF3708" w:rsidP="00DB62B0">
            <w:pPr>
              <w:widowControl/>
              <w:jc w:val="center"/>
              <w:rPr>
                <w:rFonts w:ascii="Arial" w:hAnsi="Arial" w:cs="Arial"/>
                <w:sz w:val="22"/>
                <w:szCs w:val="22"/>
              </w:rPr>
            </w:pPr>
          </w:p>
          <w:p w14:paraId="522DEE1D" w14:textId="77777777" w:rsidR="00EF3708" w:rsidRPr="009F5AF4" w:rsidRDefault="003052B6" w:rsidP="003052B6">
            <w:pPr>
              <w:widowControl/>
              <w:jc w:val="center"/>
              <w:rPr>
                <w:rFonts w:ascii="Arial" w:hAnsi="Arial" w:cs="Arial"/>
                <w:sz w:val="22"/>
                <w:szCs w:val="22"/>
              </w:rPr>
            </w:pPr>
            <w:r>
              <w:rPr>
                <w:rFonts w:ascii="Arial" w:hAnsi="Arial" w:cs="Arial"/>
                <w:sz w:val="22"/>
                <w:szCs w:val="22"/>
              </w:rPr>
              <w:t>49</w:t>
            </w:r>
          </w:p>
        </w:tc>
        <w:tc>
          <w:tcPr>
            <w:tcW w:w="1681" w:type="dxa"/>
          </w:tcPr>
          <w:p w14:paraId="4714A59A" w14:textId="77777777" w:rsidR="00EF3708" w:rsidRPr="009F5AF4" w:rsidRDefault="00EF3708" w:rsidP="00DB62B0">
            <w:pPr>
              <w:widowControl/>
              <w:tabs>
                <w:tab w:val="left" w:pos="-1440"/>
              </w:tabs>
              <w:jc w:val="center"/>
              <w:rPr>
                <w:rFonts w:ascii="Arial" w:hAnsi="Arial" w:cs="Arial"/>
                <w:sz w:val="22"/>
                <w:szCs w:val="22"/>
              </w:rPr>
            </w:pPr>
          </w:p>
          <w:p w14:paraId="7E21E154" w14:textId="260BB28C" w:rsidR="00EF3708" w:rsidRPr="009F5AF4" w:rsidRDefault="003052B6" w:rsidP="00403381">
            <w:pPr>
              <w:widowControl/>
              <w:tabs>
                <w:tab w:val="left" w:pos="-1440"/>
              </w:tabs>
              <w:jc w:val="center"/>
              <w:rPr>
                <w:rFonts w:ascii="Arial" w:hAnsi="Arial" w:cs="Arial"/>
                <w:sz w:val="22"/>
                <w:szCs w:val="22"/>
              </w:rPr>
            </w:pPr>
            <w:r>
              <w:rPr>
                <w:rFonts w:ascii="Arial" w:hAnsi="Arial" w:cs="Arial"/>
                <w:sz w:val="22"/>
                <w:szCs w:val="22"/>
              </w:rPr>
              <w:t>3</w:t>
            </w:r>
            <w:r w:rsidR="00920D94">
              <w:rPr>
                <w:rFonts w:ascii="Arial" w:hAnsi="Arial" w:cs="Arial"/>
                <w:sz w:val="22"/>
                <w:szCs w:val="22"/>
              </w:rPr>
              <w:t>,</w:t>
            </w:r>
            <w:r w:rsidR="00403381">
              <w:rPr>
                <w:rFonts w:ascii="Arial" w:hAnsi="Arial" w:cs="Arial"/>
                <w:sz w:val="22"/>
                <w:szCs w:val="22"/>
              </w:rPr>
              <w:t>136</w:t>
            </w:r>
          </w:p>
        </w:tc>
        <w:tc>
          <w:tcPr>
            <w:tcW w:w="2189" w:type="dxa"/>
          </w:tcPr>
          <w:p w14:paraId="74CE524B" w14:textId="77777777" w:rsidR="00EF3708" w:rsidRPr="009F5AF4" w:rsidRDefault="00EF3708" w:rsidP="00DB62B0">
            <w:pPr>
              <w:widowControl/>
              <w:tabs>
                <w:tab w:val="left" w:pos="-1440"/>
              </w:tabs>
              <w:jc w:val="center"/>
              <w:rPr>
                <w:rFonts w:ascii="Arial" w:hAnsi="Arial" w:cs="Arial"/>
                <w:sz w:val="22"/>
                <w:szCs w:val="22"/>
              </w:rPr>
            </w:pPr>
          </w:p>
          <w:p w14:paraId="2A37EDF9" w14:textId="31D5E0B7" w:rsidR="00EF3708" w:rsidRPr="009F5AF4" w:rsidRDefault="003052B6" w:rsidP="00EB2E15">
            <w:pPr>
              <w:widowControl/>
              <w:tabs>
                <w:tab w:val="left" w:pos="-1440"/>
              </w:tabs>
              <w:jc w:val="center"/>
              <w:rPr>
                <w:rFonts w:ascii="Arial" w:hAnsi="Arial" w:cs="Arial"/>
                <w:sz w:val="22"/>
                <w:szCs w:val="22"/>
              </w:rPr>
            </w:pPr>
            <w:r>
              <w:rPr>
                <w:rFonts w:ascii="Arial" w:hAnsi="Arial" w:cs="Arial"/>
                <w:sz w:val="22"/>
                <w:szCs w:val="22"/>
              </w:rPr>
              <w:t>$8</w:t>
            </w:r>
            <w:r w:rsidR="00EB2E15">
              <w:rPr>
                <w:rFonts w:ascii="Arial" w:hAnsi="Arial" w:cs="Arial"/>
                <w:sz w:val="22"/>
                <w:szCs w:val="22"/>
              </w:rPr>
              <w:t>31</w:t>
            </w:r>
            <w:r w:rsidR="00C77BCA">
              <w:rPr>
                <w:rFonts w:ascii="Arial" w:hAnsi="Arial" w:cs="Arial"/>
                <w:sz w:val="22"/>
                <w:szCs w:val="22"/>
              </w:rPr>
              <w:t>,0</w:t>
            </w:r>
            <w:r w:rsidR="00EB2E15">
              <w:rPr>
                <w:rFonts w:ascii="Arial" w:hAnsi="Arial" w:cs="Arial"/>
                <w:sz w:val="22"/>
                <w:szCs w:val="22"/>
              </w:rPr>
              <w:t>40</w:t>
            </w:r>
          </w:p>
        </w:tc>
      </w:tr>
    </w:tbl>
    <w:p w14:paraId="319D8A37" w14:textId="77777777" w:rsidR="00EF3708" w:rsidRPr="009F5AF4" w:rsidRDefault="00EF3708" w:rsidP="00EF3708">
      <w:pPr>
        <w:widowControl/>
        <w:rPr>
          <w:rFonts w:ascii="Arial" w:hAnsi="Arial" w:cs="Arial"/>
          <w:sz w:val="22"/>
          <w:szCs w:val="22"/>
        </w:rPr>
      </w:pPr>
    </w:p>
    <w:p w14:paraId="03CC1DCD" w14:textId="77777777" w:rsidR="00A879F3" w:rsidRPr="009F5AF4" w:rsidRDefault="00FA6F55">
      <w:pPr>
        <w:widowControl/>
        <w:ind w:left="1440"/>
        <w:rPr>
          <w:rFonts w:ascii="Arial" w:hAnsi="Arial" w:cs="Arial"/>
          <w:sz w:val="22"/>
          <w:szCs w:val="22"/>
        </w:rPr>
      </w:pPr>
      <w:r w:rsidRPr="009F5AF4">
        <w:rPr>
          <w:rFonts w:ascii="Arial" w:hAnsi="Arial" w:cs="Arial"/>
          <w:sz w:val="22"/>
          <w:szCs w:val="22"/>
        </w:rPr>
        <w:t xml:space="preserve">During the period </w:t>
      </w:r>
      <w:r w:rsidR="007F1D9F" w:rsidRPr="009F5AF4">
        <w:rPr>
          <w:rFonts w:ascii="Arial" w:hAnsi="Arial" w:cs="Arial"/>
          <w:sz w:val="22"/>
          <w:szCs w:val="22"/>
        </w:rPr>
        <w:t>201</w:t>
      </w:r>
      <w:r w:rsidR="007F1D9F">
        <w:rPr>
          <w:rFonts w:ascii="Arial" w:hAnsi="Arial" w:cs="Arial"/>
          <w:sz w:val="22"/>
          <w:szCs w:val="22"/>
        </w:rPr>
        <w:t>3</w:t>
      </w:r>
      <w:r w:rsidR="003F1EF4" w:rsidRPr="009F5AF4">
        <w:rPr>
          <w:rFonts w:ascii="Arial" w:hAnsi="Arial" w:cs="Arial"/>
          <w:sz w:val="22"/>
          <w:szCs w:val="22"/>
        </w:rPr>
        <w:t>-</w:t>
      </w:r>
      <w:r w:rsidR="007F1D9F" w:rsidRPr="009F5AF4">
        <w:rPr>
          <w:rFonts w:ascii="Arial" w:hAnsi="Arial" w:cs="Arial"/>
          <w:sz w:val="22"/>
          <w:szCs w:val="22"/>
        </w:rPr>
        <w:t>201</w:t>
      </w:r>
      <w:r w:rsidR="007F1D9F">
        <w:rPr>
          <w:rFonts w:ascii="Arial" w:hAnsi="Arial" w:cs="Arial"/>
          <w:sz w:val="22"/>
          <w:szCs w:val="22"/>
        </w:rPr>
        <w:t>5</w:t>
      </w:r>
      <w:r w:rsidR="00A879F3" w:rsidRPr="009F5AF4">
        <w:rPr>
          <w:rFonts w:ascii="Arial" w:hAnsi="Arial" w:cs="Arial"/>
          <w:sz w:val="22"/>
          <w:szCs w:val="22"/>
        </w:rPr>
        <w:t xml:space="preserve">, </w:t>
      </w:r>
      <w:r w:rsidR="003052B6">
        <w:rPr>
          <w:rFonts w:ascii="Arial" w:hAnsi="Arial" w:cs="Arial"/>
          <w:sz w:val="22"/>
          <w:szCs w:val="22"/>
        </w:rPr>
        <w:t>no</w:t>
      </w:r>
      <w:r w:rsidR="007F1D9F" w:rsidRPr="009F5AF4">
        <w:rPr>
          <w:rFonts w:ascii="Arial" w:hAnsi="Arial" w:cs="Arial"/>
          <w:sz w:val="22"/>
          <w:szCs w:val="22"/>
        </w:rPr>
        <w:t xml:space="preserve"> </w:t>
      </w:r>
      <w:r w:rsidR="00BF2963" w:rsidRPr="009F5AF4">
        <w:rPr>
          <w:rFonts w:ascii="Arial" w:hAnsi="Arial" w:cs="Arial"/>
          <w:sz w:val="22"/>
          <w:szCs w:val="22"/>
        </w:rPr>
        <w:t>exemption requests were received.</w:t>
      </w:r>
      <w:r w:rsidR="00A879F3" w:rsidRPr="009F5AF4">
        <w:rPr>
          <w:rFonts w:ascii="Arial" w:hAnsi="Arial" w:cs="Arial"/>
          <w:sz w:val="22"/>
          <w:szCs w:val="22"/>
        </w:rPr>
        <w:t xml:space="preserve">  No applications purs</w:t>
      </w:r>
      <w:r w:rsidR="00B771DB" w:rsidRPr="009F5AF4">
        <w:rPr>
          <w:rFonts w:ascii="Arial" w:hAnsi="Arial" w:cs="Arial"/>
          <w:sz w:val="22"/>
          <w:szCs w:val="22"/>
        </w:rPr>
        <w:t xml:space="preserve">uant to 10 CFR 21.7, </w:t>
      </w:r>
      <w:r w:rsidR="00FC4275" w:rsidRPr="009F5AF4">
        <w:rPr>
          <w:rFonts w:ascii="Arial" w:hAnsi="Arial" w:cs="Arial"/>
          <w:sz w:val="22"/>
          <w:szCs w:val="22"/>
        </w:rPr>
        <w:t>“</w:t>
      </w:r>
      <w:r w:rsidR="00B771DB" w:rsidRPr="009F5AF4">
        <w:rPr>
          <w:rFonts w:ascii="Arial" w:hAnsi="Arial" w:cs="Arial"/>
          <w:sz w:val="22"/>
          <w:szCs w:val="22"/>
        </w:rPr>
        <w:t>Exemptions</w:t>
      </w:r>
      <w:r w:rsidR="00FC4275" w:rsidRPr="009F5AF4">
        <w:rPr>
          <w:rFonts w:ascii="Arial" w:hAnsi="Arial" w:cs="Arial"/>
          <w:sz w:val="22"/>
          <w:szCs w:val="22"/>
        </w:rPr>
        <w:t xml:space="preserve">” are </w:t>
      </w:r>
      <w:r w:rsidR="00A879F3" w:rsidRPr="009F5AF4">
        <w:rPr>
          <w:rFonts w:ascii="Arial" w:hAnsi="Arial" w:cs="Arial"/>
          <w:sz w:val="22"/>
          <w:szCs w:val="22"/>
        </w:rPr>
        <w:t>anticipated</w:t>
      </w:r>
      <w:r w:rsidR="00BF2963" w:rsidRPr="009F5AF4">
        <w:rPr>
          <w:rFonts w:ascii="Arial" w:hAnsi="Arial" w:cs="Arial"/>
          <w:sz w:val="22"/>
          <w:szCs w:val="22"/>
        </w:rPr>
        <w:t xml:space="preserve"> in the upcoming clearance period</w:t>
      </w:r>
      <w:r w:rsidR="00A879F3" w:rsidRPr="009F5AF4">
        <w:rPr>
          <w:rFonts w:ascii="Arial" w:hAnsi="Arial" w:cs="Arial"/>
          <w:sz w:val="22"/>
          <w:szCs w:val="22"/>
        </w:rPr>
        <w:t xml:space="preserve">; </w:t>
      </w:r>
      <w:r w:rsidR="00BF2963" w:rsidRPr="009F5AF4">
        <w:rPr>
          <w:rFonts w:ascii="Arial" w:hAnsi="Arial" w:cs="Arial"/>
          <w:sz w:val="22"/>
          <w:szCs w:val="22"/>
        </w:rPr>
        <w:t>therefore</w:t>
      </w:r>
      <w:r w:rsidR="00A879F3" w:rsidRPr="009F5AF4">
        <w:rPr>
          <w:rFonts w:ascii="Arial" w:hAnsi="Arial" w:cs="Arial"/>
          <w:sz w:val="22"/>
          <w:szCs w:val="22"/>
        </w:rPr>
        <w:t>, no burden is estimated</w:t>
      </w:r>
      <w:r w:rsidR="00BF2963" w:rsidRPr="009F5AF4">
        <w:rPr>
          <w:rFonts w:ascii="Arial" w:hAnsi="Arial" w:cs="Arial"/>
          <w:sz w:val="22"/>
          <w:szCs w:val="22"/>
        </w:rPr>
        <w:t xml:space="preserve"> for this requirement.</w:t>
      </w:r>
    </w:p>
    <w:p w14:paraId="489FEF54" w14:textId="77777777" w:rsidR="00A879F3" w:rsidRPr="009F5AF4" w:rsidRDefault="00A879F3">
      <w:pPr>
        <w:widowControl/>
        <w:rPr>
          <w:rFonts w:ascii="Arial" w:hAnsi="Arial" w:cs="Arial"/>
          <w:sz w:val="22"/>
          <w:szCs w:val="22"/>
        </w:rPr>
      </w:pPr>
    </w:p>
    <w:p w14:paraId="3AAD49A6" w14:textId="77777777" w:rsidR="00A879F3" w:rsidRPr="009F5AF4" w:rsidRDefault="00A879F3">
      <w:pPr>
        <w:widowControl/>
        <w:ind w:left="1440"/>
        <w:rPr>
          <w:rFonts w:ascii="Arial" w:hAnsi="Arial" w:cs="Arial"/>
          <w:sz w:val="22"/>
          <w:szCs w:val="22"/>
        </w:rPr>
      </w:pPr>
      <w:r w:rsidRPr="009F5AF4">
        <w:rPr>
          <w:rFonts w:ascii="Arial" w:hAnsi="Arial" w:cs="Arial"/>
          <w:sz w:val="22"/>
          <w:szCs w:val="22"/>
        </w:rPr>
        <w:t>The estimated cost per burden hour is based upon NRC</w:t>
      </w:r>
      <w:r w:rsidR="00F94FB0" w:rsidRPr="009F5AF4">
        <w:rPr>
          <w:rFonts w:ascii="Arial" w:hAnsi="Arial" w:cs="Arial"/>
          <w:sz w:val="22"/>
          <w:szCs w:val="22"/>
        </w:rPr>
        <w:t>’</w:t>
      </w:r>
      <w:r w:rsidRPr="009F5AF4">
        <w:rPr>
          <w:rFonts w:ascii="Arial" w:hAnsi="Arial" w:cs="Arial"/>
          <w:sz w:val="22"/>
          <w:szCs w:val="22"/>
        </w:rPr>
        <w:t>s annual fee recovery rate, as published in NRC</w:t>
      </w:r>
      <w:r w:rsidR="00F94FB0" w:rsidRPr="009F5AF4">
        <w:rPr>
          <w:rFonts w:ascii="Arial" w:hAnsi="Arial" w:cs="Arial"/>
          <w:sz w:val="22"/>
          <w:szCs w:val="22"/>
        </w:rPr>
        <w:t>’</w:t>
      </w:r>
      <w:r w:rsidRPr="009F5AF4">
        <w:rPr>
          <w:rFonts w:ascii="Arial" w:hAnsi="Arial" w:cs="Arial"/>
          <w:sz w:val="22"/>
          <w:szCs w:val="22"/>
        </w:rPr>
        <w:t>s annual fee recovery rule.  Where applicable, this cost is fully recovered by fee assessments to NRC licensees pursuant to 10 CFR 170. Licensees that are non-profit education institutions or Government agencies are exempt from fee recovery under 10 CFR 170.11.</w:t>
      </w:r>
    </w:p>
    <w:p w14:paraId="24EF40DE" w14:textId="77777777" w:rsidR="00A879F3" w:rsidRPr="009F5AF4" w:rsidRDefault="00A879F3">
      <w:pPr>
        <w:widowControl/>
        <w:rPr>
          <w:rFonts w:ascii="Arial" w:hAnsi="Arial" w:cs="Arial"/>
          <w:sz w:val="22"/>
          <w:szCs w:val="22"/>
        </w:rPr>
      </w:pPr>
    </w:p>
    <w:p w14:paraId="09985D24" w14:textId="77777777" w:rsidR="00332EB9" w:rsidRPr="009F5AF4" w:rsidRDefault="00A879F3" w:rsidP="00AE3418">
      <w:pPr>
        <w:widowControl/>
        <w:tabs>
          <w:tab w:val="left" w:pos="-1440"/>
        </w:tabs>
        <w:ind w:left="1440" w:hanging="720"/>
        <w:rPr>
          <w:rFonts w:ascii="Arial" w:hAnsi="Arial" w:cs="Arial"/>
          <w:sz w:val="22"/>
          <w:szCs w:val="22"/>
        </w:rPr>
      </w:pPr>
      <w:r w:rsidRPr="009F5AF4">
        <w:rPr>
          <w:rFonts w:ascii="Arial" w:hAnsi="Arial" w:cs="Arial"/>
          <w:sz w:val="22"/>
          <w:szCs w:val="22"/>
        </w:rPr>
        <w:t>15.</w:t>
      </w:r>
      <w:r w:rsidRPr="009F5AF4">
        <w:rPr>
          <w:rFonts w:ascii="Arial" w:hAnsi="Arial" w:cs="Arial"/>
          <w:sz w:val="22"/>
          <w:szCs w:val="22"/>
        </w:rPr>
        <w:tab/>
      </w:r>
      <w:r w:rsidRPr="009F5AF4">
        <w:rPr>
          <w:rFonts w:ascii="Arial" w:hAnsi="Arial" w:cs="Arial"/>
          <w:sz w:val="22"/>
          <w:szCs w:val="22"/>
          <w:u w:val="single"/>
        </w:rPr>
        <w:t>Reasons for Changes in Burden or Cost</w:t>
      </w:r>
    </w:p>
    <w:p w14:paraId="3539F569" w14:textId="77777777" w:rsidR="00AF525D" w:rsidRPr="00756626" w:rsidRDefault="00AF525D" w:rsidP="00AF525D">
      <w:pPr>
        <w:rPr>
          <w:rFonts w:ascii="Arial" w:hAnsi="Arial" w:cs="Arial"/>
        </w:rPr>
      </w:pPr>
    </w:p>
    <w:p w14:paraId="0B8893FD" w14:textId="1C34F39E" w:rsidR="000539CC" w:rsidRDefault="00A879F3">
      <w:pPr>
        <w:widowControl/>
        <w:ind w:left="1440"/>
        <w:rPr>
          <w:rFonts w:ascii="Arial" w:hAnsi="Arial" w:cs="Arial"/>
          <w:sz w:val="22"/>
          <w:szCs w:val="22"/>
        </w:rPr>
      </w:pPr>
      <w:r w:rsidRPr="009F5AF4">
        <w:rPr>
          <w:rFonts w:ascii="Arial" w:hAnsi="Arial" w:cs="Arial"/>
          <w:sz w:val="22"/>
          <w:szCs w:val="22"/>
        </w:rPr>
        <w:t>The estimated burden i</w:t>
      </w:r>
      <w:r w:rsidR="00FB3DBC" w:rsidRPr="009F5AF4">
        <w:rPr>
          <w:rFonts w:ascii="Arial" w:hAnsi="Arial" w:cs="Arial"/>
          <w:sz w:val="22"/>
          <w:szCs w:val="22"/>
        </w:rPr>
        <w:t xml:space="preserve">ncreased by </w:t>
      </w:r>
      <w:r w:rsidR="00A710B6">
        <w:rPr>
          <w:rFonts w:ascii="Arial" w:hAnsi="Arial" w:cs="Arial"/>
          <w:sz w:val="22"/>
          <w:szCs w:val="22"/>
        </w:rPr>
        <w:t>8,</w:t>
      </w:r>
      <w:r w:rsidR="00604323">
        <w:rPr>
          <w:rFonts w:ascii="Arial" w:hAnsi="Arial" w:cs="Arial"/>
          <w:sz w:val="22"/>
          <w:szCs w:val="22"/>
        </w:rPr>
        <w:t>860</w:t>
      </w:r>
      <w:r w:rsidR="00FB3DBC" w:rsidRPr="009F5AF4">
        <w:rPr>
          <w:rFonts w:ascii="Arial" w:hAnsi="Arial" w:cs="Arial"/>
          <w:sz w:val="22"/>
          <w:szCs w:val="22"/>
        </w:rPr>
        <w:t xml:space="preserve"> hours from </w:t>
      </w:r>
      <w:r w:rsidR="00A710B6">
        <w:rPr>
          <w:rFonts w:ascii="Arial" w:hAnsi="Arial" w:cs="Arial"/>
          <w:sz w:val="22"/>
          <w:szCs w:val="22"/>
        </w:rPr>
        <w:t>34,705</w:t>
      </w:r>
      <w:r w:rsidR="00FB3DBC" w:rsidRPr="009F5AF4">
        <w:rPr>
          <w:rFonts w:ascii="Arial" w:hAnsi="Arial" w:cs="Arial"/>
          <w:sz w:val="22"/>
          <w:szCs w:val="22"/>
        </w:rPr>
        <w:t xml:space="preserve"> hours</w:t>
      </w:r>
      <w:r w:rsidR="00FA24D8">
        <w:rPr>
          <w:rFonts w:ascii="Arial" w:hAnsi="Arial" w:cs="Arial"/>
          <w:sz w:val="22"/>
          <w:szCs w:val="22"/>
        </w:rPr>
        <w:t xml:space="preserve"> (9,420 hours  reporting + 25,190 hours recordkeeping + 95 hours third-party disclosure)</w:t>
      </w:r>
      <w:r w:rsidR="00FB3DBC" w:rsidRPr="009F5AF4">
        <w:rPr>
          <w:rFonts w:ascii="Arial" w:hAnsi="Arial" w:cs="Arial"/>
          <w:sz w:val="22"/>
          <w:szCs w:val="22"/>
        </w:rPr>
        <w:t xml:space="preserve"> </w:t>
      </w:r>
      <w:r w:rsidR="00EF3708" w:rsidRPr="009F5AF4">
        <w:rPr>
          <w:rFonts w:ascii="Arial" w:hAnsi="Arial" w:cs="Arial"/>
          <w:sz w:val="22"/>
          <w:szCs w:val="22"/>
        </w:rPr>
        <w:t xml:space="preserve">to </w:t>
      </w:r>
      <w:r w:rsidR="00635817">
        <w:rPr>
          <w:rFonts w:ascii="Arial" w:hAnsi="Arial" w:cs="Arial"/>
          <w:sz w:val="22"/>
          <w:szCs w:val="22"/>
        </w:rPr>
        <w:t>43,56</w:t>
      </w:r>
      <w:r w:rsidR="00A710B6">
        <w:rPr>
          <w:rFonts w:ascii="Arial" w:hAnsi="Arial" w:cs="Arial"/>
          <w:sz w:val="22"/>
          <w:szCs w:val="22"/>
        </w:rPr>
        <w:t>5</w:t>
      </w:r>
      <w:r w:rsidR="00EF3708" w:rsidRPr="009F5AF4">
        <w:rPr>
          <w:rFonts w:ascii="Arial" w:hAnsi="Arial" w:cs="Arial"/>
          <w:sz w:val="22"/>
          <w:szCs w:val="22"/>
        </w:rPr>
        <w:t xml:space="preserve"> hours</w:t>
      </w:r>
      <w:r w:rsidR="00FA24D8">
        <w:rPr>
          <w:rFonts w:ascii="Arial" w:hAnsi="Arial" w:cs="Arial"/>
          <w:sz w:val="22"/>
          <w:szCs w:val="22"/>
        </w:rPr>
        <w:t xml:space="preserve"> (18,023 hours reporting + 25,257 hours recordkeeping + 285 hours third-party disclosure)</w:t>
      </w:r>
      <w:r w:rsidR="007A0335">
        <w:rPr>
          <w:rFonts w:ascii="Arial" w:hAnsi="Arial" w:cs="Arial"/>
          <w:sz w:val="22"/>
          <w:szCs w:val="22"/>
        </w:rPr>
        <w:t xml:space="preserve">. </w:t>
      </w:r>
      <w:r w:rsidR="004D1C95" w:rsidRPr="009F5AF4">
        <w:rPr>
          <w:rFonts w:ascii="Arial" w:hAnsi="Arial" w:cs="Arial"/>
          <w:sz w:val="22"/>
          <w:szCs w:val="22"/>
        </w:rPr>
        <w:t xml:space="preserve">This increase in the estimate is </w:t>
      </w:r>
      <w:r w:rsidRPr="009F5AF4">
        <w:rPr>
          <w:rFonts w:ascii="Arial" w:hAnsi="Arial" w:cs="Arial"/>
          <w:sz w:val="22"/>
          <w:szCs w:val="22"/>
        </w:rPr>
        <w:t xml:space="preserve">based on </w:t>
      </w:r>
      <w:r w:rsidR="00F673D4">
        <w:rPr>
          <w:rFonts w:ascii="Arial" w:hAnsi="Arial" w:cs="Arial"/>
          <w:sz w:val="22"/>
          <w:szCs w:val="22"/>
        </w:rPr>
        <w:t xml:space="preserve">an increase </w:t>
      </w:r>
      <w:r w:rsidRPr="009F5AF4">
        <w:rPr>
          <w:rFonts w:ascii="Arial" w:hAnsi="Arial" w:cs="Arial"/>
          <w:sz w:val="22"/>
          <w:szCs w:val="22"/>
        </w:rPr>
        <w:t>actual number of reports received d</w:t>
      </w:r>
      <w:r w:rsidR="00FB3DBC" w:rsidRPr="009F5AF4">
        <w:rPr>
          <w:rFonts w:ascii="Arial" w:hAnsi="Arial" w:cs="Arial"/>
          <w:sz w:val="22"/>
          <w:szCs w:val="22"/>
        </w:rPr>
        <w:t>uring the past three years (</w:t>
      </w:r>
      <w:r w:rsidR="007F1D9F">
        <w:rPr>
          <w:rFonts w:ascii="Arial" w:hAnsi="Arial" w:cs="Arial"/>
          <w:sz w:val="22"/>
          <w:szCs w:val="22"/>
        </w:rPr>
        <w:t>2013</w:t>
      </w:r>
      <w:r w:rsidR="00160015">
        <w:rPr>
          <w:rFonts w:ascii="Arial" w:hAnsi="Arial" w:cs="Arial"/>
          <w:sz w:val="22"/>
          <w:szCs w:val="22"/>
        </w:rPr>
        <w:t>-</w:t>
      </w:r>
      <w:r w:rsidR="007F1D9F">
        <w:rPr>
          <w:rFonts w:ascii="Arial" w:hAnsi="Arial" w:cs="Arial"/>
          <w:sz w:val="22"/>
          <w:szCs w:val="22"/>
        </w:rPr>
        <w:t>201</w:t>
      </w:r>
      <w:r w:rsidR="00A710B6">
        <w:rPr>
          <w:rFonts w:ascii="Arial" w:hAnsi="Arial" w:cs="Arial"/>
          <w:sz w:val="22"/>
          <w:szCs w:val="22"/>
        </w:rPr>
        <w:t>5</w:t>
      </w:r>
      <w:r w:rsidR="00160015">
        <w:rPr>
          <w:rFonts w:ascii="Arial" w:hAnsi="Arial" w:cs="Arial"/>
          <w:sz w:val="22"/>
          <w:szCs w:val="22"/>
        </w:rPr>
        <w:t>)</w:t>
      </w:r>
      <w:r w:rsidR="00F17415">
        <w:rPr>
          <w:rFonts w:ascii="Arial" w:hAnsi="Arial" w:cs="Arial"/>
          <w:sz w:val="22"/>
          <w:szCs w:val="22"/>
        </w:rPr>
        <w:t xml:space="preserve">.  The increase is due to new </w:t>
      </w:r>
      <w:r w:rsidR="00971B06">
        <w:rPr>
          <w:rFonts w:ascii="Arial" w:hAnsi="Arial" w:cs="Arial"/>
          <w:sz w:val="22"/>
          <w:szCs w:val="22"/>
        </w:rPr>
        <w:t xml:space="preserve">reactor </w:t>
      </w:r>
      <w:r w:rsidR="00F17415">
        <w:rPr>
          <w:rFonts w:ascii="Arial" w:hAnsi="Arial" w:cs="Arial"/>
          <w:sz w:val="22"/>
          <w:szCs w:val="22"/>
        </w:rPr>
        <w:t>construction activities.</w:t>
      </w:r>
      <w:r w:rsidR="000539CC">
        <w:rPr>
          <w:rFonts w:ascii="Arial" w:hAnsi="Arial" w:cs="Arial"/>
          <w:sz w:val="22"/>
          <w:szCs w:val="22"/>
        </w:rPr>
        <w:t xml:space="preserve"> The NRC staff e</w:t>
      </w:r>
      <w:r w:rsidR="00D63292">
        <w:rPr>
          <w:rFonts w:ascii="Arial" w:hAnsi="Arial" w:cs="Arial"/>
          <w:sz w:val="22"/>
          <w:szCs w:val="22"/>
        </w:rPr>
        <w:t>s</w:t>
      </w:r>
      <w:bookmarkStart w:id="11" w:name="_GoBack"/>
      <w:bookmarkEnd w:id="11"/>
      <w:r w:rsidR="000539CC">
        <w:rPr>
          <w:rFonts w:ascii="Arial" w:hAnsi="Arial" w:cs="Arial"/>
          <w:sz w:val="22"/>
          <w:szCs w:val="22"/>
        </w:rPr>
        <w:t>timates that we will continue to receive similar numbers of reports in the next three years.</w:t>
      </w:r>
    </w:p>
    <w:p w14:paraId="11A21865" w14:textId="77777777" w:rsidR="000539CC" w:rsidRDefault="000539CC" w:rsidP="00160015">
      <w:pPr>
        <w:widowControl/>
        <w:ind w:left="1440"/>
        <w:rPr>
          <w:rFonts w:ascii="Arial" w:hAnsi="Arial" w:cs="Arial"/>
          <w:sz w:val="22"/>
          <w:szCs w:val="22"/>
        </w:rPr>
      </w:pPr>
    </w:p>
    <w:p w14:paraId="4C8480D3" w14:textId="77777777" w:rsidR="002E2E3A" w:rsidRPr="002E2E3A" w:rsidRDefault="002E2E3A">
      <w:pPr>
        <w:widowControl/>
        <w:ind w:left="1440"/>
        <w:rPr>
          <w:rFonts w:ascii="Arial" w:hAnsi="Arial" w:cs="Arial"/>
          <w:bCs/>
          <w:color w:val="000000"/>
          <w:sz w:val="22"/>
          <w:szCs w:val="22"/>
        </w:rPr>
      </w:pPr>
    </w:p>
    <w:tbl>
      <w:tblPr>
        <w:tblW w:w="9880" w:type="dxa"/>
        <w:tblInd w:w="93" w:type="dxa"/>
        <w:tblLook w:val="04A0" w:firstRow="1" w:lastRow="0" w:firstColumn="1" w:lastColumn="0" w:noHBand="0" w:noVBand="1"/>
      </w:tblPr>
      <w:tblGrid>
        <w:gridCol w:w="2920"/>
        <w:gridCol w:w="1720"/>
        <w:gridCol w:w="1806"/>
        <w:gridCol w:w="1720"/>
        <w:gridCol w:w="1714"/>
      </w:tblGrid>
      <w:tr w:rsidR="002E2E3A" w:rsidRPr="002E2E3A" w14:paraId="7DFB44C6" w14:textId="77777777" w:rsidTr="002E2E3A">
        <w:trPr>
          <w:trHeight w:val="300"/>
        </w:trPr>
        <w:tc>
          <w:tcPr>
            <w:tcW w:w="98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F0EE6" w14:textId="77777777" w:rsidR="002E2E3A" w:rsidRPr="002E2E3A" w:rsidRDefault="002E2E3A" w:rsidP="002E2E3A">
            <w:pPr>
              <w:widowControl/>
              <w:autoSpaceDE/>
              <w:autoSpaceDN/>
              <w:adjustRightInd/>
              <w:jc w:val="center"/>
              <w:rPr>
                <w:rFonts w:ascii="Arial" w:hAnsi="Arial" w:cs="Arial"/>
                <w:b/>
                <w:bCs/>
                <w:color w:val="000000"/>
                <w:sz w:val="22"/>
                <w:szCs w:val="22"/>
              </w:rPr>
            </w:pPr>
            <w:r w:rsidRPr="002E2E3A">
              <w:rPr>
                <w:rFonts w:ascii="Arial" w:hAnsi="Arial" w:cs="Arial"/>
                <w:b/>
                <w:bCs/>
                <w:color w:val="000000"/>
                <w:sz w:val="22"/>
                <w:szCs w:val="22"/>
              </w:rPr>
              <w:t>BURDEN HOURS</w:t>
            </w:r>
          </w:p>
        </w:tc>
      </w:tr>
      <w:tr w:rsidR="002E2E3A" w:rsidRPr="002E2E3A" w14:paraId="2DF53D88" w14:textId="77777777" w:rsidTr="002E2E3A">
        <w:trPr>
          <w:trHeight w:val="600"/>
        </w:trPr>
        <w:tc>
          <w:tcPr>
            <w:tcW w:w="2920" w:type="dxa"/>
            <w:tcBorders>
              <w:top w:val="nil"/>
              <w:left w:val="single" w:sz="4" w:space="0" w:color="auto"/>
              <w:bottom w:val="single" w:sz="4" w:space="0" w:color="auto"/>
              <w:right w:val="single" w:sz="4" w:space="0" w:color="auto"/>
            </w:tcBorders>
            <w:shd w:val="clear" w:color="auto" w:fill="auto"/>
            <w:hideMark/>
          </w:tcPr>
          <w:p w14:paraId="2B8A5B1D" w14:textId="77777777" w:rsidR="002E2E3A" w:rsidRPr="002E2E3A" w:rsidRDefault="002E2E3A" w:rsidP="002E2E3A">
            <w:pPr>
              <w:widowControl/>
              <w:autoSpaceDE/>
              <w:autoSpaceDN/>
              <w:adjustRightInd/>
              <w:rPr>
                <w:rFonts w:ascii="Arial" w:hAnsi="Arial" w:cs="Arial"/>
                <w:b/>
                <w:bCs/>
                <w:color w:val="000000"/>
                <w:sz w:val="22"/>
                <w:szCs w:val="22"/>
              </w:rPr>
            </w:pPr>
            <w:r w:rsidRPr="002E2E3A">
              <w:rPr>
                <w:rFonts w:ascii="Arial" w:hAnsi="Arial" w:cs="Arial"/>
                <w:b/>
                <w:bCs/>
                <w:color w:val="000000"/>
                <w:sz w:val="22"/>
                <w:szCs w:val="22"/>
              </w:rPr>
              <w:t> </w:t>
            </w:r>
          </w:p>
        </w:tc>
        <w:tc>
          <w:tcPr>
            <w:tcW w:w="1720" w:type="dxa"/>
            <w:tcBorders>
              <w:top w:val="nil"/>
              <w:left w:val="nil"/>
              <w:bottom w:val="single" w:sz="4" w:space="0" w:color="auto"/>
              <w:right w:val="single" w:sz="4" w:space="0" w:color="auto"/>
            </w:tcBorders>
            <w:shd w:val="clear" w:color="auto" w:fill="auto"/>
            <w:hideMark/>
          </w:tcPr>
          <w:p w14:paraId="75D632AF" w14:textId="77777777" w:rsidR="002E2E3A" w:rsidRPr="002E2E3A" w:rsidRDefault="002E2E3A" w:rsidP="002E2E3A">
            <w:pPr>
              <w:widowControl/>
              <w:autoSpaceDE/>
              <w:autoSpaceDN/>
              <w:adjustRightInd/>
              <w:jc w:val="center"/>
              <w:rPr>
                <w:rFonts w:ascii="Arial" w:hAnsi="Arial" w:cs="Arial"/>
                <w:b/>
                <w:bCs/>
                <w:color w:val="000000"/>
                <w:sz w:val="22"/>
                <w:szCs w:val="22"/>
              </w:rPr>
            </w:pPr>
            <w:r w:rsidRPr="002E2E3A">
              <w:rPr>
                <w:rFonts w:ascii="Arial" w:hAnsi="Arial" w:cs="Arial"/>
                <w:b/>
                <w:bCs/>
                <w:color w:val="000000"/>
                <w:sz w:val="22"/>
                <w:szCs w:val="22"/>
              </w:rPr>
              <w:t>Reporting</w:t>
            </w:r>
          </w:p>
        </w:tc>
        <w:tc>
          <w:tcPr>
            <w:tcW w:w="1800" w:type="dxa"/>
            <w:tcBorders>
              <w:top w:val="nil"/>
              <w:left w:val="nil"/>
              <w:bottom w:val="single" w:sz="4" w:space="0" w:color="auto"/>
              <w:right w:val="single" w:sz="4" w:space="0" w:color="auto"/>
            </w:tcBorders>
            <w:shd w:val="clear" w:color="auto" w:fill="auto"/>
            <w:hideMark/>
          </w:tcPr>
          <w:p w14:paraId="35636AE5" w14:textId="77777777" w:rsidR="002E2E3A" w:rsidRPr="002E2E3A" w:rsidRDefault="002E2E3A" w:rsidP="002E2E3A">
            <w:pPr>
              <w:widowControl/>
              <w:autoSpaceDE/>
              <w:autoSpaceDN/>
              <w:adjustRightInd/>
              <w:jc w:val="center"/>
              <w:rPr>
                <w:rFonts w:ascii="Arial" w:hAnsi="Arial" w:cs="Arial"/>
                <w:b/>
                <w:bCs/>
                <w:color w:val="000000"/>
                <w:sz w:val="22"/>
                <w:szCs w:val="22"/>
              </w:rPr>
            </w:pPr>
            <w:r w:rsidRPr="002E2E3A">
              <w:rPr>
                <w:rFonts w:ascii="Arial" w:hAnsi="Arial" w:cs="Arial"/>
                <w:b/>
                <w:bCs/>
                <w:color w:val="000000"/>
                <w:sz w:val="22"/>
                <w:szCs w:val="22"/>
              </w:rPr>
              <w:t>Recordkeeping</w:t>
            </w:r>
          </w:p>
        </w:tc>
        <w:tc>
          <w:tcPr>
            <w:tcW w:w="1720" w:type="dxa"/>
            <w:tcBorders>
              <w:top w:val="nil"/>
              <w:left w:val="nil"/>
              <w:bottom w:val="single" w:sz="4" w:space="0" w:color="auto"/>
              <w:right w:val="single" w:sz="4" w:space="0" w:color="auto"/>
            </w:tcBorders>
            <w:shd w:val="clear" w:color="auto" w:fill="auto"/>
            <w:hideMark/>
          </w:tcPr>
          <w:p w14:paraId="4208AED4" w14:textId="77777777" w:rsidR="002E2E3A" w:rsidRPr="002E2E3A" w:rsidRDefault="002E2E3A" w:rsidP="002E2E3A">
            <w:pPr>
              <w:widowControl/>
              <w:autoSpaceDE/>
              <w:autoSpaceDN/>
              <w:adjustRightInd/>
              <w:jc w:val="center"/>
              <w:rPr>
                <w:rFonts w:ascii="Arial" w:hAnsi="Arial" w:cs="Arial"/>
                <w:b/>
                <w:bCs/>
                <w:color w:val="000000"/>
                <w:sz w:val="22"/>
                <w:szCs w:val="22"/>
              </w:rPr>
            </w:pPr>
            <w:r w:rsidRPr="002E2E3A">
              <w:rPr>
                <w:rFonts w:ascii="Arial" w:hAnsi="Arial" w:cs="Arial"/>
                <w:b/>
                <w:bCs/>
                <w:color w:val="000000"/>
                <w:sz w:val="22"/>
                <w:szCs w:val="22"/>
              </w:rPr>
              <w:t>Third Party Disclosure</w:t>
            </w:r>
          </w:p>
        </w:tc>
        <w:tc>
          <w:tcPr>
            <w:tcW w:w="1720" w:type="dxa"/>
            <w:tcBorders>
              <w:top w:val="nil"/>
              <w:left w:val="nil"/>
              <w:bottom w:val="single" w:sz="4" w:space="0" w:color="auto"/>
              <w:right w:val="single" w:sz="4" w:space="0" w:color="auto"/>
            </w:tcBorders>
            <w:shd w:val="clear" w:color="auto" w:fill="auto"/>
            <w:hideMark/>
          </w:tcPr>
          <w:p w14:paraId="6227DA79" w14:textId="77777777" w:rsidR="002E2E3A" w:rsidRPr="002E2E3A" w:rsidRDefault="002E2E3A" w:rsidP="002E2E3A">
            <w:pPr>
              <w:widowControl/>
              <w:autoSpaceDE/>
              <w:autoSpaceDN/>
              <w:adjustRightInd/>
              <w:jc w:val="center"/>
              <w:rPr>
                <w:rFonts w:ascii="Arial" w:hAnsi="Arial" w:cs="Arial"/>
                <w:b/>
                <w:bCs/>
                <w:color w:val="000000"/>
                <w:sz w:val="22"/>
                <w:szCs w:val="22"/>
              </w:rPr>
            </w:pPr>
            <w:r w:rsidRPr="002E2E3A">
              <w:rPr>
                <w:rFonts w:ascii="Arial" w:hAnsi="Arial" w:cs="Arial"/>
                <w:b/>
                <w:bCs/>
                <w:color w:val="000000"/>
                <w:sz w:val="22"/>
                <w:szCs w:val="22"/>
              </w:rPr>
              <w:t>TOTAL</w:t>
            </w:r>
          </w:p>
        </w:tc>
      </w:tr>
      <w:tr w:rsidR="002E2E3A" w:rsidRPr="002E2E3A" w14:paraId="2FFBE19B" w14:textId="77777777" w:rsidTr="002E2E3A">
        <w:trPr>
          <w:trHeight w:val="300"/>
        </w:trPr>
        <w:tc>
          <w:tcPr>
            <w:tcW w:w="2920" w:type="dxa"/>
            <w:tcBorders>
              <w:top w:val="nil"/>
              <w:left w:val="single" w:sz="4" w:space="0" w:color="auto"/>
              <w:bottom w:val="single" w:sz="4" w:space="0" w:color="auto"/>
              <w:right w:val="single" w:sz="4" w:space="0" w:color="auto"/>
            </w:tcBorders>
            <w:shd w:val="clear" w:color="auto" w:fill="auto"/>
            <w:hideMark/>
          </w:tcPr>
          <w:p w14:paraId="344661A0" w14:textId="6B780FE9" w:rsidR="002E2E3A" w:rsidRPr="002E2E3A" w:rsidRDefault="00BA0536">
            <w:pPr>
              <w:widowControl/>
              <w:autoSpaceDE/>
              <w:autoSpaceDN/>
              <w:adjustRightInd/>
              <w:rPr>
                <w:rFonts w:ascii="Arial" w:hAnsi="Arial" w:cs="Arial"/>
                <w:b/>
                <w:bCs/>
                <w:color w:val="000000"/>
                <w:sz w:val="22"/>
                <w:szCs w:val="22"/>
              </w:rPr>
            </w:pPr>
            <w:r w:rsidRPr="00BA0536">
              <w:rPr>
                <w:rFonts w:ascii="Arial" w:hAnsi="Arial" w:cs="Arial"/>
                <w:b/>
                <w:bCs/>
                <w:color w:val="000000"/>
                <w:sz w:val="22"/>
                <w:szCs w:val="22"/>
              </w:rPr>
              <w:t>2013</w:t>
            </w:r>
            <w:r w:rsidRPr="002E2E3A">
              <w:rPr>
                <w:rFonts w:ascii="Arial" w:hAnsi="Arial" w:cs="Arial"/>
                <w:b/>
                <w:bCs/>
                <w:color w:val="000000"/>
                <w:sz w:val="22"/>
                <w:szCs w:val="22"/>
              </w:rPr>
              <w:t xml:space="preserve"> </w:t>
            </w:r>
            <w:r w:rsidR="002E2E3A" w:rsidRPr="002E2E3A">
              <w:rPr>
                <w:rFonts w:ascii="Arial" w:hAnsi="Arial" w:cs="Arial"/>
                <w:b/>
                <w:bCs/>
                <w:color w:val="000000"/>
                <w:sz w:val="22"/>
                <w:szCs w:val="22"/>
              </w:rPr>
              <w:t>submission</w:t>
            </w:r>
          </w:p>
        </w:tc>
        <w:tc>
          <w:tcPr>
            <w:tcW w:w="1720" w:type="dxa"/>
            <w:tcBorders>
              <w:top w:val="nil"/>
              <w:left w:val="nil"/>
              <w:bottom w:val="single" w:sz="4" w:space="0" w:color="auto"/>
              <w:right w:val="single" w:sz="4" w:space="0" w:color="auto"/>
            </w:tcBorders>
            <w:shd w:val="clear" w:color="auto" w:fill="auto"/>
            <w:hideMark/>
          </w:tcPr>
          <w:p w14:paraId="0B1BFB17" w14:textId="77777777" w:rsidR="002E2E3A" w:rsidRPr="002E2E3A" w:rsidRDefault="00A710B6" w:rsidP="002E2E3A">
            <w:pPr>
              <w:widowControl/>
              <w:autoSpaceDE/>
              <w:autoSpaceDN/>
              <w:adjustRightInd/>
              <w:jc w:val="right"/>
              <w:rPr>
                <w:rFonts w:ascii="Arial" w:hAnsi="Arial" w:cs="Arial"/>
                <w:color w:val="000000"/>
                <w:sz w:val="22"/>
                <w:szCs w:val="22"/>
              </w:rPr>
            </w:pPr>
            <w:r>
              <w:rPr>
                <w:rFonts w:ascii="Arial" w:hAnsi="Arial" w:cs="Arial"/>
                <w:color w:val="000000"/>
                <w:sz w:val="22"/>
                <w:szCs w:val="22"/>
              </w:rPr>
              <w:t>9,420</w:t>
            </w:r>
          </w:p>
        </w:tc>
        <w:tc>
          <w:tcPr>
            <w:tcW w:w="1800" w:type="dxa"/>
            <w:tcBorders>
              <w:top w:val="nil"/>
              <w:left w:val="nil"/>
              <w:bottom w:val="single" w:sz="4" w:space="0" w:color="auto"/>
              <w:right w:val="single" w:sz="4" w:space="0" w:color="auto"/>
            </w:tcBorders>
            <w:shd w:val="clear" w:color="auto" w:fill="auto"/>
            <w:hideMark/>
          </w:tcPr>
          <w:p w14:paraId="4B7C4B2A" w14:textId="77777777" w:rsidR="002E2E3A" w:rsidRPr="002E2E3A" w:rsidRDefault="00A710B6" w:rsidP="002E2E3A">
            <w:pPr>
              <w:widowControl/>
              <w:autoSpaceDE/>
              <w:autoSpaceDN/>
              <w:adjustRightInd/>
              <w:jc w:val="right"/>
              <w:rPr>
                <w:rFonts w:ascii="Arial" w:hAnsi="Arial" w:cs="Arial"/>
                <w:color w:val="000000"/>
                <w:sz w:val="22"/>
                <w:szCs w:val="22"/>
              </w:rPr>
            </w:pPr>
            <w:r>
              <w:rPr>
                <w:rFonts w:ascii="Arial" w:hAnsi="Arial" w:cs="Arial"/>
                <w:color w:val="000000"/>
                <w:sz w:val="22"/>
                <w:szCs w:val="22"/>
              </w:rPr>
              <w:t>25,190</w:t>
            </w:r>
          </w:p>
        </w:tc>
        <w:tc>
          <w:tcPr>
            <w:tcW w:w="1720" w:type="dxa"/>
            <w:tcBorders>
              <w:top w:val="nil"/>
              <w:left w:val="nil"/>
              <w:bottom w:val="single" w:sz="4" w:space="0" w:color="auto"/>
              <w:right w:val="single" w:sz="4" w:space="0" w:color="auto"/>
            </w:tcBorders>
            <w:shd w:val="clear" w:color="auto" w:fill="auto"/>
            <w:hideMark/>
          </w:tcPr>
          <w:p w14:paraId="7A5C71BB" w14:textId="77777777" w:rsidR="002E2E3A" w:rsidRPr="002E2E3A" w:rsidRDefault="00A710B6" w:rsidP="002E2E3A">
            <w:pPr>
              <w:widowControl/>
              <w:autoSpaceDE/>
              <w:autoSpaceDN/>
              <w:adjustRightInd/>
              <w:jc w:val="right"/>
              <w:rPr>
                <w:rFonts w:ascii="Arial" w:hAnsi="Arial" w:cs="Arial"/>
                <w:color w:val="000000"/>
                <w:sz w:val="22"/>
                <w:szCs w:val="22"/>
              </w:rPr>
            </w:pPr>
            <w:r>
              <w:rPr>
                <w:rFonts w:ascii="Arial" w:hAnsi="Arial" w:cs="Arial"/>
                <w:color w:val="000000"/>
                <w:sz w:val="22"/>
                <w:szCs w:val="22"/>
              </w:rPr>
              <w:t>95</w:t>
            </w:r>
          </w:p>
        </w:tc>
        <w:tc>
          <w:tcPr>
            <w:tcW w:w="1720" w:type="dxa"/>
            <w:tcBorders>
              <w:top w:val="nil"/>
              <w:left w:val="nil"/>
              <w:bottom w:val="single" w:sz="4" w:space="0" w:color="auto"/>
              <w:right w:val="single" w:sz="4" w:space="0" w:color="auto"/>
            </w:tcBorders>
            <w:shd w:val="clear" w:color="auto" w:fill="auto"/>
            <w:hideMark/>
          </w:tcPr>
          <w:p w14:paraId="47840D37" w14:textId="7807414C" w:rsidR="002E2E3A" w:rsidRPr="002E2E3A" w:rsidRDefault="00BA0536">
            <w:pPr>
              <w:widowControl/>
              <w:autoSpaceDE/>
              <w:autoSpaceDN/>
              <w:adjustRightInd/>
              <w:jc w:val="right"/>
              <w:rPr>
                <w:rFonts w:ascii="Arial" w:hAnsi="Arial" w:cs="Arial"/>
                <w:color w:val="000000"/>
                <w:sz w:val="22"/>
                <w:szCs w:val="22"/>
              </w:rPr>
            </w:pPr>
            <w:r w:rsidRPr="00BA0536">
              <w:rPr>
                <w:rFonts w:ascii="Arial" w:hAnsi="Arial" w:cs="Arial"/>
                <w:color w:val="000000"/>
                <w:sz w:val="22"/>
                <w:szCs w:val="22"/>
              </w:rPr>
              <w:t>3</w:t>
            </w:r>
            <w:r w:rsidRPr="00BD2EF0">
              <w:rPr>
                <w:rFonts w:ascii="Arial" w:hAnsi="Arial" w:cs="Arial"/>
                <w:color w:val="000000"/>
                <w:sz w:val="22"/>
                <w:szCs w:val="22"/>
              </w:rPr>
              <w:t>4</w:t>
            </w:r>
            <w:r w:rsidR="00A710B6" w:rsidRPr="00BA0536">
              <w:rPr>
                <w:rFonts w:ascii="Arial" w:hAnsi="Arial" w:cs="Arial"/>
                <w:color w:val="000000"/>
                <w:sz w:val="22"/>
                <w:szCs w:val="22"/>
              </w:rPr>
              <w:t>,705</w:t>
            </w:r>
          </w:p>
        </w:tc>
      </w:tr>
      <w:tr w:rsidR="002E2E3A" w:rsidRPr="002E2E3A" w14:paraId="7FA37F8D" w14:textId="77777777" w:rsidTr="002E2E3A">
        <w:trPr>
          <w:trHeight w:val="300"/>
        </w:trPr>
        <w:tc>
          <w:tcPr>
            <w:tcW w:w="2920" w:type="dxa"/>
            <w:tcBorders>
              <w:top w:val="nil"/>
              <w:left w:val="single" w:sz="4" w:space="0" w:color="auto"/>
              <w:bottom w:val="single" w:sz="4" w:space="0" w:color="auto"/>
              <w:right w:val="single" w:sz="4" w:space="0" w:color="auto"/>
            </w:tcBorders>
            <w:shd w:val="clear" w:color="auto" w:fill="auto"/>
            <w:hideMark/>
          </w:tcPr>
          <w:p w14:paraId="6D0ABCFD" w14:textId="77777777" w:rsidR="002E2E3A" w:rsidRPr="002E2E3A" w:rsidRDefault="002E2E3A" w:rsidP="002E2E3A">
            <w:pPr>
              <w:widowControl/>
              <w:autoSpaceDE/>
              <w:autoSpaceDN/>
              <w:adjustRightInd/>
              <w:rPr>
                <w:rFonts w:ascii="Arial" w:hAnsi="Arial" w:cs="Arial"/>
                <w:b/>
                <w:bCs/>
                <w:color w:val="000000"/>
                <w:sz w:val="22"/>
                <w:szCs w:val="22"/>
              </w:rPr>
            </w:pPr>
            <w:r w:rsidRPr="002E2E3A">
              <w:rPr>
                <w:rFonts w:ascii="Arial" w:hAnsi="Arial" w:cs="Arial"/>
                <w:b/>
                <w:bCs/>
                <w:color w:val="000000"/>
                <w:sz w:val="22"/>
                <w:szCs w:val="22"/>
              </w:rPr>
              <w:t>Current submission</w:t>
            </w:r>
          </w:p>
        </w:tc>
        <w:tc>
          <w:tcPr>
            <w:tcW w:w="1720" w:type="dxa"/>
            <w:tcBorders>
              <w:top w:val="nil"/>
              <w:left w:val="nil"/>
              <w:bottom w:val="single" w:sz="4" w:space="0" w:color="auto"/>
              <w:right w:val="single" w:sz="4" w:space="0" w:color="auto"/>
            </w:tcBorders>
            <w:shd w:val="clear" w:color="auto" w:fill="auto"/>
            <w:hideMark/>
          </w:tcPr>
          <w:p w14:paraId="50013344" w14:textId="0D8787FE" w:rsidR="002E2E3A" w:rsidRPr="002E2E3A" w:rsidRDefault="00635817" w:rsidP="002E2E3A">
            <w:pPr>
              <w:widowControl/>
              <w:autoSpaceDE/>
              <w:autoSpaceDN/>
              <w:adjustRightInd/>
              <w:jc w:val="right"/>
              <w:rPr>
                <w:rFonts w:ascii="Arial" w:hAnsi="Arial" w:cs="Arial"/>
                <w:color w:val="000000"/>
                <w:sz w:val="22"/>
                <w:szCs w:val="22"/>
              </w:rPr>
            </w:pPr>
            <w:r>
              <w:rPr>
                <w:rFonts w:ascii="Arial" w:hAnsi="Arial" w:cs="Arial"/>
                <w:color w:val="000000"/>
                <w:sz w:val="22"/>
                <w:szCs w:val="22"/>
              </w:rPr>
              <w:t>18,023</w:t>
            </w:r>
          </w:p>
        </w:tc>
        <w:tc>
          <w:tcPr>
            <w:tcW w:w="1800" w:type="dxa"/>
            <w:tcBorders>
              <w:top w:val="nil"/>
              <w:left w:val="nil"/>
              <w:bottom w:val="single" w:sz="4" w:space="0" w:color="auto"/>
              <w:right w:val="single" w:sz="4" w:space="0" w:color="auto"/>
            </w:tcBorders>
            <w:shd w:val="clear" w:color="auto" w:fill="auto"/>
            <w:hideMark/>
          </w:tcPr>
          <w:p w14:paraId="59188D32" w14:textId="77777777" w:rsidR="002E2E3A" w:rsidRPr="002E2E3A" w:rsidRDefault="00A710B6" w:rsidP="002E2E3A">
            <w:pPr>
              <w:widowControl/>
              <w:autoSpaceDE/>
              <w:autoSpaceDN/>
              <w:adjustRightInd/>
              <w:jc w:val="right"/>
              <w:rPr>
                <w:rFonts w:ascii="Arial" w:hAnsi="Arial" w:cs="Arial"/>
                <w:color w:val="000000"/>
                <w:sz w:val="22"/>
                <w:szCs w:val="22"/>
              </w:rPr>
            </w:pPr>
            <w:r>
              <w:rPr>
                <w:rFonts w:ascii="Arial" w:hAnsi="Arial" w:cs="Arial"/>
                <w:color w:val="000000"/>
                <w:sz w:val="22"/>
                <w:szCs w:val="22"/>
              </w:rPr>
              <w:t>25,257</w:t>
            </w:r>
          </w:p>
        </w:tc>
        <w:tc>
          <w:tcPr>
            <w:tcW w:w="1720" w:type="dxa"/>
            <w:tcBorders>
              <w:top w:val="nil"/>
              <w:left w:val="nil"/>
              <w:bottom w:val="single" w:sz="4" w:space="0" w:color="auto"/>
              <w:right w:val="single" w:sz="4" w:space="0" w:color="auto"/>
            </w:tcBorders>
            <w:shd w:val="clear" w:color="auto" w:fill="auto"/>
            <w:hideMark/>
          </w:tcPr>
          <w:p w14:paraId="1DED9AAC" w14:textId="77777777" w:rsidR="002E2E3A" w:rsidRPr="002E2E3A" w:rsidRDefault="00A710B6" w:rsidP="002E2E3A">
            <w:pPr>
              <w:widowControl/>
              <w:autoSpaceDE/>
              <w:autoSpaceDN/>
              <w:adjustRightInd/>
              <w:jc w:val="right"/>
              <w:rPr>
                <w:rFonts w:ascii="Arial" w:hAnsi="Arial" w:cs="Arial"/>
                <w:color w:val="000000"/>
                <w:sz w:val="22"/>
                <w:szCs w:val="22"/>
              </w:rPr>
            </w:pPr>
            <w:r>
              <w:rPr>
                <w:rFonts w:ascii="Arial" w:hAnsi="Arial" w:cs="Arial"/>
                <w:color w:val="000000"/>
                <w:sz w:val="22"/>
                <w:szCs w:val="22"/>
              </w:rPr>
              <w:t>285</w:t>
            </w:r>
          </w:p>
        </w:tc>
        <w:tc>
          <w:tcPr>
            <w:tcW w:w="1720" w:type="dxa"/>
            <w:tcBorders>
              <w:top w:val="nil"/>
              <w:left w:val="nil"/>
              <w:bottom w:val="single" w:sz="4" w:space="0" w:color="auto"/>
              <w:right w:val="single" w:sz="4" w:space="0" w:color="auto"/>
            </w:tcBorders>
            <w:shd w:val="clear" w:color="auto" w:fill="auto"/>
            <w:hideMark/>
          </w:tcPr>
          <w:p w14:paraId="3F53745A" w14:textId="6CF98969" w:rsidR="002E2E3A" w:rsidRPr="002E2E3A" w:rsidRDefault="00635817" w:rsidP="002E2E3A">
            <w:pPr>
              <w:widowControl/>
              <w:autoSpaceDE/>
              <w:autoSpaceDN/>
              <w:adjustRightInd/>
              <w:jc w:val="right"/>
              <w:rPr>
                <w:rFonts w:ascii="Arial" w:hAnsi="Arial" w:cs="Arial"/>
                <w:color w:val="000000"/>
                <w:sz w:val="22"/>
                <w:szCs w:val="22"/>
              </w:rPr>
            </w:pPr>
            <w:r>
              <w:rPr>
                <w:rFonts w:ascii="Arial" w:hAnsi="Arial" w:cs="Arial"/>
                <w:color w:val="000000"/>
                <w:sz w:val="22"/>
                <w:szCs w:val="22"/>
              </w:rPr>
              <w:t>43,56</w:t>
            </w:r>
            <w:r w:rsidR="00A710B6">
              <w:rPr>
                <w:rFonts w:ascii="Arial" w:hAnsi="Arial" w:cs="Arial"/>
                <w:color w:val="000000"/>
                <w:sz w:val="22"/>
                <w:szCs w:val="22"/>
              </w:rPr>
              <w:t>5</w:t>
            </w:r>
          </w:p>
        </w:tc>
      </w:tr>
      <w:tr w:rsidR="002E2E3A" w:rsidRPr="002E2E3A" w14:paraId="08957159" w14:textId="77777777" w:rsidTr="002E2E3A">
        <w:trPr>
          <w:trHeight w:val="300"/>
        </w:trPr>
        <w:tc>
          <w:tcPr>
            <w:tcW w:w="2920" w:type="dxa"/>
            <w:tcBorders>
              <w:top w:val="nil"/>
              <w:left w:val="single" w:sz="4" w:space="0" w:color="auto"/>
              <w:bottom w:val="single" w:sz="4" w:space="0" w:color="auto"/>
              <w:right w:val="single" w:sz="4" w:space="0" w:color="auto"/>
            </w:tcBorders>
            <w:shd w:val="clear" w:color="auto" w:fill="auto"/>
            <w:hideMark/>
          </w:tcPr>
          <w:p w14:paraId="3E6142C7" w14:textId="77777777" w:rsidR="002E2E3A" w:rsidRPr="002E2E3A" w:rsidRDefault="002E2E3A" w:rsidP="002E2E3A">
            <w:pPr>
              <w:widowControl/>
              <w:autoSpaceDE/>
              <w:autoSpaceDN/>
              <w:adjustRightInd/>
              <w:rPr>
                <w:rFonts w:ascii="Arial" w:hAnsi="Arial" w:cs="Arial"/>
                <w:b/>
                <w:bCs/>
                <w:color w:val="000000"/>
                <w:sz w:val="22"/>
                <w:szCs w:val="22"/>
              </w:rPr>
            </w:pPr>
            <w:r w:rsidRPr="002E2E3A">
              <w:rPr>
                <w:rFonts w:ascii="Arial" w:hAnsi="Arial" w:cs="Arial"/>
                <w:b/>
                <w:bCs/>
                <w:color w:val="000000"/>
                <w:sz w:val="22"/>
                <w:szCs w:val="22"/>
              </w:rPr>
              <w:t>Burden Change</w:t>
            </w:r>
          </w:p>
        </w:tc>
        <w:tc>
          <w:tcPr>
            <w:tcW w:w="1720" w:type="dxa"/>
            <w:tcBorders>
              <w:top w:val="nil"/>
              <w:left w:val="nil"/>
              <w:bottom w:val="single" w:sz="4" w:space="0" w:color="auto"/>
              <w:right w:val="single" w:sz="4" w:space="0" w:color="auto"/>
            </w:tcBorders>
            <w:shd w:val="clear" w:color="auto" w:fill="auto"/>
            <w:hideMark/>
          </w:tcPr>
          <w:p w14:paraId="344B9E31" w14:textId="788905B5" w:rsidR="002E2E3A" w:rsidRPr="002E2E3A" w:rsidRDefault="00A710B6" w:rsidP="000677F4">
            <w:pPr>
              <w:widowControl/>
              <w:autoSpaceDE/>
              <w:autoSpaceDN/>
              <w:adjustRightInd/>
              <w:jc w:val="right"/>
              <w:rPr>
                <w:rFonts w:ascii="Arial" w:hAnsi="Arial" w:cs="Arial"/>
                <w:color w:val="000000"/>
                <w:sz w:val="22"/>
                <w:szCs w:val="22"/>
              </w:rPr>
            </w:pPr>
            <w:r>
              <w:rPr>
                <w:rFonts w:ascii="Arial" w:hAnsi="Arial" w:cs="Arial"/>
                <w:color w:val="000000"/>
                <w:sz w:val="22"/>
                <w:szCs w:val="22"/>
              </w:rPr>
              <w:t>8</w:t>
            </w:r>
            <w:r w:rsidR="001126A7">
              <w:rPr>
                <w:rFonts w:ascii="Arial" w:hAnsi="Arial" w:cs="Arial"/>
                <w:color w:val="000000"/>
                <w:sz w:val="22"/>
                <w:szCs w:val="22"/>
              </w:rPr>
              <w:t>,</w:t>
            </w:r>
            <w:r w:rsidR="000677F4">
              <w:rPr>
                <w:rFonts w:ascii="Arial" w:hAnsi="Arial" w:cs="Arial"/>
                <w:color w:val="000000"/>
                <w:sz w:val="22"/>
                <w:szCs w:val="22"/>
              </w:rPr>
              <w:t>603</w:t>
            </w:r>
          </w:p>
        </w:tc>
        <w:tc>
          <w:tcPr>
            <w:tcW w:w="1800" w:type="dxa"/>
            <w:tcBorders>
              <w:top w:val="nil"/>
              <w:left w:val="nil"/>
              <w:bottom w:val="single" w:sz="4" w:space="0" w:color="auto"/>
              <w:right w:val="single" w:sz="4" w:space="0" w:color="auto"/>
            </w:tcBorders>
            <w:shd w:val="clear" w:color="auto" w:fill="auto"/>
            <w:hideMark/>
          </w:tcPr>
          <w:p w14:paraId="540085BB" w14:textId="77777777" w:rsidR="002E2E3A" w:rsidRPr="002E2E3A" w:rsidRDefault="00A710B6" w:rsidP="002E2E3A">
            <w:pPr>
              <w:widowControl/>
              <w:autoSpaceDE/>
              <w:autoSpaceDN/>
              <w:adjustRightInd/>
              <w:jc w:val="right"/>
              <w:rPr>
                <w:rFonts w:ascii="Arial" w:hAnsi="Arial" w:cs="Arial"/>
                <w:color w:val="000000"/>
                <w:sz w:val="22"/>
                <w:szCs w:val="22"/>
              </w:rPr>
            </w:pPr>
            <w:r>
              <w:rPr>
                <w:rFonts w:ascii="Arial" w:hAnsi="Arial" w:cs="Arial"/>
                <w:color w:val="000000"/>
                <w:sz w:val="22"/>
                <w:szCs w:val="22"/>
              </w:rPr>
              <w:t>67</w:t>
            </w:r>
          </w:p>
        </w:tc>
        <w:tc>
          <w:tcPr>
            <w:tcW w:w="1720" w:type="dxa"/>
            <w:tcBorders>
              <w:top w:val="nil"/>
              <w:left w:val="nil"/>
              <w:bottom w:val="single" w:sz="4" w:space="0" w:color="auto"/>
              <w:right w:val="single" w:sz="4" w:space="0" w:color="auto"/>
            </w:tcBorders>
            <w:shd w:val="clear" w:color="auto" w:fill="auto"/>
            <w:hideMark/>
          </w:tcPr>
          <w:p w14:paraId="33173F29" w14:textId="77777777" w:rsidR="002E2E3A" w:rsidRPr="002E2E3A" w:rsidRDefault="00A710B6" w:rsidP="002E2E3A">
            <w:pPr>
              <w:widowControl/>
              <w:autoSpaceDE/>
              <w:autoSpaceDN/>
              <w:adjustRightInd/>
              <w:jc w:val="right"/>
              <w:rPr>
                <w:rFonts w:ascii="Arial" w:hAnsi="Arial" w:cs="Arial"/>
                <w:color w:val="000000"/>
                <w:sz w:val="22"/>
                <w:szCs w:val="22"/>
              </w:rPr>
            </w:pPr>
            <w:r>
              <w:rPr>
                <w:rFonts w:ascii="Arial" w:hAnsi="Arial" w:cs="Arial"/>
                <w:color w:val="000000"/>
                <w:sz w:val="22"/>
                <w:szCs w:val="22"/>
              </w:rPr>
              <w:t>190</w:t>
            </w:r>
          </w:p>
        </w:tc>
        <w:tc>
          <w:tcPr>
            <w:tcW w:w="1720" w:type="dxa"/>
            <w:tcBorders>
              <w:top w:val="nil"/>
              <w:left w:val="nil"/>
              <w:bottom w:val="single" w:sz="4" w:space="0" w:color="auto"/>
              <w:right w:val="single" w:sz="4" w:space="0" w:color="auto"/>
            </w:tcBorders>
            <w:shd w:val="clear" w:color="auto" w:fill="auto"/>
            <w:hideMark/>
          </w:tcPr>
          <w:p w14:paraId="1DDED4C6" w14:textId="68E828EE" w:rsidR="002E2E3A" w:rsidRPr="002E2E3A" w:rsidRDefault="00A710B6" w:rsidP="00043D25">
            <w:pPr>
              <w:widowControl/>
              <w:autoSpaceDE/>
              <w:autoSpaceDN/>
              <w:adjustRightInd/>
              <w:jc w:val="right"/>
              <w:rPr>
                <w:rFonts w:ascii="Arial" w:hAnsi="Arial" w:cs="Arial"/>
                <w:color w:val="000000"/>
                <w:sz w:val="22"/>
                <w:szCs w:val="22"/>
              </w:rPr>
            </w:pPr>
            <w:r>
              <w:rPr>
                <w:rFonts w:ascii="Arial" w:hAnsi="Arial" w:cs="Arial"/>
                <w:color w:val="000000"/>
                <w:sz w:val="22"/>
                <w:szCs w:val="22"/>
              </w:rPr>
              <w:t>8</w:t>
            </w:r>
            <w:r w:rsidR="001126A7">
              <w:rPr>
                <w:rFonts w:ascii="Arial" w:hAnsi="Arial" w:cs="Arial"/>
                <w:color w:val="000000"/>
                <w:sz w:val="22"/>
                <w:szCs w:val="22"/>
              </w:rPr>
              <w:t>,</w:t>
            </w:r>
            <w:r w:rsidR="00043D25">
              <w:rPr>
                <w:rFonts w:ascii="Arial" w:hAnsi="Arial" w:cs="Arial"/>
                <w:color w:val="000000"/>
                <w:sz w:val="22"/>
                <w:szCs w:val="22"/>
              </w:rPr>
              <w:t>86</w:t>
            </w:r>
            <w:r>
              <w:rPr>
                <w:rFonts w:ascii="Arial" w:hAnsi="Arial" w:cs="Arial"/>
                <w:color w:val="000000"/>
                <w:sz w:val="22"/>
                <w:szCs w:val="22"/>
              </w:rPr>
              <w:t>0</w:t>
            </w:r>
          </w:p>
        </w:tc>
      </w:tr>
    </w:tbl>
    <w:p w14:paraId="682A0665" w14:textId="77777777" w:rsidR="002E2E3A" w:rsidRPr="002E2E3A" w:rsidRDefault="002E2E3A">
      <w:pPr>
        <w:widowControl/>
        <w:ind w:left="1440"/>
        <w:rPr>
          <w:rFonts w:ascii="Arial" w:hAnsi="Arial" w:cs="Arial"/>
          <w:i/>
          <w:sz w:val="22"/>
          <w:szCs w:val="22"/>
          <w:u w:val="single"/>
        </w:rPr>
      </w:pPr>
    </w:p>
    <w:p w14:paraId="2F445132" w14:textId="418C53C6" w:rsidR="002E2E3A" w:rsidRPr="009F5AF4" w:rsidRDefault="00160015" w:rsidP="002E2E3A">
      <w:pPr>
        <w:widowControl/>
        <w:ind w:left="1440"/>
        <w:rPr>
          <w:rFonts w:ascii="Arial" w:hAnsi="Arial" w:cs="Arial"/>
          <w:sz w:val="22"/>
          <w:szCs w:val="22"/>
        </w:rPr>
      </w:pPr>
      <w:r w:rsidRPr="00160015">
        <w:rPr>
          <w:rFonts w:ascii="Arial" w:hAnsi="Arial" w:cs="Arial"/>
          <w:i/>
          <w:sz w:val="22"/>
          <w:szCs w:val="22"/>
          <w:u w:val="single"/>
        </w:rPr>
        <w:t>Reporting</w:t>
      </w:r>
      <w:r>
        <w:rPr>
          <w:rFonts w:ascii="Arial" w:hAnsi="Arial" w:cs="Arial"/>
          <w:sz w:val="22"/>
          <w:szCs w:val="22"/>
        </w:rPr>
        <w:t xml:space="preserve">.  The estimated reporting burden increased from </w:t>
      </w:r>
      <w:r w:rsidR="00336FA0">
        <w:rPr>
          <w:rFonts w:ascii="Arial" w:hAnsi="Arial" w:cs="Arial"/>
          <w:sz w:val="22"/>
          <w:szCs w:val="22"/>
        </w:rPr>
        <w:t>9,420</w:t>
      </w:r>
      <w:r>
        <w:rPr>
          <w:rFonts w:ascii="Arial" w:hAnsi="Arial" w:cs="Arial"/>
          <w:sz w:val="22"/>
          <w:szCs w:val="22"/>
        </w:rPr>
        <w:t xml:space="preserve"> hours to </w:t>
      </w:r>
      <w:r w:rsidR="00635817">
        <w:rPr>
          <w:rFonts w:ascii="Arial" w:hAnsi="Arial" w:cs="Arial"/>
          <w:sz w:val="22"/>
          <w:szCs w:val="22"/>
        </w:rPr>
        <w:t>18,023</w:t>
      </w:r>
      <w:r>
        <w:rPr>
          <w:rFonts w:ascii="Arial" w:hAnsi="Arial" w:cs="Arial"/>
          <w:sz w:val="22"/>
          <w:szCs w:val="22"/>
        </w:rPr>
        <w:t xml:space="preserve"> hours, an increase of </w:t>
      </w:r>
      <w:r w:rsidR="00336FA0">
        <w:rPr>
          <w:rFonts w:ascii="Arial" w:hAnsi="Arial" w:cs="Arial"/>
          <w:sz w:val="22"/>
          <w:szCs w:val="22"/>
        </w:rPr>
        <w:t>8,</w:t>
      </w:r>
      <w:r w:rsidR="00635817">
        <w:rPr>
          <w:rFonts w:ascii="Arial" w:hAnsi="Arial" w:cs="Arial"/>
          <w:sz w:val="22"/>
          <w:szCs w:val="22"/>
        </w:rPr>
        <w:t>60</w:t>
      </w:r>
      <w:r w:rsidR="00336FA0">
        <w:rPr>
          <w:rFonts w:ascii="Arial" w:hAnsi="Arial" w:cs="Arial"/>
          <w:sz w:val="22"/>
          <w:szCs w:val="22"/>
        </w:rPr>
        <w:t>3</w:t>
      </w:r>
      <w:r w:rsidR="0065212E">
        <w:rPr>
          <w:rFonts w:ascii="Arial" w:hAnsi="Arial" w:cs="Arial"/>
          <w:sz w:val="22"/>
          <w:szCs w:val="22"/>
        </w:rPr>
        <w:t xml:space="preserve"> hours.  Reporting estimates are based on actual data from 201</w:t>
      </w:r>
      <w:r w:rsidR="00336FA0">
        <w:rPr>
          <w:rFonts w:ascii="Arial" w:hAnsi="Arial" w:cs="Arial"/>
          <w:sz w:val="22"/>
          <w:szCs w:val="22"/>
        </w:rPr>
        <w:t>3</w:t>
      </w:r>
      <w:r w:rsidR="0065212E">
        <w:rPr>
          <w:rFonts w:ascii="Arial" w:hAnsi="Arial" w:cs="Arial"/>
          <w:sz w:val="22"/>
          <w:szCs w:val="22"/>
        </w:rPr>
        <w:t>-201</w:t>
      </w:r>
      <w:r w:rsidR="00336FA0">
        <w:rPr>
          <w:rFonts w:ascii="Arial" w:hAnsi="Arial" w:cs="Arial"/>
          <w:sz w:val="22"/>
          <w:szCs w:val="22"/>
        </w:rPr>
        <w:t>5</w:t>
      </w:r>
      <w:r w:rsidR="0065212E">
        <w:rPr>
          <w:rFonts w:ascii="Arial" w:hAnsi="Arial" w:cs="Arial"/>
          <w:sz w:val="22"/>
          <w:szCs w:val="22"/>
        </w:rPr>
        <w:t xml:space="preserve">.  </w:t>
      </w:r>
      <w:r w:rsidR="002E2E3A" w:rsidRPr="009F5AF4">
        <w:rPr>
          <w:rFonts w:ascii="Arial" w:hAnsi="Arial" w:cs="Arial"/>
          <w:sz w:val="22"/>
          <w:szCs w:val="22"/>
        </w:rPr>
        <w:t xml:space="preserve">The increase in burden is due to an increase in the number of interim reports (from </w:t>
      </w:r>
      <w:r w:rsidR="00336FA0">
        <w:rPr>
          <w:rFonts w:ascii="Arial" w:hAnsi="Arial" w:cs="Arial"/>
          <w:sz w:val="22"/>
          <w:szCs w:val="22"/>
        </w:rPr>
        <w:t>28</w:t>
      </w:r>
      <w:r w:rsidR="002E2E3A" w:rsidRPr="009F5AF4">
        <w:rPr>
          <w:rFonts w:ascii="Arial" w:hAnsi="Arial" w:cs="Arial"/>
          <w:sz w:val="22"/>
          <w:szCs w:val="22"/>
        </w:rPr>
        <w:t xml:space="preserve"> to </w:t>
      </w:r>
      <w:r w:rsidR="00336FA0">
        <w:rPr>
          <w:rFonts w:ascii="Arial" w:hAnsi="Arial" w:cs="Arial"/>
          <w:sz w:val="22"/>
          <w:szCs w:val="22"/>
        </w:rPr>
        <w:t>95</w:t>
      </w:r>
      <w:r w:rsidR="002E2E3A" w:rsidRPr="009F5AF4">
        <w:rPr>
          <w:rFonts w:ascii="Arial" w:hAnsi="Arial" w:cs="Arial"/>
          <w:sz w:val="22"/>
          <w:szCs w:val="22"/>
        </w:rPr>
        <w:t xml:space="preserve">) and 30-day reports (from </w:t>
      </w:r>
      <w:r w:rsidR="00336FA0">
        <w:rPr>
          <w:rFonts w:ascii="Arial" w:hAnsi="Arial" w:cs="Arial"/>
          <w:sz w:val="22"/>
          <w:szCs w:val="22"/>
        </w:rPr>
        <w:t>48</w:t>
      </w:r>
      <w:r w:rsidR="002E2E3A" w:rsidRPr="009F5AF4">
        <w:rPr>
          <w:rFonts w:ascii="Arial" w:hAnsi="Arial" w:cs="Arial"/>
          <w:sz w:val="22"/>
          <w:szCs w:val="22"/>
        </w:rPr>
        <w:t xml:space="preserve"> to </w:t>
      </w:r>
      <w:r w:rsidR="00780941">
        <w:rPr>
          <w:rFonts w:ascii="Arial" w:hAnsi="Arial" w:cs="Arial"/>
          <w:sz w:val="22"/>
          <w:szCs w:val="22"/>
        </w:rPr>
        <w:t>64</w:t>
      </w:r>
      <w:r w:rsidR="002E2E3A" w:rsidRPr="009F5AF4">
        <w:rPr>
          <w:rFonts w:ascii="Arial" w:hAnsi="Arial" w:cs="Arial"/>
          <w:sz w:val="22"/>
          <w:szCs w:val="22"/>
        </w:rPr>
        <w:t xml:space="preserve">).  These estimates are based on actual data from the past three years.  </w:t>
      </w:r>
    </w:p>
    <w:p w14:paraId="6AEBB258" w14:textId="77777777" w:rsidR="002E2E3A" w:rsidRDefault="002E2E3A" w:rsidP="002E2E3A">
      <w:pPr>
        <w:widowControl/>
        <w:ind w:left="1440"/>
        <w:rPr>
          <w:rFonts w:ascii="Arial" w:hAnsi="Arial" w:cs="Arial"/>
          <w:sz w:val="22"/>
          <w:szCs w:val="22"/>
        </w:rPr>
      </w:pPr>
    </w:p>
    <w:p w14:paraId="6F25C93C" w14:textId="77777777" w:rsidR="002E2E3A" w:rsidRDefault="002E2E3A" w:rsidP="002E2E3A">
      <w:pPr>
        <w:widowControl/>
        <w:ind w:left="1440"/>
        <w:rPr>
          <w:rFonts w:ascii="Arial" w:hAnsi="Arial" w:cs="Arial"/>
          <w:sz w:val="22"/>
          <w:szCs w:val="22"/>
        </w:rPr>
      </w:pPr>
      <w:r w:rsidRPr="0065212E">
        <w:rPr>
          <w:rFonts w:ascii="Arial" w:hAnsi="Arial" w:cs="Arial"/>
          <w:i/>
          <w:sz w:val="22"/>
          <w:szCs w:val="22"/>
          <w:u w:val="single"/>
        </w:rPr>
        <w:t>Recordkeeping</w:t>
      </w:r>
      <w:r>
        <w:rPr>
          <w:rFonts w:ascii="Arial" w:hAnsi="Arial" w:cs="Arial"/>
          <w:sz w:val="22"/>
          <w:szCs w:val="22"/>
        </w:rPr>
        <w:t>.  For this submission, the NRC staff reviewed the recordkeeping requirements in Part 21 and corrected and updated the number of recordkeepers and burden estimates as follows:</w:t>
      </w:r>
    </w:p>
    <w:p w14:paraId="17A5F8F6" w14:textId="77777777" w:rsidR="002E2E3A" w:rsidRDefault="002E2E3A">
      <w:pPr>
        <w:widowControl/>
        <w:ind w:left="1440"/>
        <w:rPr>
          <w:rFonts w:ascii="Arial" w:hAnsi="Arial" w:cs="Arial"/>
          <w:sz w:val="22"/>
          <w:szCs w:val="22"/>
        </w:rPr>
      </w:pPr>
    </w:p>
    <w:p w14:paraId="554CBA13" w14:textId="77777777" w:rsidR="0065212E" w:rsidRDefault="0065212E" w:rsidP="0065212E">
      <w:pPr>
        <w:pStyle w:val="ListParagraph"/>
        <w:widowControl/>
        <w:numPr>
          <w:ilvl w:val="0"/>
          <w:numId w:val="6"/>
        </w:numPr>
        <w:rPr>
          <w:rFonts w:ascii="Arial" w:hAnsi="Arial" w:cs="Arial"/>
          <w:sz w:val="22"/>
          <w:szCs w:val="22"/>
        </w:rPr>
      </w:pPr>
      <w:r>
        <w:rPr>
          <w:rFonts w:ascii="Arial" w:hAnsi="Arial" w:cs="Arial"/>
          <w:sz w:val="22"/>
          <w:szCs w:val="22"/>
        </w:rPr>
        <w:t xml:space="preserve">On the recordkeeping table, the requirement in 21.51(a)(1) </w:t>
      </w:r>
      <w:r w:rsidR="00F40059">
        <w:rPr>
          <w:rFonts w:ascii="Arial" w:hAnsi="Arial" w:cs="Arial"/>
          <w:sz w:val="22"/>
          <w:szCs w:val="22"/>
        </w:rPr>
        <w:t xml:space="preserve">for licensees, vendors, and fuel facilities </w:t>
      </w:r>
      <w:r w:rsidR="002E2E3A">
        <w:rPr>
          <w:rFonts w:ascii="Arial" w:hAnsi="Arial" w:cs="Arial"/>
          <w:sz w:val="22"/>
          <w:szCs w:val="22"/>
        </w:rPr>
        <w:t>to retain evaluations for</w:t>
      </w:r>
      <w:r>
        <w:rPr>
          <w:rFonts w:ascii="Arial" w:hAnsi="Arial" w:cs="Arial"/>
          <w:sz w:val="22"/>
          <w:szCs w:val="22"/>
        </w:rPr>
        <w:t xml:space="preserve"> 5 years was combined with the requirement in 21.51(a)(2) to retain notifications for 5 years, because the staff determined that these requirements related to the documentation for a single issue and constituted a single record.</w:t>
      </w:r>
    </w:p>
    <w:p w14:paraId="7B8B5A64" w14:textId="77777777" w:rsidR="002E2E3A" w:rsidRDefault="002E2E3A" w:rsidP="002E2E3A">
      <w:pPr>
        <w:pStyle w:val="ListParagraph"/>
        <w:widowControl/>
        <w:ind w:left="2160"/>
        <w:rPr>
          <w:rFonts w:ascii="Arial" w:hAnsi="Arial" w:cs="Arial"/>
          <w:sz w:val="22"/>
          <w:szCs w:val="22"/>
        </w:rPr>
      </w:pPr>
    </w:p>
    <w:p w14:paraId="2C17B952" w14:textId="5CAB9B07" w:rsidR="0065212E" w:rsidRDefault="0041187D" w:rsidP="0065212E">
      <w:pPr>
        <w:pStyle w:val="ListParagraph"/>
        <w:widowControl/>
        <w:numPr>
          <w:ilvl w:val="0"/>
          <w:numId w:val="6"/>
        </w:numPr>
        <w:rPr>
          <w:rFonts w:ascii="Arial" w:hAnsi="Arial" w:cs="Arial"/>
          <w:sz w:val="22"/>
          <w:szCs w:val="22"/>
        </w:rPr>
      </w:pPr>
      <w:r>
        <w:rPr>
          <w:rFonts w:ascii="Arial" w:hAnsi="Arial" w:cs="Arial"/>
          <w:sz w:val="22"/>
          <w:szCs w:val="22"/>
        </w:rPr>
        <w:t xml:space="preserve">Section 21.51(a)(3) of </w:t>
      </w:r>
      <w:r w:rsidR="0065212E" w:rsidRPr="0065212E">
        <w:rPr>
          <w:rFonts w:ascii="Arial" w:hAnsi="Arial" w:cs="Arial"/>
          <w:sz w:val="22"/>
          <w:szCs w:val="22"/>
        </w:rPr>
        <w:t xml:space="preserve">10 CFR requires that </w:t>
      </w:r>
      <w:r w:rsidR="0065212E">
        <w:rPr>
          <w:rFonts w:ascii="Arial" w:hAnsi="Arial" w:cs="Arial"/>
          <w:sz w:val="22"/>
          <w:szCs w:val="22"/>
        </w:rPr>
        <w:t>s</w:t>
      </w:r>
      <w:r w:rsidR="0065212E" w:rsidRPr="0065212E">
        <w:rPr>
          <w:rFonts w:ascii="Arial" w:hAnsi="Arial" w:cs="Arial"/>
          <w:sz w:val="22"/>
          <w:szCs w:val="22"/>
        </w:rPr>
        <w:t>uppliers of basic components retain a record of the purchasers of basic components for 10 years after delivery.</w:t>
      </w:r>
      <w:r w:rsidR="0065212E">
        <w:rPr>
          <w:rFonts w:ascii="Arial" w:hAnsi="Arial" w:cs="Arial"/>
          <w:sz w:val="22"/>
          <w:szCs w:val="22"/>
        </w:rPr>
        <w:t xml:space="preserve">  The NRC staff estimates that there are 350 suppliers of basic components who must retain records of purchasers.  </w:t>
      </w:r>
      <w:r w:rsidR="00A710B6">
        <w:rPr>
          <w:rFonts w:ascii="Arial" w:hAnsi="Arial" w:cs="Arial"/>
          <w:sz w:val="22"/>
          <w:szCs w:val="22"/>
        </w:rPr>
        <w:t>T</w:t>
      </w:r>
      <w:r w:rsidR="0065212E">
        <w:rPr>
          <w:rFonts w:ascii="Arial" w:hAnsi="Arial" w:cs="Arial"/>
          <w:sz w:val="22"/>
          <w:szCs w:val="22"/>
        </w:rPr>
        <w:t>he estimated number of recordkeepers</w:t>
      </w:r>
      <w:r w:rsidR="00895BE6">
        <w:rPr>
          <w:rFonts w:ascii="Arial" w:hAnsi="Arial" w:cs="Arial"/>
          <w:sz w:val="22"/>
          <w:szCs w:val="22"/>
        </w:rPr>
        <w:t xml:space="preserve"> </w:t>
      </w:r>
      <w:r w:rsidR="00A710B6">
        <w:rPr>
          <w:rFonts w:ascii="Arial" w:hAnsi="Arial" w:cs="Arial"/>
          <w:sz w:val="22"/>
          <w:szCs w:val="22"/>
        </w:rPr>
        <w:t xml:space="preserve">remains unchanged from the previous submission. </w:t>
      </w:r>
    </w:p>
    <w:p w14:paraId="252D5688" w14:textId="77777777" w:rsidR="002E2E3A" w:rsidRPr="002E2E3A" w:rsidRDefault="002E2E3A" w:rsidP="002E2E3A">
      <w:pPr>
        <w:pStyle w:val="ListParagraph"/>
        <w:rPr>
          <w:rFonts w:ascii="Arial" w:hAnsi="Arial" w:cs="Arial"/>
          <w:sz w:val="22"/>
          <w:szCs w:val="22"/>
        </w:rPr>
      </w:pPr>
    </w:p>
    <w:p w14:paraId="575D6DC8" w14:textId="77777777" w:rsidR="00895BE6" w:rsidRPr="0065212E" w:rsidRDefault="00895BE6" w:rsidP="0065212E">
      <w:pPr>
        <w:pStyle w:val="ListParagraph"/>
        <w:widowControl/>
        <w:numPr>
          <w:ilvl w:val="0"/>
          <w:numId w:val="6"/>
        </w:numPr>
        <w:rPr>
          <w:rFonts w:ascii="Arial" w:hAnsi="Arial" w:cs="Arial"/>
          <w:sz w:val="22"/>
          <w:szCs w:val="22"/>
        </w:rPr>
      </w:pPr>
      <w:r>
        <w:rPr>
          <w:rFonts w:ascii="Arial" w:hAnsi="Arial" w:cs="Arial"/>
          <w:sz w:val="22"/>
          <w:szCs w:val="22"/>
        </w:rPr>
        <w:t xml:space="preserve">On the recordkeeping table, </w:t>
      </w:r>
      <w:r w:rsidR="00F40059">
        <w:rPr>
          <w:rFonts w:ascii="Arial" w:hAnsi="Arial" w:cs="Arial"/>
          <w:sz w:val="22"/>
          <w:szCs w:val="22"/>
        </w:rPr>
        <w:t>requirements for applicants and holders of design certifications to retain notifications for 5 years and purchase records for 15 years were combined.  T</w:t>
      </w:r>
      <w:r>
        <w:rPr>
          <w:rFonts w:ascii="Arial" w:hAnsi="Arial" w:cs="Arial"/>
          <w:sz w:val="22"/>
          <w:szCs w:val="22"/>
        </w:rPr>
        <w:t>he requirement</w:t>
      </w:r>
      <w:r w:rsidR="00F40059">
        <w:rPr>
          <w:rFonts w:ascii="Arial" w:hAnsi="Arial" w:cs="Arial"/>
          <w:sz w:val="22"/>
          <w:szCs w:val="22"/>
        </w:rPr>
        <w:t>s</w:t>
      </w:r>
      <w:r>
        <w:rPr>
          <w:rFonts w:ascii="Arial" w:hAnsi="Arial" w:cs="Arial"/>
          <w:sz w:val="22"/>
          <w:szCs w:val="22"/>
        </w:rPr>
        <w:t xml:space="preserve"> </w:t>
      </w:r>
      <w:r w:rsidR="00F40059">
        <w:rPr>
          <w:rFonts w:ascii="Arial" w:hAnsi="Arial" w:cs="Arial"/>
          <w:sz w:val="22"/>
          <w:szCs w:val="22"/>
        </w:rPr>
        <w:t xml:space="preserve">in 21.51(a)(4) </w:t>
      </w:r>
      <w:r>
        <w:rPr>
          <w:rFonts w:ascii="Arial" w:hAnsi="Arial" w:cs="Arial"/>
          <w:sz w:val="22"/>
          <w:szCs w:val="22"/>
        </w:rPr>
        <w:t xml:space="preserve">for </w:t>
      </w:r>
      <w:r w:rsidR="00F40059">
        <w:rPr>
          <w:rFonts w:ascii="Arial" w:hAnsi="Arial" w:cs="Arial"/>
          <w:sz w:val="22"/>
          <w:szCs w:val="22"/>
        </w:rPr>
        <w:t>a</w:t>
      </w:r>
      <w:r w:rsidR="00F40059" w:rsidRPr="00F40059">
        <w:rPr>
          <w:rFonts w:ascii="Arial" w:hAnsi="Arial" w:cs="Arial"/>
          <w:sz w:val="22"/>
          <w:szCs w:val="22"/>
        </w:rPr>
        <w:t xml:space="preserve">pplicants for standard design certification under subpart B of part 52 </w:t>
      </w:r>
      <w:r w:rsidR="00F40059">
        <w:rPr>
          <w:rFonts w:ascii="Arial" w:hAnsi="Arial" w:cs="Arial"/>
          <w:sz w:val="22"/>
          <w:szCs w:val="22"/>
        </w:rPr>
        <w:t>to retain notifications for 5 years and purchase records for 15 years was combined with the requirement in 21.51(a)(5) for a</w:t>
      </w:r>
      <w:r w:rsidR="00F40059" w:rsidRPr="00F40059">
        <w:rPr>
          <w:rFonts w:ascii="Arial" w:hAnsi="Arial" w:cs="Arial"/>
          <w:sz w:val="22"/>
          <w:szCs w:val="22"/>
        </w:rPr>
        <w:t>pplicants for or holders of a standard design approval</w:t>
      </w:r>
      <w:r w:rsidR="002E2E3A">
        <w:rPr>
          <w:rFonts w:ascii="Arial" w:hAnsi="Arial" w:cs="Arial"/>
          <w:sz w:val="22"/>
          <w:szCs w:val="22"/>
        </w:rPr>
        <w:t xml:space="preserve"> to retain notifications for 5 years and purchase records for 15 years.</w:t>
      </w:r>
      <w:r w:rsidR="00F673D4">
        <w:rPr>
          <w:rFonts w:ascii="Arial" w:hAnsi="Arial" w:cs="Arial"/>
          <w:sz w:val="22"/>
          <w:szCs w:val="22"/>
        </w:rPr>
        <w:t xml:space="preserve">  The number of recordkeepers for these requirements </w:t>
      </w:r>
      <w:r w:rsidR="00A710B6">
        <w:rPr>
          <w:rFonts w:ascii="Arial" w:hAnsi="Arial" w:cs="Arial"/>
          <w:sz w:val="22"/>
          <w:szCs w:val="22"/>
        </w:rPr>
        <w:t>remain</w:t>
      </w:r>
      <w:r w:rsidR="00971B06">
        <w:rPr>
          <w:rFonts w:ascii="Arial" w:hAnsi="Arial" w:cs="Arial"/>
          <w:sz w:val="22"/>
          <w:szCs w:val="22"/>
        </w:rPr>
        <w:t>ed</w:t>
      </w:r>
      <w:r w:rsidR="00A710B6">
        <w:rPr>
          <w:rFonts w:ascii="Arial" w:hAnsi="Arial" w:cs="Arial"/>
          <w:sz w:val="22"/>
          <w:szCs w:val="22"/>
        </w:rPr>
        <w:t xml:space="preserve"> the same </w:t>
      </w:r>
      <w:r w:rsidR="00F673D4">
        <w:rPr>
          <w:rFonts w:ascii="Arial" w:hAnsi="Arial" w:cs="Arial"/>
          <w:sz w:val="22"/>
          <w:szCs w:val="22"/>
        </w:rPr>
        <w:t>based on the actual number of known applicants and holders of design certifications.</w:t>
      </w:r>
    </w:p>
    <w:p w14:paraId="36496B59" w14:textId="77777777" w:rsidR="00160015" w:rsidRDefault="00160015">
      <w:pPr>
        <w:widowControl/>
        <w:ind w:left="1440"/>
        <w:rPr>
          <w:rFonts w:ascii="Arial" w:hAnsi="Arial" w:cs="Arial"/>
          <w:sz w:val="22"/>
          <w:szCs w:val="22"/>
        </w:rPr>
      </w:pPr>
    </w:p>
    <w:p w14:paraId="7C0AE2CE" w14:textId="736903D2" w:rsidR="004445D0" w:rsidRDefault="002E2E3A" w:rsidP="00EE6719">
      <w:pPr>
        <w:widowControl/>
        <w:ind w:left="1440"/>
        <w:rPr>
          <w:rFonts w:ascii="Arial" w:hAnsi="Arial" w:cs="Arial"/>
          <w:sz w:val="22"/>
          <w:szCs w:val="22"/>
        </w:rPr>
      </w:pPr>
      <w:r>
        <w:rPr>
          <w:rFonts w:ascii="Arial" w:hAnsi="Arial" w:cs="Arial"/>
          <w:sz w:val="22"/>
          <w:szCs w:val="22"/>
        </w:rPr>
        <w:t xml:space="preserve">The number of responses for the collection increased from </w:t>
      </w:r>
      <w:r w:rsidR="00971B06">
        <w:rPr>
          <w:rFonts w:ascii="Arial" w:hAnsi="Arial" w:cs="Arial"/>
          <w:sz w:val="22"/>
          <w:szCs w:val="22"/>
        </w:rPr>
        <w:t>447</w:t>
      </w:r>
      <w:r>
        <w:rPr>
          <w:rFonts w:ascii="Arial" w:hAnsi="Arial" w:cs="Arial"/>
          <w:sz w:val="22"/>
          <w:szCs w:val="22"/>
        </w:rPr>
        <w:t xml:space="preserve"> responses (</w:t>
      </w:r>
      <w:r w:rsidR="00971B06">
        <w:rPr>
          <w:rFonts w:ascii="Arial" w:hAnsi="Arial" w:cs="Arial"/>
          <w:sz w:val="22"/>
          <w:szCs w:val="22"/>
        </w:rPr>
        <w:t>96</w:t>
      </w:r>
      <w:r>
        <w:rPr>
          <w:rFonts w:ascii="Arial" w:hAnsi="Arial" w:cs="Arial"/>
          <w:sz w:val="22"/>
          <w:szCs w:val="22"/>
        </w:rPr>
        <w:t xml:space="preserve"> reporting responses + </w:t>
      </w:r>
      <w:r w:rsidR="00971B06">
        <w:rPr>
          <w:rFonts w:ascii="Arial" w:hAnsi="Arial" w:cs="Arial"/>
          <w:sz w:val="22"/>
          <w:szCs w:val="22"/>
        </w:rPr>
        <w:t>350</w:t>
      </w:r>
      <w:r>
        <w:rPr>
          <w:rFonts w:ascii="Arial" w:hAnsi="Arial" w:cs="Arial"/>
          <w:sz w:val="22"/>
          <w:szCs w:val="22"/>
        </w:rPr>
        <w:t xml:space="preserve"> recordkeepers</w:t>
      </w:r>
      <w:r w:rsidR="00971B06">
        <w:rPr>
          <w:rFonts w:ascii="Arial" w:hAnsi="Arial" w:cs="Arial"/>
          <w:sz w:val="22"/>
          <w:szCs w:val="22"/>
        </w:rPr>
        <w:t xml:space="preserve"> + 1 disclosure response</w:t>
      </w:r>
      <w:r>
        <w:rPr>
          <w:rFonts w:ascii="Arial" w:hAnsi="Arial" w:cs="Arial"/>
          <w:sz w:val="22"/>
          <w:szCs w:val="22"/>
        </w:rPr>
        <w:t xml:space="preserve">) to </w:t>
      </w:r>
      <w:r w:rsidR="00707F1F">
        <w:rPr>
          <w:rFonts w:ascii="Arial" w:hAnsi="Arial" w:cs="Arial"/>
          <w:sz w:val="22"/>
          <w:szCs w:val="22"/>
        </w:rPr>
        <w:t>531</w:t>
      </w:r>
      <w:r>
        <w:rPr>
          <w:rFonts w:ascii="Arial" w:hAnsi="Arial" w:cs="Arial"/>
          <w:sz w:val="22"/>
          <w:szCs w:val="22"/>
        </w:rPr>
        <w:t xml:space="preserve"> responses (</w:t>
      </w:r>
      <w:r w:rsidR="00707F1F">
        <w:rPr>
          <w:rFonts w:ascii="Arial" w:hAnsi="Arial" w:cs="Arial"/>
          <w:sz w:val="22"/>
          <w:szCs w:val="22"/>
        </w:rPr>
        <w:t>178</w:t>
      </w:r>
      <w:r>
        <w:rPr>
          <w:rFonts w:ascii="Arial" w:hAnsi="Arial" w:cs="Arial"/>
          <w:sz w:val="22"/>
          <w:szCs w:val="22"/>
        </w:rPr>
        <w:t xml:space="preserve"> reporting responses + 350 recordkeepers + </w:t>
      </w:r>
      <w:r w:rsidR="00971B06">
        <w:rPr>
          <w:rFonts w:ascii="Arial" w:hAnsi="Arial" w:cs="Arial"/>
          <w:sz w:val="22"/>
          <w:szCs w:val="22"/>
        </w:rPr>
        <w:t>3</w:t>
      </w:r>
      <w:r>
        <w:rPr>
          <w:rFonts w:ascii="Arial" w:hAnsi="Arial" w:cs="Arial"/>
          <w:sz w:val="22"/>
          <w:szCs w:val="22"/>
        </w:rPr>
        <w:t xml:space="preserve"> third party disclosure response</w:t>
      </w:r>
      <w:r w:rsidR="00731A61">
        <w:rPr>
          <w:rFonts w:ascii="Arial" w:hAnsi="Arial" w:cs="Arial"/>
          <w:sz w:val="22"/>
          <w:szCs w:val="22"/>
        </w:rPr>
        <w:t>s</w:t>
      </w:r>
      <w:r>
        <w:rPr>
          <w:rFonts w:ascii="Arial" w:hAnsi="Arial" w:cs="Arial"/>
          <w:sz w:val="22"/>
          <w:szCs w:val="22"/>
        </w:rPr>
        <w:t xml:space="preserve">).  The increase is primarily due to </w:t>
      </w:r>
      <w:r w:rsidR="00731A61">
        <w:rPr>
          <w:rFonts w:ascii="Arial" w:hAnsi="Arial" w:cs="Arial"/>
          <w:sz w:val="22"/>
          <w:szCs w:val="22"/>
        </w:rPr>
        <w:t xml:space="preserve">reporting related to </w:t>
      </w:r>
      <w:r w:rsidR="00971B06">
        <w:rPr>
          <w:rFonts w:ascii="Arial" w:hAnsi="Arial" w:cs="Arial"/>
          <w:sz w:val="22"/>
          <w:szCs w:val="22"/>
        </w:rPr>
        <w:t>new reactor construction activities</w:t>
      </w:r>
      <w:r>
        <w:rPr>
          <w:rFonts w:ascii="Arial" w:hAnsi="Arial" w:cs="Arial"/>
          <w:sz w:val="22"/>
          <w:szCs w:val="22"/>
        </w:rPr>
        <w:t>.</w:t>
      </w:r>
    </w:p>
    <w:p w14:paraId="48ABECAD" w14:textId="77777777" w:rsidR="002E2E3A" w:rsidRDefault="002E2E3A">
      <w:pPr>
        <w:widowControl/>
        <w:ind w:left="1440"/>
        <w:rPr>
          <w:rFonts w:ascii="Arial" w:hAnsi="Arial" w:cs="Arial"/>
          <w:sz w:val="22"/>
          <w:szCs w:val="22"/>
        </w:rPr>
      </w:pPr>
    </w:p>
    <w:p w14:paraId="06A37BCC" w14:textId="77777777" w:rsidR="002E2E3A" w:rsidRPr="00160015" w:rsidRDefault="002E2E3A">
      <w:pPr>
        <w:widowControl/>
        <w:ind w:left="1440"/>
        <w:rPr>
          <w:rFonts w:ascii="Arial" w:hAnsi="Arial" w:cs="Arial"/>
          <w:sz w:val="22"/>
          <w:szCs w:val="22"/>
        </w:rPr>
      </w:pPr>
    </w:p>
    <w:tbl>
      <w:tblPr>
        <w:tblW w:w="9325" w:type="dxa"/>
        <w:tblInd w:w="648" w:type="dxa"/>
        <w:tblLook w:val="04A0" w:firstRow="1" w:lastRow="0" w:firstColumn="1" w:lastColumn="0" w:noHBand="0" w:noVBand="1"/>
      </w:tblPr>
      <w:tblGrid>
        <w:gridCol w:w="2365"/>
        <w:gridCol w:w="1720"/>
        <w:gridCol w:w="1806"/>
        <w:gridCol w:w="1720"/>
        <w:gridCol w:w="1714"/>
      </w:tblGrid>
      <w:tr w:rsidR="00160015" w:rsidRPr="00160015" w14:paraId="13B40B20" w14:textId="77777777" w:rsidTr="00160015">
        <w:trPr>
          <w:trHeight w:val="300"/>
        </w:trPr>
        <w:tc>
          <w:tcPr>
            <w:tcW w:w="932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0F782" w14:textId="77777777" w:rsidR="00160015" w:rsidRPr="00160015" w:rsidRDefault="00160015" w:rsidP="00160015">
            <w:pPr>
              <w:widowControl/>
              <w:autoSpaceDE/>
              <w:autoSpaceDN/>
              <w:adjustRightInd/>
              <w:jc w:val="center"/>
              <w:rPr>
                <w:rFonts w:ascii="Arial" w:hAnsi="Arial" w:cs="Arial"/>
                <w:b/>
                <w:bCs/>
                <w:color w:val="000000"/>
                <w:sz w:val="22"/>
                <w:szCs w:val="22"/>
              </w:rPr>
            </w:pPr>
            <w:r w:rsidRPr="00160015">
              <w:rPr>
                <w:rFonts w:ascii="Arial" w:hAnsi="Arial" w:cs="Arial"/>
                <w:b/>
                <w:bCs/>
                <w:color w:val="000000"/>
                <w:sz w:val="22"/>
                <w:szCs w:val="22"/>
              </w:rPr>
              <w:t>RESPONSES</w:t>
            </w:r>
          </w:p>
        </w:tc>
      </w:tr>
      <w:tr w:rsidR="00160015" w:rsidRPr="00160015" w14:paraId="123E2FEB" w14:textId="77777777" w:rsidTr="00160015">
        <w:trPr>
          <w:trHeight w:val="600"/>
        </w:trPr>
        <w:tc>
          <w:tcPr>
            <w:tcW w:w="2365" w:type="dxa"/>
            <w:tcBorders>
              <w:top w:val="nil"/>
              <w:left w:val="single" w:sz="4" w:space="0" w:color="auto"/>
              <w:bottom w:val="single" w:sz="4" w:space="0" w:color="auto"/>
              <w:right w:val="single" w:sz="4" w:space="0" w:color="auto"/>
            </w:tcBorders>
            <w:shd w:val="clear" w:color="auto" w:fill="auto"/>
            <w:hideMark/>
          </w:tcPr>
          <w:p w14:paraId="7D1B7661" w14:textId="77777777" w:rsidR="00160015" w:rsidRPr="00160015" w:rsidRDefault="00160015" w:rsidP="00160015">
            <w:pPr>
              <w:widowControl/>
              <w:autoSpaceDE/>
              <w:autoSpaceDN/>
              <w:adjustRightInd/>
              <w:rPr>
                <w:rFonts w:ascii="Arial" w:hAnsi="Arial" w:cs="Arial"/>
                <w:bCs/>
                <w:color w:val="000000"/>
                <w:sz w:val="22"/>
                <w:szCs w:val="22"/>
              </w:rPr>
            </w:pPr>
            <w:r w:rsidRPr="00160015">
              <w:rPr>
                <w:rFonts w:ascii="Arial" w:hAnsi="Arial" w:cs="Arial"/>
                <w:bCs/>
                <w:color w:val="000000"/>
                <w:sz w:val="22"/>
                <w:szCs w:val="22"/>
              </w:rPr>
              <w:t> </w:t>
            </w:r>
          </w:p>
        </w:tc>
        <w:tc>
          <w:tcPr>
            <w:tcW w:w="1720" w:type="dxa"/>
            <w:tcBorders>
              <w:top w:val="nil"/>
              <w:left w:val="nil"/>
              <w:bottom w:val="single" w:sz="4" w:space="0" w:color="auto"/>
              <w:right w:val="single" w:sz="4" w:space="0" w:color="auto"/>
            </w:tcBorders>
            <w:shd w:val="clear" w:color="auto" w:fill="auto"/>
            <w:hideMark/>
          </w:tcPr>
          <w:p w14:paraId="21996A71" w14:textId="77777777" w:rsidR="00160015" w:rsidRPr="00160015" w:rsidRDefault="00160015" w:rsidP="00160015">
            <w:pPr>
              <w:widowControl/>
              <w:autoSpaceDE/>
              <w:autoSpaceDN/>
              <w:adjustRightInd/>
              <w:jc w:val="center"/>
              <w:rPr>
                <w:rFonts w:ascii="Arial" w:hAnsi="Arial" w:cs="Arial"/>
                <w:bCs/>
                <w:color w:val="000000"/>
                <w:sz w:val="22"/>
                <w:szCs w:val="22"/>
              </w:rPr>
            </w:pPr>
            <w:r w:rsidRPr="00160015">
              <w:rPr>
                <w:rFonts w:ascii="Arial" w:hAnsi="Arial" w:cs="Arial"/>
                <w:bCs/>
                <w:color w:val="000000"/>
                <w:sz w:val="22"/>
                <w:szCs w:val="22"/>
              </w:rPr>
              <w:t>Reporting</w:t>
            </w:r>
          </w:p>
        </w:tc>
        <w:tc>
          <w:tcPr>
            <w:tcW w:w="1806" w:type="dxa"/>
            <w:tcBorders>
              <w:top w:val="nil"/>
              <w:left w:val="nil"/>
              <w:bottom w:val="single" w:sz="4" w:space="0" w:color="auto"/>
              <w:right w:val="single" w:sz="4" w:space="0" w:color="auto"/>
            </w:tcBorders>
            <w:shd w:val="clear" w:color="auto" w:fill="auto"/>
            <w:hideMark/>
          </w:tcPr>
          <w:p w14:paraId="159526A1" w14:textId="77777777" w:rsidR="00160015" w:rsidRPr="00160015" w:rsidRDefault="00160015" w:rsidP="00160015">
            <w:pPr>
              <w:widowControl/>
              <w:autoSpaceDE/>
              <w:autoSpaceDN/>
              <w:adjustRightInd/>
              <w:jc w:val="center"/>
              <w:rPr>
                <w:rFonts w:ascii="Arial" w:hAnsi="Arial" w:cs="Arial"/>
                <w:bCs/>
                <w:color w:val="000000"/>
                <w:sz w:val="22"/>
                <w:szCs w:val="22"/>
              </w:rPr>
            </w:pPr>
            <w:r w:rsidRPr="00160015">
              <w:rPr>
                <w:rFonts w:ascii="Arial" w:hAnsi="Arial" w:cs="Arial"/>
                <w:bCs/>
                <w:color w:val="000000"/>
                <w:sz w:val="22"/>
                <w:szCs w:val="22"/>
              </w:rPr>
              <w:t>Recordkeepers</w:t>
            </w:r>
          </w:p>
        </w:tc>
        <w:tc>
          <w:tcPr>
            <w:tcW w:w="1720" w:type="dxa"/>
            <w:tcBorders>
              <w:top w:val="nil"/>
              <w:left w:val="nil"/>
              <w:bottom w:val="single" w:sz="4" w:space="0" w:color="auto"/>
              <w:right w:val="single" w:sz="4" w:space="0" w:color="auto"/>
            </w:tcBorders>
            <w:shd w:val="clear" w:color="auto" w:fill="auto"/>
            <w:hideMark/>
          </w:tcPr>
          <w:p w14:paraId="15F79D19" w14:textId="77777777" w:rsidR="00160015" w:rsidRPr="00160015" w:rsidRDefault="00160015" w:rsidP="00160015">
            <w:pPr>
              <w:widowControl/>
              <w:autoSpaceDE/>
              <w:autoSpaceDN/>
              <w:adjustRightInd/>
              <w:jc w:val="center"/>
              <w:rPr>
                <w:rFonts w:ascii="Arial" w:hAnsi="Arial" w:cs="Arial"/>
                <w:bCs/>
                <w:color w:val="000000"/>
                <w:sz w:val="22"/>
                <w:szCs w:val="22"/>
              </w:rPr>
            </w:pPr>
            <w:r w:rsidRPr="00160015">
              <w:rPr>
                <w:rFonts w:ascii="Arial" w:hAnsi="Arial" w:cs="Arial"/>
                <w:bCs/>
                <w:color w:val="000000"/>
                <w:sz w:val="22"/>
                <w:szCs w:val="22"/>
              </w:rPr>
              <w:t>Third Party Disclosure</w:t>
            </w:r>
          </w:p>
        </w:tc>
        <w:tc>
          <w:tcPr>
            <w:tcW w:w="1714" w:type="dxa"/>
            <w:tcBorders>
              <w:top w:val="nil"/>
              <w:left w:val="nil"/>
              <w:bottom w:val="single" w:sz="4" w:space="0" w:color="auto"/>
              <w:right w:val="single" w:sz="4" w:space="0" w:color="auto"/>
            </w:tcBorders>
            <w:shd w:val="clear" w:color="auto" w:fill="auto"/>
            <w:hideMark/>
          </w:tcPr>
          <w:p w14:paraId="57527ACF" w14:textId="77777777" w:rsidR="00160015" w:rsidRPr="00160015" w:rsidRDefault="00160015" w:rsidP="00160015">
            <w:pPr>
              <w:widowControl/>
              <w:autoSpaceDE/>
              <w:autoSpaceDN/>
              <w:adjustRightInd/>
              <w:jc w:val="center"/>
              <w:rPr>
                <w:rFonts w:ascii="Arial" w:hAnsi="Arial" w:cs="Arial"/>
                <w:bCs/>
                <w:color w:val="000000"/>
                <w:sz w:val="22"/>
                <w:szCs w:val="22"/>
              </w:rPr>
            </w:pPr>
            <w:r w:rsidRPr="00160015">
              <w:rPr>
                <w:rFonts w:ascii="Arial" w:hAnsi="Arial" w:cs="Arial"/>
                <w:bCs/>
                <w:color w:val="000000"/>
                <w:sz w:val="22"/>
                <w:szCs w:val="22"/>
              </w:rPr>
              <w:t>TOTAL</w:t>
            </w:r>
          </w:p>
        </w:tc>
      </w:tr>
      <w:tr w:rsidR="00160015" w:rsidRPr="00160015" w14:paraId="3E57100D" w14:textId="77777777" w:rsidTr="00160015">
        <w:trPr>
          <w:trHeight w:val="300"/>
        </w:trPr>
        <w:tc>
          <w:tcPr>
            <w:tcW w:w="2365" w:type="dxa"/>
            <w:tcBorders>
              <w:top w:val="nil"/>
              <w:left w:val="single" w:sz="4" w:space="0" w:color="auto"/>
              <w:bottom w:val="single" w:sz="4" w:space="0" w:color="auto"/>
              <w:right w:val="single" w:sz="4" w:space="0" w:color="auto"/>
            </w:tcBorders>
            <w:shd w:val="clear" w:color="auto" w:fill="auto"/>
            <w:hideMark/>
          </w:tcPr>
          <w:p w14:paraId="76C1003E" w14:textId="270798BA" w:rsidR="00160015" w:rsidRPr="00160015" w:rsidRDefault="00160015">
            <w:pPr>
              <w:widowControl/>
              <w:autoSpaceDE/>
              <w:autoSpaceDN/>
              <w:adjustRightInd/>
              <w:rPr>
                <w:rFonts w:ascii="Arial" w:hAnsi="Arial" w:cs="Arial"/>
                <w:bCs/>
                <w:color w:val="000000"/>
                <w:sz w:val="22"/>
                <w:szCs w:val="22"/>
              </w:rPr>
            </w:pPr>
            <w:r w:rsidRPr="00160015">
              <w:rPr>
                <w:rFonts w:ascii="Arial" w:hAnsi="Arial" w:cs="Arial"/>
                <w:bCs/>
                <w:color w:val="000000"/>
                <w:sz w:val="22"/>
                <w:szCs w:val="22"/>
              </w:rPr>
              <w:t>201</w:t>
            </w:r>
            <w:r w:rsidR="00BA0536">
              <w:rPr>
                <w:rFonts w:ascii="Arial" w:hAnsi="Arial" w:cs="Arial"/>
                <w:bCs/>
                <w:color w:val="000000"/>
                <w:sz w:val="22"/>
                <w:szCs w:val="22"/>
              </w:rPr>
              <w:t>3</w:t>
            </w:r>
            <w:r w:rsidRPr="00160015">
              <w:rPr>
                <w:rFonts w:ascii="Arial" w:hAnsi="Arial" w:cs="Arial"/>
                <w:bCs/>
                <w:color w:val="000000"/>
                <w:sz w:val="22"/>
                <w:szCs w:val="22"/>
              </w:rPr>
              <w:t xml:space="preserve"> submission</w:t>
            </w:r>
          </w:p>
        </w:tc>
        <w:tc>
          <w:tcPr>
            <w:tcW w:w="1720" w:type="dxa"/>
            <w:tcBorders>
              <w:top w:val="nil"/>
              <w:left w:val="nil"/>
              <w:bottom w:val="single" w:sz="4" w:space="0" w:color="auto"/>
              <w:right w:val="single" w:sz="4" w:space="0" w:color="auto"/>
            </w:tcBorders>
            <w:shd w:val="clear" w:color="auto" w:fill="auto"/>
            <w:hideMark/>
          </w:tcPr>
          <w:p w14:paraId="65333B5D" w14:textId="77777777" w:rsidR="00160015" w:rsidRPr="00160015" w:rsidRDefault="00D1051D" w:rsidP="00D1051D">
            <w:pPr>
              <w:widowControl/>
              <w:autoSpaceDE/>
              <w:autoSpaceDN/>
              <w:adjustRightInd/>
              <w:jc w:val="right"/>
              <w:rPr>
                <w:rFonts w:ascii="Arial" w:hAnsi="Arial" w:cs="Arial"/>
                <w:color w:val="000000"/>
                <w:sz w:val="22"/>
                <w:szCs w:val="22"/>
              </w:rPr>
            </w:pPr>
            <w:r>
              <w:rPr>
                <w:rFonts w:ascii="Arial" w:hAnsi="Arial" w:cs="Arial"/>
                <w:color w:val="000000"/>
                <w:sz w:val="22"/>
                <w:szCs w:val="22"/>
              </w:rPr>
              <w:t>96</w:t>
            </w:r>
          </w:p>
        </w:tc>
        <w:tc>
          <w:tcPr>
            <w:tcW w:w="1806" w:type="dxa"/>
            <w:tcBorders>
              <w:top w:val="nil"/>
              <w:left w:val="nil"/>
              <w:bottom w:val="single" w:sz="4" w:space="0" w:color="auto"/>
              <w:right w:val="single" w:sz="4" w:space="0" w:color="auto"/>
            </w:tcBorders>
            <w:shd w:val="clear" w:color="auto" w:fill="auto"/>
            <w:hideMark/>
          </w:tcPr>
          <w:p w14:paraId="79794DE7" w14:textId="77777777" w:rsidR="00160015" w:rsidRPr="00160015" w:rsidRDefault="00D1051D" w:rsidP="00160015">
            <w:pPr>
              <w:widowControl/>
              <w:autoSpaceDE/>
              <w:autoSpaceDN/>
              <w:adjustRightInd/>
              <w:jc w:val="right"/>
              <w:rPr>
                <w:rFonts w:ascii="Arial" w:hAnsi="Arial" w:cs="Arial"/>
                <w:color w:val="000000"/>
                <w:sz w:val="22"/>
                <w:szCs w:val="22"/>
              </w:rPr>
            </w:pPr>
            <w:r>
              <w:rPr>
                <w:rFonts w:ascii="Arial" w:hAnsi="Arial" w:cs="Arial"/>
                <w:color w:val="000000"/>
                <w:sz w:val="22"/>
                <w:szCs w:val="22"/>
              </w:rPr>
              <w:t>350</w:t>
            </w:r>
          </w:p>
        </w:tc>
        <w:tc>
          <w:tcPr>
            <w:tcW w:w="1720" w:type="dxa"/>
            <w:tcBorders>
              <w:top w:val="nil"/>
              <w:left w:val="nil"/>
              <w:bottom w:val="single" w:sz="4" w:space="0" w:color="auto"/>
              <w:right w:val="single" w:sz="4" w:space="0" w:color="auto"/>
            </w:tcBorders>
            <w:shd w:val="clear" w:color="auto" w:fill="auto"/>
            <w:hideMark/>
          </w:tcPr>
          <w:p w14:paraId="3DAE7F12" w14:textId="77777777" w:rsidR="00160015" w:rsidRPr="00160015" w:rsidRDefault="00D1051D" w:rsidP="00160015">
            <w:pPr>
              <w:widowControl/>
              <w:autoSpaceDE/>
              <w:autoSpaceDN/>
              <w:adjustRightInd/>
              <w:jc w:val="right"/>
              <w:rPr>
                <w:rFonts w:ascii="Arial" w:hAnsi="Arial" w:cs="Arial"/>
                <w:color w:val="000000"/>
                <w:sz w:val="22"/>
                <w:szCs w:val="22"/>
              </w:rPr>
            </w:pPr>
            <w:r>
              <w:rPr>
                <w:rFonts w:ascii="Arial" w:hAnsi="Arial" w:cs="Arial"/>
                <w:color w:val="000000"/>
                <w:sz w:val="22"/>
                <w:szCs w:val="22"/>
              </w:rPr>
              <w:t>1</w:t>
            </w:r>
          </w:p>
        </w:tc>
        <w:tc>
          <w:tcPr>
            <w:tcW w:w="1714" w:type="dxa"/>
            <w:tcBorders>
              <w:top w:val="nil"/>
              <w:left w:val="nil"/>
              <w:bottom w:val="single" w:sz="4" w:space="0" w:color="auto"/>
              <w:right w:val="single" w:sz="4" w:space="0" w:color="auto"/>
            </w:tcBorders>
            <w:shd w:val="clear" w:color="auto" w:fill="auto"/>
            <w:hideMark/>
          </w:tcPr>
          <w:p w14:paraId="6A4D9B98" w14:textId="77777777" w:rsidR="00160015" w:rsidRPr="00160015" w:rsidRDefault="00D1051D" w:rsidP="00160015">
            <w:pPr>
              <w:widowControl/>
              <w:autoSpaceDE/>
              <w:autoSpaceDN/>
              <w:adjustRightInd/>
              <w:jc w:val="right"/>
              <w:rPr>
                <w:rFonts w:ascii="Arial" w:hAnsi="Arial" w:cs="Arial"/>
                <w:color w:val="000000"/>
                <w:sz w:val="22"/>
                <w:szCs w:val="22"/>
              </w:rPr>
            </w:pPr>
            <w:r>
              <w:rPr>
                <w:rFonts w:ascii="Arial" w:hAnsi="Arial" w:cs="Arial"/>
                <w:color w:val="000000"/>
                <w:sz w:val="22"/>
                <w:szCs w:val="22"/>
              </w:rPr>
              <w:t>447</w:t>
            </w:r>
          </w:p>
        </w:tc>
      </w:tr>
      <w:tr w:rsidR="00160015" w:rsidRPr="00160015" w14:paraId="5CC42BBD" w14:textId="77777777" w:rsidTr="00160015">
        <w:trPr>
          <w:trHeight w:val="300"/>
        </w:trPr>
        <w:tc>
          <w:tcPr>
            <w:tcW w:w="2365" w:type="dxa"/>
            <w:tcBorders>
              <w:top w:val="nil"/>
              <w:left w:val="single" w:sz="4" w:space="0" w:color="auto"/>
              <w:bottom w:val="single" w:sz="4" w:space="0" w:color="auto"/>
              <w:right w:val="single" w:sz="4" w:space="0" w:color="auto"/>
            </w:tcBorders>
            <w:shd w:val="clear" w:color="auto" w:fill="auto"/>
            <w:hideMark/>
          </w:tcPr>
          <w:p w14:paraId="2D0FA9E7" w14:textId="77777777" w:rsidR="00160015" w:rsidRPr="00160015" w:rsidRDefault="00160015" w:rsidP="00160015">
            <w:pPr>
              <w:widowControl/>
              <w:autoSpaceDE/>
              <w:autoSpaceDN/>
              <w:adjustRightInd/>
              <w:rPr>
                <w:rFonts w:ascii="Arial" w:hAnsi="Arial" w:cs="Arial"/>
                <w:bCs/>
                <w:color w:val="000000"/>
                <w:sz w:val="22"/>
                <w:szCs w:val="22"/>
              </w:rPr>
            </w:pPr>
            <w:r w:rsidRPr="00160015">
              <w:rPr>
                <w:rFonts w:ascii="Arial" w:hAnsi="Arial" w:cs="Arial"/>
                <w:bCs/>
                <w:color w:val="000000"/>
                <w:sz w:val="22"/>
                <w:szCs w:val="22"/>
              </w:rPr>
              <w:t>Current submission</w:t>
            </w:r>
          </w:p>
        </w:tc>
        <w:tc>
          <w:tcPr>
            <w:tcW w:w="1720" w:type="dxa"/>
            <w:tcBorders>
              <w:top w:val="nil"/>
              <w:left w:val="nil"/>
              <w:bottom w:val="single" w:sz="4" w:space="0" w:color="auto"/>
              <w:right w:val="single" w:sz="4" w:space="0" w:color="auto"/>
            </w:tcBorders>
            <w:shd w:val="clear" w:color="auto" w:fill="auto"/>
            <w:hideMark/>
          </w:tcPr>
          <w:p w14:paraId="4CF5BAF7" w14:textId="7420D958" w:rsidR="00160015" w:rsidRPr="00160015" w:rsidRDefault="00D1051D" w:rsidP="00D1051D">
            <w:pPr>
              <w:widowControl/>
              <w:autoSpaceDE/>
              <w:autoSpaceDN/>
              <w:adjustRightInd/>
              <w:jc w:val="right"/>
              <w:rPr>
                <w:rFonts w:ascii="Arial" w:hAnsi="Arial" w:cs="Arial"/>
                <w:color w:val="000000"/>
                <w:sz w:val="22"/>
                <w:szCs w:val="22"/>
              </w:rPr>
            </w:pPr>
            <w:r>
              <w:rPr>
                <w:rFonts w:ascii="Arial" w:hAnsi="Arial" w:cs="Arial"/>
                <w:color w:val="000000"/>
                <w:sz w:val="22"/>
                <w:szCs w:val="22"/>
              </w:rPr>
              <w:t>17</w:t>
            </w:r>
            <w:r w:rsidR="00707F1F">
              <w:rPr>
                <w:rFonts w:ascii="Arial" w:hAnsi="Arial" w:cs="Arial"/>
                <w:color w:val="000000"/>
                <w:sz w:val="22"/>
                <w:szCs w:val="22"/>
              </w:rPr>
              <w:t>8</w:t>
            </w:r>
          </w:p>
        </w:tc>
        <w:tc>
          <w:tcPr>
            <w:tcW w:w="1806" w:type="dxa"/>
            <w:tcBorders>
              <w:top w:val="nil"/>
              <w:left w:val="nil"/>
              <w:bottom w:val="single" w:sz="4" w:space="0" w:color="auto"/>
              <w:right w:val="single" w:sz="4" w:space="0" w:color="auto"/>
            </w:tcBorders>
            <w:shd w:val="clear" w:color="auto" w:fill="auto"/>
            <w:hideMark/>
          </w:tcPr>
          <w:p w14:paraId="0A126A7A" w14:textId="77777777" w:rsidR="00160015" w:rsidRPr="00160015" w:rsidRDefault="00160015" w:rsidP="00160015">
            <w:pPr>
              <w:widowControl/>
              <w:autoSpaceDE/>
              <w:autoSpaceDN/>
              <w:adjustRightInd/>
              <w:jc w:val="right"/>
              <w:rPr>
                <w:rFonts w:ascii="Arial" w:hAnsi="Arial" w:cs="Arial"/>
                <w:color w:val="000000"/>
                <w:sz w:val="22"/>
                <w:szCs w:val="22"/>
              </w:rPr>
            </w:pPr>
            <w:r w:rsidRPr="00160015">
              <w:rPr>
                <w:rFonts w:ascii="Arial" w:hAnsi="Arial" w:cs="Arial"/>
                <w:color w:val="000000"/>
                <w:sz w:val="22"/>
                <w:szCs w:val="22"/>
              </w:rPr>
              <w:t>350</w:t>
            </w:r>
          </w:p>
        </w:tc>
        <w:tc>
          <w:tcPr>
            <w:tcW w:w="1720" w:type="dxa"/>
            <w:tcBorders>
              <w:top w:val="nil"/>
              <w:left w:val="nil"/>
              <w:bottom w:val="single" w:sz="4" w:space="0" w:color="auto"/>
              <w:right w:val="single" w:sz="4" w:space="0" w:color="auto"/>
            </w:tcBorders>
            <w:shd w:val="clear" w:color="auto" w:fill="auto"/>
            <w:hideMark/>
          </w:tcPr>
          <w:p w14:paraId="7F8B8E80" w14:textId="77777777" w:rsidR="00160015" w:rsidRPr="00160015" w:rsidRDefault="00D1051D" w:rsidP="00160015">
            <w:pPr>
              <w:widowControl/>
              <w:autoSpaceDE/>
              <w:autoSpaceDN/>
              <w:adjustRightInd/>
              <w:jc w:val="right"/>
              <w:rPr>
                <w:rFonts w:ascii="Arial" w:hAnsi="Arial" w:cs="Arial"/>
                <w:color w:val="000000"/>
                <w:sz w:val="22"/>
                <w:szCs w:val="22"/>
              </w:rPr>
            </w:pPr>
            <w:r>
              <w:rPr>
                <w:rFonts w:ascii="Arial" w:hAnsi="Arial" w:cs="Arial"/>
                <w:color w:val="000000"/>
                <w:sz w:val="22"/>
                <w:szCs w:val="22"/>
              </w:rPr>
              <w:t>3</w:t>
            </w:r>
          </w:p>
        </w:tc>
        <w:tc>
          <w:tcPr>
            <w:tcW w:w="1714" w:type="dxa"/>
            <w:tcBorders>
              <w:top w:val="nil"/>
              <w:left w:val="nil"/>
              <w:bottom w:val="single" w:sz="4" w:space="0" w:color="auto"/>
              <w:right w:val="single" w:sz="4" w:space="0" w:color="auto"/>
            </w:tcBorders>
            <w:shd w:val="clear" w:color="auto" w:fill="auto"/>
            <w:hideMark/>
          </w:tcPr>
          <w:p w14:paraId="27E6CFF1" w14:textId="2B4BDF98" w:rsidR="00160015" w:rsidRPr="00160015" w:rsidRDefault="00D1051D" w:rsidP="00160015">
            <w:pPr>
              <w:widowControl/>
              <w:autoSpaceDE/>
              <w:autoSpaceDN/>
              <w:adjustRightInd/>
              <w:jc w:val="right"/>
              <w:rPr>
                <w:rFonts w:ascii="Arial" w:hAnsi="Arial" w:cs="Arial"/>
                <w:color w:val="000000"/>
                <w:sz w:val="22"/>
                <w:szCs w:val="22"/>
              </w:rPr>
            </w:pPr>
            <w:r>
              <w:rPr>
                <w:rFonts w:ascii="Arial" w:hAnsi="Arial" w:cs="Arial"/>
                <w:color w:val="000000"/>
                <w:sz w:val="22"/>
                <w:szCs w:val="22"/>
              </w:rPr>
              <w:t>53</w:t>
            </w:r>
            <w:r w:rsidR="00707F1F">
              <w:rPr>
                <w:rFonts w:ascii="Arial" w:hAnsi="Arial" w:cs="Arial"/>
                <w:color w:val="000000"/>
                <w:sz w:val="22"/>
                <w:szCs w:val="22"/>
              </w:rPr>
              <w:t>1</w:t>
            </w:r>
          </w:p>
        </w:tc>
      </w:tr>
      <w:tr w:rsidR="00160015" w:rsidRPr="00160015" w14:paraId="7E223EFE" w14:textId="77777777" w:rsidTr="00160015">
        <w:trPr>
          <w:trHeight w:val="300"/>
        </w:trPr>
        <w:tc>
          <w:tcPr>
            <w:tcW w:w="2365" w:type="dxa"/>
            <w:tcBorders>
              <w:top w:val="nil"/>
              <w:left w:val="single" w:sz="4" w:space="0" w:color="auto"/>
              <w:bottom w:val="single" w:sz="4" w:space="0" w:color="auto"/>
              <w:right w:val="single" w:sz="4" w:space="0" w:color="auto"/>
            </w:tcBorders>
            <w:shd w:val="clear" w:color="auto" w:fill="auto"/>
            <w:hideMark/>
          </w:tcPr>
          <w:p w14:paraId="6CCECDAB" w14:textId="77777777" w:rsidR="00160015" w:rsidRPr="00160015" w:rsidRDefault="00160015" w:rsidP="00160015">
            <w:pPr>
              <w:widowControl/>
              <w:autoSpaceDE/>
              <w:autoSpaceDN/>
              <w:adjustRightInd/>
              <w:rPr>
                <w:rFonts w:ascii="Arial" w:hAnsi="Arial" w:cs="Arial"/>
                <w:bCs/>
                <w:color w:val="000000"/>
                <w:sz w:val="22"/>
                <w:szCs w:val="22"/>
              </w:rPr>
            </w:pPr>
            <w:r w:rsidRPr="00160015">
              <w:rPr>
                <w:rFonts w:ascii="Arial" w:hAnsi="Arial" w:cs="Arial"/>
                <w:bCs/>
                <w:color w:val="000000"/>
                <w:sz w:val="22"/>
                <w:szCs w:val="22"/>
              </w:rPr>
              <w:t>Change in Responses</w:t>
            </w:r>
          </w:p>
        </w:tc>
        <w:tc>
          <w:tcPr>
            <w:tcW w:w="1720" w:type="dxa"/>
            <w:tcBorders>
              <w:top w:val="nil"/>
              <w:left w:val="nil"/>
              <w:bottom w:val="single" w:sz="4" w:space="0" w:color="auto"/>
              <w:right w:val="single" w:sz="4" w:space="0" w:color="auto"/>
            </w:tcBorders>
            <w:shd w:val="clear" w:color="auto" w:fill="auto"/>
            <w:hideMark/>
          </w:tcPr>
          <w:p w14:paraId="54B51B6C" w14:textId="3DF62657" w:rsidR="00160015" w:rsidRPr="00160015" w:rsidRDefault="00D1051D" w:rsidP="00D1051D">
            <w:pPr>
              <w:widowControl/>
              <w:autoSpaceDE/>
              <w:autoSpaceDN/>
              <w:adjustRightInd/>
              <w:jc w:val="right"/>
              <w:rPr>
                <w:rFonts w:ascii="Arial" w:hAnsi="Arial" w:cs="Arial"/>
                <w:color w:val="000000"/>
                <w:sz w:val="22"/>
                <w:szCs w:val="22"/>
              </w:rPr>
            </w:pPr>
            <w:r>
              <w:rPr>
                <w:rFonts w:ascii="Arial" w:hAnsi="Arial" w:cs="Arial"/>
                <w:color w:val="000000"/>
                <w:sz w:val="22"/>
                <w:szCs w:val="22"/>
              </w:rPr>
              <w:t>8</w:t>
            </w:r>
            <w:r w:rsidR="00554E32">
              <w:rPr>
                <w:rFonts w:ascii="Arial" w:hAnsi="Arial" w:cs="Arial"/>
                <w:color w:val="000000"/>
                <w:sz w:val="22"/>
                <w:szCs w:val="22"/>
              </w:rPr>
              <w:t>2</w:t>
            </w:r>
          </w:p>
        </w:tc>
        <w:tc>
          <w:tcPr>
            <w:tcW w:w="1806" w:type="dxa"/>
            <w:tcBorders>
              <w:top w:val="nil"/>
              <w:left w:val="nil"/>
              <w:bottom w:val="single" w:sz="4" w:space="0" w:color="auto"/>
              <w:right w:val="single" w:sz="4" w:space="0" w:color="auto"/>
            </w:tcBorders>
            <w:shd w:val="clear" w:color="auto" w:fill="auto"/>
            <w:hideMark/>
          </w:tcPr>
          <w:p w14:paraId="42E9D347" w14:textId="77777777" w:rsidR="00160015" w:rsidRPr="00160015" w:rsidRDefault="00D1051D" w:rsidP="00160015">
            <w:pPr>
              <w:widowControl/>
              <w:autoSpaceDE/>
              <w:autoSpaceDN/>
              <w:adjustRightInd/>
              <w:jc w:val="right"/>
              <w:rPr>
                <w:rFonts w:ascii="Arial" w:hAnsi="Arial" w:cs="Arial"/>
                <w:color w:val="000000"/>
                <w:sz w:val="22"/>
                <w:szCs w:val="22"/>
              </w:rPr>
            </w:pPr>
            <w:r>
              <w:rPr>
                <w:rFonts w:ascii="Arial" w:hAnsi="Arial" w:cs="Arial"/>
                <w:color w:val="000000"/>
                <w:sz w:val="22"/>
                <w:szCs w:val="22"/>
              </w:rPr>
              <w:t>0</w:t>
            </w:r>
          </w:p>
        </w:tc>
        <w:tc>
          <w:tcPr>
            <w:tcW w:w="1720" w:type="dxa"/>
            <w:tcBorders>
              <w:top w:val="nil"/>
              <w:left w:val="nil"/>
              <w:bottom w:val="single" w:sz="4" w:space="0" w:color="auto"/>
              <w:right w:val="single" w:sz="4" w:space="0" w:color="auto"/>
            </w:tcBorders>
            <w:shd w:val="clear" w:color="auto" w:fill="auto"/>
            <w:hideMark/>
          </w:tcPr>
          <w:p w14:paraId="1F5B2ADA" w14:textId="77777777" w:rsidR="00160015" w:rsidRPr="00160015" w:rsidRDefault="00D1051D" w:rsidP="00160015">
            <w:pPr>
              <w:widowControl/>
              <w:autoSpaceDE/>
              <w:autoSpaceDN/>
              <w:adjustRightInd/>
              <w:jc w:val="right"/>
              <w:rPr>
                <w:rFonts w:ascii="Arial" w:hAnsi="Arial" w:cs="Arial"/>
                <w:color w:val="000000"/>
                <w:sz w:val="22"/>
                <w:szCs w:val="22"/>
              </w:rPr>
            </w:pPr>
            <w:r>
              <w:rPr>
                <w:rFonts w:ascii="Arial" w:hAnsi="Arial" w:cs="Arial"/>
                <w:color w:val="000000"/>
                <w:sz w:val="22"/>
                <w:szCs w:val="22"/>
              </w:rPr>
              <w:t>2</w:t>
            </w:r>
          </w:p>
        </w:tc>
        <w:tc>
          <w:tcPr>
            <w:tcW w:w="1714" w:type="dxa"/>
            <w:tcBorders>
              <w:top w:val="nil"/>
              <w:left w:val="nil"/>
              <w:bottom w:val="single" w:sz="4" w:space="0" w:color="auto"/>
              <w:right w:val="single" w:sz="4" w:space="0" w:color="auto"/>
            </w:tcBorders>
            <w:shd w:val="clear" w:color="auto" w:fill="auto"/>
            <w:hideMark/>
          </w:tcPr>
          <w:p w14:paraId="0787C1CB" w14:textId="03DCE75C" w:rsidR="00160015" w:rsidRPr="00160015" w:rsidRDefault="00D1051D" w:rsidP="00160015">
            <w:pPr>
              <w:widowControl/>
              <w:autoSpaceDE/>
              <w:autoSpaceDN/>
              <w:adjustRightInd/>
              <w:jc w:val="right"/>
              <w:rPr>
                <w:rFonts w:ascii="Arial" w:hAnsi="Arial" w:cs="Arial"/>
                <w:color w:val="000000"/>
                <w:sz w:val="22"/>
                <w:szCs w:val="22"/>
              </w:rPr>
            </w:pPr>
            <w:r>
              <w:rPr>
                <w:rFonts w:ascii="Arial" w:hAnsi="Arial" w:cs="Arial"/>
                <w:color w:val="000000"/>
                <w:sz w:val="22"/>
                <w:szCs w:val="22"/>
              </w:rPr>
              <w:t>8</w:t>
            </w:r>
            <w:r w:rsidR="00554E32">
              <w:rPr>
                <w:rFonts w:ascii="Arial" w:hAnsi="Arial" w:cs="Arial"/>
                <w:color w:val="000000"/>
                <w:sz w:val="22"/>
                <w:szCs w:val="22"/>
              </w:rPr>
              <w:t>4</w:t>
            </w:r>
          </w:p>
        </w:tc>
      </w:tr>
    </w:tbl>
    <w:p w14:paraId="02D78399" w14:textId="77777777" w:rsidR="00160015" w:rsidRDefault="00160015">
      <w:pPr>
        <w:widowControl/>
        <w:ind w:left="1440"/>
        <w:rPr>
          <w:rFonts w:ascii="Arial" w:hAnsi="Arial" w:cs="Arial"/>
          <w:sz w:val="22"/>
          <w:szCs w:val="22"/>
        </w:rPr>
      </w:pPr>
    </w:p>
    <w:p w14:paraId="425EC106" w14:textId="77777777" w:rsidR="00084D35" w:rsidRDefault="00084D35">
      <w:pPr>
        <w:widowControl/>
        <w:ind w:left="1440"/>
        <w:rPr>
          <w:rFonts w:ascii="Arial" w:hAnsi="Arial" w:cs="Arial"/>
          <w:sz w:val="22"/>
          <w:szCs w:val="22"/>
        </w:rPr>
      </w:pPr>
    </w:p>
    <w:p w14:paraId="20E038A9" w14:textId="77777777" w:rsidR="00717D9B" w:rsidRPr="002E2E3A" w:rsidRDefault="00717D9B" w:rsidP="005B4A48">
      <w:pPr>
        <w:ind w:left="1440"/>
        <w:rPr>
          <w:rFonts w:ascii="Arial" w:hAnsi="Arial" w:cs="Arial"/>
          <w:sz w:val="22"/>
          <w:szCs w:val="22"/>
        </w:rPr>
      </w:pPr>
      <w:r w:rsidRPr="009F5AF4">
        <w:rPr>
          <w:rFonts w:ascii="Arial" w:hAnsi="Arial" w:cs="Arial"/>
          <w:sz w:val="22"/>
          <w:szCs w:val="22"/>
        </w:rPr>
        <w:t xml:space="preserve">In this submission, third-party disclosure requirements have been broken out separately from reporting requirements.  In the last submission, the requirement under </w:t>
      </w:r>
      <w:r w:rsidRPr="009F5AF4">
        <w:rPr>
          <w:rFonts w:ascii="Arial" w:hAnsi="Arial" w:cs="Arial"/>
          <w:sz w:val="22"/>
          <w:szCs w:val="18"/>
        </w:rPr>
        <w:t xml:space="preserve">10 CFR 21.21(b) was included as a reporting requirement.  </w:t>
      </w:r>
      <w:r w:rsidR="005B4A48">
        <w:rPr>
          <w:rFonts w:ascii="Arial" w:hAnsi="Arial" w:cs="Arial"/>
          <w:sz w:val="22"/>
          <w:szCs w:val="18"/>
        </w:rPr>
        <w:t xml:space="preserve">This requirement specifies that a </w:t>
      </w:r>
      <w:r w:rsidR="005B4A48" w:rsidRPr="005B4A48">
        <w:rPr>
          <w:rFonts w:ascii="Arial" w:hAnsi="Arial" w:cs="Arial"/>
          <w:sz w:val="22"/>
          <w:szCs w:val="22"/>
        </w:rPr>
        <w:t>supplier of basic components must inform the purchasers or affected licensees of their inability to perform the evaluation to determine if a defect exists.</w:t>
      </w:r>
      <w:r w:rsidR="005B4A48">
        <w:rPr>
          <w:rFonts w:ascii="Arial" w:hAnsi="Arial" w:cs="Arial"/>
          <w:sz w:val="22"/>
          <w:szCs w:val="22"/>
        </w:rPr>
        <w:t xml:space="preserve">  </w:t>
      </w:r>
      <w:r w:rsidRPr="009F5AF4">
        <w:rPr>
          <w:rFonts w:ascii="Arial" w:hAnsi="Arial" w:cs="Arial"/>
          <w:sz w:val="22"/>
          <w:szCs w:val="18"/>
        </w:rPr>
        <w:t xml:space="preserve">The requirement is now correctly categorized as a third-party disclosure requirement (total of </w:t>
      </w:r>
      <w:r w:rsidR="00971B06">
        <w:rPr>
          <w:rFonts w:ascii="Arial" w:hAnsi="Arial" w:cs="Arial"/>
          <w:sz w:val="22"/>
          <w:szCs w:val="18"/>
        </w:rPr>
        <w:t>285</w:t>
      </w:r>
      <w:r w:rsidRPr="009F5AF4">
        <w:rPr>
          <w:rFonts w:ascii="Arial" w:hAnsi="Arial" w:cs="Arial"/>
          <w:sz w:val="22"/>
          <w:szCs w:val="18"/>
        </w:rPr>
        <w:t xml:space="preserve"> hours</w:t>
      </w:r>
      <w:r w:rsidRPr="002E2E3A">
        <w:rPr>
          <w:rFonts w:ascii="Arial" w:hAnsi="Arial" w:cs="Arial"/>
          <w:sz w:val="22"/>
          <w:szCs w:val="22"/>
        </w:rPr>
        <w:t>).</w:t>
      </w:r>
    </w:p>
    <w:p w14:paraId="54EA6816" w14:textId="77777777" w:rsidR="00A879F3" w:rsidRPr="009F5AF4" w:rsidRDefault="00A879F3">
      <w:pPr>
        <w:widowControl/>
        <w:rPr>
          <w:rFonts w:ascii="Arial" w:hAnsi="Arial" w:cs="Arial"/>
          <w:sz w:val="22"/>
          <w:szCs w:val="22"/>
        </w:rPr>
      </w:pPr>
    </w:p>
    <w:p w14:paraId="3FA809C8" w14:textId="0F694F4C" w:rsidR="00A879F3" w:rsidRPr="009F5AF4" w:rsidRDefault="004D1C95">
      <w:pPr>
        <w:widowControl/>
        <w:ind w:left="1440"/>
        <w:rPr>
          <w:rFonts w:ascii="Arial" w:hAnsi="Arial" w:cs="Arial"/>
          <w:sz w:val="22"/>
          <w:szCs w:val="22"/>
        </w:rPr>
      </w:pPr>
      <w:r w:rsidRPr="009F5AF4">
        <w:rPr>
          <w:rFonts w:ascii="Arial" w:hAnsi="Arial" w:cs="Arial"/>
          <w:sz w:val="22"/>
          <w:szCs w:val="22"/>
        </w:rPr>
        <w:t>The hourly rate changed from $</w:t>
      </w:r>
      <w:r w:rsidR="006F6F40">
        <w:rPr>
          <w:rFonts w:ascii="Arial" w:hAnsi="Arial" w:cs="Arial"/>
          <w:sz w:val="22"/>
          <w:szCs w:val="22"/>
        </w:rPr>
        <w:t>272</w:t>
      </w:r>
      <w:r w:rsidR="006F6F40" w:rsidRPr="009F5AF4">
        <w:rPr>
          <w:rFonts w:ascii="Arial" w:hAnsi="Arial" w:cs="Arial"/>
          <w:sz w:val="22"/>
          <w:szCs w:val="22"/>
        </w:rPr>
        <w:t xml:space="preserve"> </w:t>
      </w:r>
      <w:r w:rsidRPr="009F5AF4">
        <w:rPr>
          <w:rFonts w:ascii="Arial" w:hAnsi="Arial" w:cs="Arial"/>
          <w:sz w:val="22"/>
          <w:szCs w:val="22"/>
        </w:rPr>
        <w:t xml:space="preserve">to </w:t>
      </w:r>
      <w:r w:rsidR="0017331C" w:rsidRPr="009F5AF4">
        <w:rPr>
          <w:rFonts w:ascii="Arial" w:hAnsi="Arial" w:cs="Arial"/>
          <w:sz w:val="22"/>
          <w:szCs w:val="22"/>
        </w:rPr>
        <w:t>$</w:t>
      </w:r>
      <w:r w:rsidR="006F6F40">
        <w:rPr>
          <w:rFonts w:ascii="Arial" w:hAnsi="Arial" w:cs="Arial"/>
          <w:sz w:val="22"/>
          <w:szCs w:val="22"/>
        </w:rPr>
        <w:t>26</w:t>
      </w:r>
      <w:r w:rsidR="00820964">
        <w:rPr>
          <w:rFonts w:ascii="Arial" w:hAnsi="Arial" w:cs="Arial"/>
          <w:sz w:val="22"/>
          <w:szCs w:val="22"/>
        </w:rPr>
        <w:t>5</w:t>
      </w:r>
      <w:r w:rsidR="006F6F40" w:rsidRPr="009F5AF4">
        <w:rPr>
          <w:rFonts w:ascii="Arial" w:hAnsi="Arial" w:cs="Arial"/>
          <w:sz w:val="22"/>
          <w:szCs w:val="22"/>
        </w:rPr>
        <w:t xml:space="preserve"> </w:t>
      </w:r>
      <w:r w:rsidR="00F94FB0" w:rsidRPr="009F5AF4">
        <w:rPr>
          <w:rFonts w:ascii="Arial" w:hAnsi="Arial" w:cs="Arial"/>
          <w:sz w:val="22"/>
          <w:szCs w:val="22"/>
        </w:rPr>
        <w:t xml:space="preserve">per </w:t>
      </w:r>
      <w:r w:rsidR="00BC0482" w:rsidRPr="009F5AF4">
        <w:rPr>
          <w:rFonts w:ascii="Arial" w:hAnsi="Arial" w:cs="Arial"/>
          <w:sz w:val="22"/>
          <w:szCs w:val="22"/>
        </w:rPr>
        <w:t>hour</w:t>
      </w:r>
      <w:r w:rsidR="00A879F3" w:rsidRPr="009F5AF4">
        <w:rPr>
          <w:rFonts w:ascii="Arial" w:hAnsi="Arial" w:cs="Arial"/>
          <w:sz w:val="22"/>
          <w:szCs w:val="22"/>
        </w:rPr>
        <w:t>.  The estimated cost per burden hour is based upon NRC</w:t>
      </w:r>
      <w:r w:rsidRPr="009F5AF4">
        <w:rPr>
          <w:rFonts w:ascii="Arial" w:hAnsi="Arial" w:cs="Arial"/>
          <w:sz w:val="22"/>
          <w:szCs w:val="22"/>
        </w:rPr>
        <w:t>’</w:t>
      </w:r>
      <w:r w:rsidR="00A879F3" w:rsidRPr="009F5AF4">
        <w:rPr>
          <w:rFonts w:ascii="Arial" w:hAnsi="Arial" w:cs="Arial"/>
          <w:sz w:val="22"/>
          <w:szCs w:val="22"/>
        </w:rPr>
        <w:t>s annual fee recovery rate, as published in NRC</w:t>
      </w:r>
      <w:r w:rsidRPr="009F5AF4">
        <w:rPr>
          <w:rFonts w:ascii="Arial" w:hAnsi="Arial" w:cs="Arial"/>
          <w:sz w:val="22"/>
          <w:szCs w:val="22"/>
        </w:rPr>
        <w:t>’</w:t>
      </w:r>
      <w:r w:rsidR="00A879F3" w:rsidRPr="009F5AF4">
        <w:rPr>
          <w:rFonts w:ascii="Arial" w:hAnsi="Arial" w:cs="Arial"/>
          <w:sz w:val="22"/>
          <w:szCs w:val="22"/>
        </w:rPr>
        <w:t xml:space="preserve">s annual fee recovery rule. </w:t>
      </w:r>
    </w:p>
    <w:p w14:paraId="2C8C05D0" w14:textId="77777777" w:rsidR="00A879F3" w:rsidRPr="009F5AF4" w:rsidRDefault="00A879F3">
      <w:pPr>
        <w:widowControl/>
        <w:rPr>
          <w:rFonts w:ascii="Arial" w:hAnsi="Arial" w:cs="Arial"/>
          <w:sz w:val="22"/>
          <w:szCs w:val="22"/>
        </w:rPr>
      </w:pPr>
    </w:p>
    <w:p w14:paraId="12C7D355" w14:textId="77777777" w:rsidR="00A879F3" w:rsidRDefault="00A879F3">
      <w:pPr>
        <w:widowControl/>
        <w:ind w:left="1440"/>
        <w:rPr>
          <w:rFonts w:ascii="Arial" w:hAnsi="Arial" w:cs="Arial"/>
          <w:sz w:val="22"/>
          <w:szCs w:val="22"/>
        </w:rPr>
      </w:pPr>
      <w:r w:rsidRPr="009F5AF4">
        <w:rPr>
          <w:rFonts w:ascii="Arial" w:hAnsi="Arial" w:cs="Arial"/>
          <w:sz w:val="22"/>
          <w:szCs w:val="22"/>
        </w:rPr>
        <w:t>It is important to note that these estimates are based on historical data.  The number of 10 CFR</w:t>
      </w:r>
      <w:r w:rsidR="0041187D">
        <w:rPr>
          <w:rFonts w:ascii="Arial" w:hAnsi="Arial" w:cs="Arial"/>
          <w:sz w:val="22"/>
          <w:szCs w:val="22"/>
        </w:rPr>
        <w:t xml:space="preserve"> Part</w:t>
      </w:r>
      <w:r w:rsidRPr="009F5AF4">
        <w:rPr>
          <w:rFonts w:ascii="Arial" w:hAnsi="Arial" w:cs="Arial"/>
          <w:sz w:val="22"/>
          <w:szCs w:val="22"/>
        </w:rPr>
        <w:t xml:space="preserve"> 21 reports generated or received in any given year is dependent upon the number or issues that arise, that is, this is an event-based burden, not a burden as a consequence of a regular reporting requirement.</w:t>
      </w:r>
    </w:p>
    <w:p w14:paraId="17032465" w14:textId="77777777" w:rsidR="00A879F3" w:rsidRPr="009F5AF4" w:rsidRDefault="00A879F3">
      <w:pPr>
        <w:widowControl/>
        <w:rPr>
          <w:rFonts w:ascii="Arial" w:hAnsi="Arial" w:cs="Arial"/>
          <w:sz w:val="22"/>
          <w:szCs w:val="22"/>
        </w:rPr>
      </w:pPr>
    </w:p>
    <w:p w14:paraId="6E97F93A" w14:textId="77777777"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16.</w:t>
      </w:r>
      <w:r w:rsidRPr="009F5AF4">
        <w:rPr>
          <w:rFonts w:ascii="Arial" w:hAnsi="Arial" w:cs="Arial"/>
          <w:sz w:val="22"/>
          <w:szCs w:val="22"/>
        </w:rPr>
        <w:tab/>
      </w:r>
      <w:r w:rsidRPr="009F5AF4">
        <w:rPr>
          <w:rFonts w:ascii="Arial" w:hAnsi="Arial" w:cs="Arial"/>
          <w:sz w:val="22"/>
          <w:szCs w:val="22"/>
          <w:u w:val="single"/>
        </w:rPr>
        <w:t>Publication for Statistical Use</w:t>
      </w:r>
    </w:p>
    <w:p w14:paraId="57410B4C" w14:textId="77777777" w:rsidR="00332EB9" w:rsidRPr="009F5AF4" w:rsidRDefault="00332EB9">
      <w:pPr>
        <w:widowControl/>
        <w:ind w:left="1440"/>
        <w:rPr>
          <w:rFonts w:ascii="Arial" w:hAnsi="Arial" w:cs="Arial"/>
          <w:sz w:val="22"/>
          <w:szCs w:val="22"/>
        </w:rPr>
      </w:pPr>
    </w:p>
    <w:p w14:paraId="755B4BBB" w14:textId="6D580088" w:rsidR="00A879F3" w:rsidRDefault="00A879F3">
      <w:pPr>
        <w:widowControl/>
        <w:ind w:left="1440"/>
        <w:rPr>
          <w:rFonts w:ascii="Arial" w:hAnsi="Arial" w:cs="Arial"/>
          <w:sz w:val="22"/>
          <w:szCs w:val="22"/>
        </w:rPr>
      </w:pPr>
      <w:r w:rsidRPr="009F5AF4">
        <w:rPr>
          <w:rFonts w:ascii="Arial" w:hAnsi="Arial" w:cs="Arial"/>
          <w:sz w:val="22"/>
          <w:szCs w:val="22"/>
        </w:rPr>
        <w:t xml:space="preserve">The data collected through this regulation provide input for generic communications issued by the NRC such as Information Notices, Generic Letters, and Bulletins.  </w:t>
      </w:r>
      <w:r w:rsidR="0029302B">
        <w:rPr>
          <w:rFonts w:ascii="Arial" w:hAnsi="Arial" w:cs="Arial"/>
          <w:sz w:val="22"/>
          <w:szCs w:val="22"/>
        </w:rPr>
        <w:t>The data are not published for statistical</w:t>
      </w:r>
      <w:r w:rsidR="00EB5E1A">
        <w:rPr>
          <w:rFonts w:ascii="Arial" w:hAnsi="Arial" w:cs="Arial"/>
          <w:sz w:val="22"/>
          <w:szCs w:val="22"/>
        </w:rPr>
        <w:t xml:space="preserve"> use.</w:t>
      </w:r>
    </w:p>
    <w:p w14:paraId="4E1AF0C6" w14:textId="77777777" w:rsidR="00D63292" w:rsidRDefault="00D63292">
      <w:pPr>
        <w:widowControl/>
        <w:ind w:left="1440"/>
        <w:rPr>
          <w:rFonts w:ascii="Arial" w:hAnsi="Arial" w:cs="Arial"/>
          <w:sz w:val="22"/>
          <w:szCs w:val="22"/>
        </w:rPr>
      </w:pPr>
    </w:p>
    <w:p w14:paraId="3AB33064" w14:textId="77777777" w:rsidR="006C2B71" w:rsidRDefault="006C2B71">
      <w:pPr>
        <w:widowControl/>
        <w:ind w:left="1440"/>
        <w:rPr>
          <w:rFonts w:ascii="Arial" w:hAnsi="Arial" w:cs="Arial"/>
          <w:sz w:val="22"/>
          <w:szCs w:val="22"/>
        </w:rPr>
      </w:pPr>
    </w:p>
    <w:p w14:paraId="0F014C04" w14:textId="77777777"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17.</w:t>
      </w:r>
      <w:r w:rsidRPr="009F5AF4">
        <w:rPr>
          <w:rFonts w:ascii="Arial" w:hAnsi="Arial" w:cs="Arial"/>
          <w:sz w:val="22"/>
          <w:szCs w:val="22"/>
        </w:rPr>
        <w:tab/>
      </w:r>
      <w:r w:rsidRPr="009F5AF4">
        <w:rPr>
          <w:rFonts w:ascii="Arial" w:hAnsi="Arial" w:cs="Arial"/>
          <w:sz w:val="22"/>
          <w:szCs w:val="22"/>
          <w:u w:val="single"/>
        </w:rPr>
        <w:t>Reason for Not Displaying the Expiration Date</w:t>
      </w:r>
    </w:p>
    <w:p w14:paraId="3FCDEAF4" w14:textId="77777777" w:rsidR="00A879F3" w:rsidRPr="004A3E48" w:rsidRDefault="0095044F">
      <w:pPr>
        <w:widowControl/>
        <w:rPr>
          <w:rFonts w:ascii="Arial" w:hAnsi="Arial" w:cs="Arial"/>
          <w:sz w:val="22"/>
          <w:szCs w:val="22"/>
        </w:rPr>
      </w:pPr>
      <w:r>
        <w:rPr>
          <w:rFonts w:ascii="Arial" w:hAnsi="Arial" w:cs="Arial"/>
          <w:sz w:val="22"/>
          <w:szCs w:val="22"/>
        </w:rPr>
        <w:tab/>
      </w:r>
      <w:r>
        <w:rPr>
          <w:rFonts w:ascii="Arial" w:hAnsi="Arial" w:cs="Arial"/>
          <w:sz w:val="22"/>
          <w:szCs w:val="22"/>
        </w:rPr>
        <w:tab/>
      </w:r>
    </w:p>
    <w:p w14:paraId="59BB60A4" w14:textId="77777777" w:rsidR="0083079E" w:rsidRPr="00BD718E" w:rsidRDefault="0083079E" w:rsidP="0083079E">
      <w:pPr>
        <w:ind w:left="1440"/>
        <w:rPr>
          <w:rFonts w:ascii="Arial" w:hAnsi="Arial" w:cs="Arial"/>
          <w:sz w:val="22"/>
          <w:szCs w:val="22"/>
        </w:rPr>
      </w:pPr>
      <w:r w:rsidRPr="00BD2EF0">
        <w:rPr>
          <w:rFonts w:ascii="Arial" w:hAnsi="Arial" w:cs="Arial"/>
          <w:sz w:val="22"/>
          <w:szCs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14:paraId="5BDCA8B3" w14:textId="77777777" w:rsidR="00BD718E" w:rsidRPr="0095044F" w:rsidRDefault="00BD718E">
      <w:pPr>
        <w:widowControl/>
        <w:rPr>
          <w:rFonts w:ascii="Arial" w:hAnsi="Arial" w:cs="Arial"/>
          <w:strike/>
          <w:sz w:val="22"/>
          <w:szCs w:val="22"/>
        </w:rPr>
      </w:pPr>
    </w:p>
    <w:p w14:paraId="5B0C2B66" w14:textId="77777777"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18.</w:t>
      </w:r>
      <w:r w:rsidRPr="009F5AF4">
        <w:rPr>
          <w:rFonts w:ascii="Arial" w:hAnsi="Arial" w:cs="Arial"/>
          <w:sz w:val="22"/>
          <w:szCs w:val="22"/>
        </w:rPr>
        <w:tab/>
      </w:r>
      <w:r w:rsidRPr="009F5AF4">
        <w:rPr>
          <w:rFonts w:ascii="Arial" w:hAnsi="Arial" w:cs="Arial"/>
          <w:sz w:val="22"/>
          <w:szCs w:val="22"/>
          <w:u w:val="single"/>
        </w:rPr>
        <w:t>Exceptions to the Certification Statement</w:t>
      </w:r>
    </w:p>
    <w:p w14:paraId="7CE9CBA2" w14:textId="77777777" w:rsidR="00A879F3" w:rsidRPr="009F5AF4" w:rsidRDefault="00A879F3">
      <w:pPr>
        <w:widowControl/>
        <w:rPr>
          <w:rFonts w:ascii="Arial" w:hAnsi="Arial" w:cs="Arial"/>
          <w:sz w:val="22"/>
          <w:szCs w:val="22"/>
        </w:rPr>
      </w:pPr>
    </w:p>
    <w:p w14:paraId="3035EF0D" w14:textId="77777777" w:rsidR="00A879F3" w:rsidRPr="009F5AF4" w:rsidRDefault="00A879F3">
      <w:pPr>
        <w:widowControl/>
        <w:ind w:left="1440"/>
        <w:rPr>
          <w:rFonts w:ascii="Arial" w:hAnsi="Arial" w:cs="Arial"/>
          <w:sz w:val="22"/>
          <w:szCs w:val="22"/>
        </w:rPr>
      </w:pPr>
      <w:r w:rsidRPr="009F5AF4">
        <w:rPr>
          <w:rFonts w:ascii="Arial" w:hAnsi="Arial" w:cs="Arial"/>
          <w:sz w:val="22"/>
          <w:szCs w:val="22"/>
        </w:rPr>
        <w:t>Not applicable.</w:t>
      </w:r>
    </w:p>
    <w:p w14:paraId="1EB8A76F" w14:textId="77777777" w:rsidR="004445D0" w:rsidRDefault="004445D0">
      <w:pPr>
        <w:widowControl/>
        <w:autoSpaceDE/>
        <w:autoSpaceDN/>
        <w:adjustRightInd/>
        <w:rPr>
          <w:rFonts w:ascii="Arial" w:hAnsi="Arial" w:cs="Arial"/>
          <w:sz w:val="22"/>
          <w:szCs w:val="22"/>
        </w:rPr>
      </w:pPr>
    </w:p>
    <w:p w14:paraId="2CFC1BA0" w14:textId="77777777" w:rsidR="00A879F3" w:rsidRPr="009F5AF4" w:rsidRDefault="00F80DEC">
      <w:pPr>
        <w:pStyle w:val="Level1"/>
        <w:widowControl/>
        <w:tabs>
          <w:tab w:val="left" w:pos="-1440"/>
          <w:tab w:val="num" w:pos="720"/>
        </w:tabs>
        <w:rPr>
          <w:rFonts w:ascii="Arial" w:hAnsi="Arial" w:cs="Arial"/>
          <w:sz w:val="22"/>
          <w:szCs w:val="22"/>
        </w:rPr>
      </w:pPr>
      <w:r w:rsidRPr="009F5AF4">
        <w:rPr>
          <w:rFonts w:ascii="Arial" w:hAnsi="Arial" w:cs="Arial"/>
          <w:sz w:val="22"/>
          <w:szCs w:val="22"/>
        </w:rPr>
        <w:t>B.</w:t>
      </w:r>
      <w:r w:rsidRPr="009F5AF4">
        <w:rPr>
          <w:rFonts w:ascii="Arial" w:hAnsi="Arial" w:cs="Arial"/>
          <w:sz w:val="22"/>
          <w:szCs w:val="22"/>
        </w:rPr>
        <w:tab/>
      </w:r>
      <w:r w:rsidR="00A879F3" w:rsidRPr="009F5AF4">
        <w:rPr>
          <w:rFonts w:ascii="Arial" w:hAnsi="Arial" w:cs="Arial"/>
          <w:sz w:val="22"/>
          <w:szCs w:val="22"/>
          <w:u w:val="single"/>
        </w:rPr>
        <w:t>COLLECTIONS OF INFORMATION EMPLOYING STATISTICAL METHODS</w:t>
      </w:r>
    </w:p>
    <w:p w14:paraId="5EBC9BD8" w14:textId="77777777" w:rsidR="00A879F3" w:rsidRPr="009F5AF4" w:rsidRDefault="00A879F3">
      <w:pPr>
        <w:widowControl/>
        <w:rPr>
          <w:rFonts w:ascii="Arial" w:hAnsi="Arial" w:cs="Arial"/>
          <w:sz w:val="22"/>
          <w:szCs w:val="22"/>
        </w:rPr>
      </w:pPr>
    </w:p>
    <w:p w14:paraId="04B39BB1" w14:textId="77777777" w:rsidR="00A879F3" w:rsidRPr="009F5AF4" w:rsidRDefault="00A879F3">
      <w:pPr>
        <w:widowControl/>
        <w:ind w:left="720"/>
        <w:rPr>
          <w:rFonts w:ascii="Arial" w:hAnsi="Arial" w:cs="Arial"/>
          <w:sz w:val="22"/>
          <w:szCs w:val="22"/>
        </w:rPr>
      </w:pPr>
      <w:r w:rsidRPr="009F5AF4">
        <w:rPr>
          <w:rFonts w:ascii="Arial" w:hAnsi="Arial" w:cs="Arial"/>
          <w:sz w:val="22"/>
          <w:szCs w:val="22"/>
        </w:rPr>
        <w:t xml:space="preserve">Statistical methods are not used in the collection of information.  </w:t>
      </w:r>
    </w:p>
    <w:p w14:paraId="79689031" w14:textId="77777777" w:rsidR="00A879F3" w:rsidRDefault="00A879F3">
      <w:pPr>
        <w:widowControl/>
      </w:pPr>
    </w:p>
    <w:p w14:paraId="3B709F2A" w14:textId="77777777" w:rsidR="004445D0" w:rsidRDefault="004445D0">
      <w:pPr>
        <w:widowControl/>
      </w:pPr>
    </w:p>
    <w:p w14:paraId="6A96CF5E" w14:textId="77777777" w:rsidR="004445D0" w:rsidRPr="009F5AF4" w:rsidRDefault="004445D0">
      <w:pPr>
        <w:widowControl/>
        <w:sectPr w:rsidR="004445D0" w:rsidRPr="009F5AF4" w:rsidSect="00222DD7">
          <w:footerReference w:type="default" r:id="rId12"/>
          <w:type w:val="continuous"/>
          <w:pgSz w:w="12240" w:h="15840"/>
          <w:pgMar w:top="1440" w:right="1440" w:bottom="1440" w:left="1440" w:header="1440" w:footer="1275" w:gutter="0"/>
          <w:cols w:space="720"/>
          <w:noEndnote/>
          <w:titlePg/>
          <w:docGrid w:linePitch="326"/>
        </w:sectPr>
      </w:pPr>
    </w:p>
    <w:p w14:paraId="369E436F" w14:textId="77777777" w:rsidR="00A879F3" w:rsidRPr="009F5AF4" w:rsidRDefault="008F04F8" w:rsidP="008F04F8">
      <w:pPr>
        <w:widowControl/>
        <w:jc w:val="center"/>
        <w:rPr>
          <w:rFonts w:ascii="Arial" w:hAnsi="Arial" w:cs="Arial"/>
          <w:sz w:val="22"/>
          <w:szCs w:val="22"/>
          <w:u w:val="single"/>
        </w:rPr>
      </w:pPr>
      <w:r w:rsidRPr="009F5AF4">
        <w:rPr>
          <w:rFonts w:ascii="Arial" w:hAnsi="Arial" w:cs="Arial"/>
          <w:sz w:val="22"/>
          <w:szCs w:val="22"/>
          <w:u w:val="single"/>
        </w:rPr>
        <w:t>Table 1</w:t>
      </w:r>
    </w:p>
    <w:p w14:paraId="708DBD95" w14:textId="77777777" w:rsidR="008F04F8" w:rsidRPr="009F5AF4" w:rsidRDefault="008F04F8" w:rsidP="008F04F8">
      <w:pPr>
        <w:widowControl/>
        <w:tabs>
          <w:tab w:val="center" w:pos="4680"/>
        </w:tabs>
        <w:jc w:val="center"/>
        <w:rPr>
          <w:rFonts w:ascii="Arial" w:hAnsi="Arial" w:cs="Arial"/>
          <w:sz w:val="22"/>
          <w:szCs w:val="22"/>
        </w:rPr>
      </w:pPr>
      <w:r w:rsidRPr="009F5AF4">
        <w:rPr>
          <w:rFonts w:ascii="Arial" w:hAnsi="Arial" w:cs="Arial"/>
          <w:sz w:val="22"/>
          <w:szCs w:val="22"/>
          <w:u w:val="single"/>
        </w:rPr>
        <w:t xml:space="preserve">Industry </w:t>
      </w:r>
      <w:r w:rsidR="00A879F3" w:rsidRPr="009F5AF4">
        <w:rPr>
          <w:rFonts w:ascii="Arial" w:hAnsi="Arial" w:cs="Arial"/>
          <w:sz w:val="22"/>
          <w:szCs w:val="22"/>
          <w:u w:val="single"/>
        </w:rPr>
        <w:t>Reporting Requirements</w:t>
      </w:r>
      <w:r w:rsidR="00436E5F" w:rsidRPr="009F5AF4">
        <w:rPr>
          <w:rFonts w:ascii="Arial" w:hAnsi="Arial" w:cs="Arial"/>
          <w:sz w:val="22"/>
          <w:szCs w:val="22"/>
          <w:u w:val="single"/>
        </w:rPr>
        <w:t xml:space="preserve"> for </w:t>
      </w:r>
      <w:r w:rsidRPr="009F5AF4">
        <w:rPr>
          <w:rFonts w:ascii="Arial" w:hAnsi="Arial" w:cs="Arial"/>
          <w:sz w:val="22"/>
          <w:szCs w:val="22"/>
          <w:u w:val="single"/>
        </w:rPr>
        <w:t>10 CFR 21</w:t>
      </w:r>
    </w:p>
    <w:p w14:paraId="08AEE92E" w14:textId="77777777" w:rsidR="00A879F3" w:rsidRPr="009F5AF4" w:rsidRDefault="00A879F3">
      <w:pPr>
        <w:widowControl/>
        <w:ind w:left="-576" w:right="-576"/>
      </w:pPr>
    </w:p>
    <w:tbl>
      <w:tblPr>
        <w:tblW w:w="0" w:type="auto"/>
        <w:tblInd w:w="-420" w:type="dxa"/>
        <w:tblCellMar>
          <w:left w:w="120" w:type="dxa"/>
          <w:right w:w="120" w:type="dxa"/>
        </w:tblCellMar>
        <w:tblLook w:val="0000" w:firstRow="0" w:lastRow="0" w:firstColumn="0" w:lastColumn="0" w:noHBand="0" w:noVBand="0"/>
      </w:tblPr>
      <w:tblGrid>
        <w:gridCol w:w="3820"/>
        <w:gridCol w:w="1489"/>
        <w:gridCol w:w="1516"/>
        <w:gridCol w:w="1591"/>
        <w:gridCol w:w="1346"/>
      </w:tblGrid>
      <w:tr w:rsidR="003F1EF4" w:rsidRPr="009F5AF4" w14:paraId="41191C1A" w14:textId="77777777" w:rsidTr="00BA2387">
        <w:trPr>
          <w:trHeight w:val="593"/>
        </w:trPr>
        <w:tc>
          <w:tcPr>
            <w:tcW w:w="0" w:type="auto"/>
            <w:tcBorders>
              <w:top w:val="single" w:sz="7" w:space="0" w:color="000000"/>
              <w:left w:val="single" w:sz="7" w:space="0" w:color="000000"/>
              <w:bottom w:val="single" w:sz="7" w:space="0" w:color="000000"/>
              <w:right w:val="single" w:sz="7" w:space="0" w:color="000000"/>
            </w:tcBorders>
          </w:tcPr>
          <w:p w14:paraId="39343A7D" w14:textId="77777777" w:rsidR="003F1EF4" w:rsidRPr="009F5AF4" w:rsidRDefault="003F1EF4" w:rsidP="00CF7A97">
            <w:pPr>
              <w:spacing w:line="120" w:lineRule="exact"/>
              <w:jc w:val="center"/>
            </w:pPr>
          </w:p>
          <w:p w14:paraId="23B4B0C4" w14:textId="77777777" w:rsidR="003F1EF4" w:rsidRPr="009F5AF4" w:rsidRDefault="003F1EF4" w:rsidP="00CF7A97">
            <w:pPr>
              <w:widowControl/>
              <w:spacing w:after="58"/>
              <w:jc w:val="center"/>
              <w:rPr>
                <w:rFonts w:ascii="Arial" w:hAnsi="Arial" w:cs="Arial"/>
                <w:sz w:val="18"/>
                <w:szCs w:val="18"/>
              </w:rPr>
            </w:pPr>
            <w:r w:rsidRPr="009F5AF4">
              <w:rPr>
                <w:rFonts w:ascii="Arial" w:hAnsi="Arial" w:cs="Arial"/>
                <w:sz w:val="18"/>
                <w:szCs w:val="18"/>
              </w:rPr>
              <w:t>Section</w:t>
            </w:r>
          </w:p>
        </w:tc>
        <w:tc>
          <w:tcPr>
            <w:tcW w:w="0" w:type="auto"/>
            <w:tcBorders>
              <w:top w:val="single" w:sz="7" w:space="0" w:color="000000"/>
              <w:left w:val="single" w:sz="7" w:space="0" w:color="000000"/>
              <w:bottom w:val="single" w:sz="7" w:space="0" w:color="000000"/>
              <w:right w:val="single" w:sz="7" w:space="0" w:color="000000"/>
            </w:tcBorders>
          </w:tcPr>
          <w:p w14:paraId="65EE237F" w14:textId="77777777" w:rsidR="003F1EF4" w:rsidRPr="009F5AF4" w:rsidRDefault="003F1EF4">
            <w:pPr>
              <w:spacing w:line="120" w:lineRule="exact"/>
              <w:rPr>
                <w:rFonts w:ascii="Arial" w:hAnsi="Arial" w:cs="Arial"/>
                <w:sz w:val="18"/>
                <w:szCs w:val="18"/>
              </w:rPr>
            </w:pPr>
          </w:p>
          <w:p w14:paraId="7BD4A63C" w14:textId="77777777" w:rsidR="003F1EF4" w:rsidRPr="009F5AF4" w:rsidRDefault="003F1EF4">
            <w:pPr>
              <w:widowControl/>
              <w:spacing w:after="58"/>
              <w:jc w:val="center"/>
              <w:rPr>
                <w:rFonts w:ascii="Arial" w:hAnsi="Arial" w:cs="Arial"/>
                <w:sz w:val="18"/>
                <w:szCs w:val="18"/>
              </w:rPr>
            </w:pPr>
            <w:r w:rsidRPr="009F5AF4">
              <w:rPr>
                <w:rFonts w:ascii="Arial" w:hAnsi="Arial" w:cs="Arial"/>
                <w:sz w:val="18"/>
                <w:szCs w:val="18"/>
              </w:rPr>
              <w:t>No. of  Responses</w:t>
            </w:r>
            <w:r w:rsidR="001E4400" w:rsidRPr="009F5AF4">
              <w:rPr>
                <w:rStyle w:val="FootnoteReference"/>
                <w:rFonts w:ascii="Arial" w:hAnsi="Arial" w:cs="Arial"/>
                <w:sz w:val="18"/>
                <w:szCs w:val="18"/>
                <w:vertAlign w:val="superscript"/>
              </w:rPr>
              <w:footnoteReference w:id="1"/>
            </w:r>
          </w:p>
        </w:tc>
        <w:tc>
          <w:tcPr>
            <w:tcW w:w="0" w:type="auto"/>
            <w:tcBorders>
              <w:top w:val="single" w:sz="7" w:space="0" w:color="000000"/>
              <w:left w:val="single" w:sz="7" w:space="0" w:color="000000"/>
              <w:bottom w:val="single" w:sz="7" w:space="0" w:color="000000"/>
              <w:right w:val="single" w:sz="7" w:space="0" w:color="000000"/>
            </w:tcBorders>
          </w:tcPr>
          <w:p w14:paraId="27FA499A" w14:textId="77777777" w:rsidR="003F1EF4" w:rsidRPr="009F5AF4" w:rsidRDefault="003F1EF4">
            <w:pPr>
              <w:spacing w:line="120" w:lineRule="exact"/>
              <w:rPr>
                <w:rFonts w:ascii="Arial" w:hAnsi="Arial" w:cs="Arial"/>
                <w:sz w:val="18"/>
                <w:szCs w:val="18"/>
              </w:rPr>
            </w:pPr>
          </w:p>
          <w:p w14:paraId="47E671E3" w14:textId="77777777" w:rsidR="003F1EF4" w:rsidRPr="009F5AF4" w:rsidRDefault="003F1EF4">
            <w:pPr>
              <w:widowControl/>
              <w:spacing w:after="58"/>
              <w:jc w:val="center"/>
              <w:rPr>
                <w:rFonts w:ascii="Arial" w:hAnsi="Arial" w:cs="Arial"/>
                <w:sz w:val="18"/>
                <w:szCs w:val="18"/>
              </w:rPr>
            </w:pPr>
            <w:r w:rsidRPr="009F5AF4">
              <w:rPr>
                <w:rFonts w:ascii="Arial" w:hAnsi="Arial" w:cs="Arial"/>
                <w:sz w:val="18"/>
                <w:szCs w:val="18"/>
              </w:rPr>
              <w:t>Burden Per Response</w:t>
            </w:r>
          </w:p>
        </w:tc>
        <w:tc>
          <w:tcPr>
            <w:tcW w:w="0" w:type="auto"/>
            <w:tcBorders>
              <w:top w:val="single" w:sz="7" w:space="0" w:color="000000"/>
              <w:left w:val="single" w:sz="7" w:space="0" w:color="000000"/>
              <w:bottom w:val="single" w:sz="7" w:space="0" w:color="000000"/>
              <w:right w:val="single" w:sz="7" w:space="0" w:color="000000"/>
            </w:tcBorders>
          </w:tcPr>
          <w:p w14:paraId="6EABDC3E" w14:textId="77777777" w:rsidR="003F1EF4" w:rsidRPr="009F5AF4" w:rsidRDefault="003F1EF4">
            <w:pPr>
              <w:spacing w:line="120" w:lineRule="exact"/>
              <w:rPr>
                <w:rFonts w:ascii="Arial" w:hAnsi="Arial" w:cs="Arial"/>
                <w:sz w:val="18"/>
                <w:szCs w:val="18"/>
              </w:rPr>
            </w:pPr>
          </w:p>
          <w:p w14:paraId="522D1B00" w14:textId="77777777" w:rsidR="003F1EF4" w:rsidRPr="009F5AF4" w:rsidRDefault="003F1EF4">
            <w:pPr>
              <w:widowControl/>
              <w:spacing w:after="58"/>
              <w:jc w:val="center"/>
              <w:rPr>
                <w:rFonts w:ascii="Arial" w:hAnsi="Arial" w:cs="Arial"/>
                <w:sz w:val="18"/>
                <w:szCs w:val="18"/>
              </w:rPr>
            </w:pPr>
            <w:r w:rsidRPr="009F5AF4">
              <w:rPr>
                <w:rFonts w:ascii="Arial" w:hAnsi="Arial" w:cs="Arial"/>
                <w:sz w:val="18"/>
                <w:szCs w:val="18"/>
              </w:rPr>
              <w:t xml:space="preserve">Total Annual Burden Hours </w:t>
            </w:r>
          </w:p>
        </w:tc>
        <w:tc>
          <w:tcPr>
            <w:tcW w:w="0" w:type="auto"/>
            <w:tcBorders>
              <w:top w:val="single" w:sz="7" w:space="0" w:color="000000"/>
              <w:left w:val="single" w:sz="7" w:space="0" w:color="000000"/>
              <w:bottom w:val="single" w:sz="7" w:space="0" w:color="000000"/>
              <w:right w:val="single" w:sz="7" w:space="0" w:color="000000"/>
            </w:tcBorders>
          </w:tcPr>
          <w:p w14:paraId="2771BF2B" w14:textId="77777777" w:rsidR="003F1EF4" w:rsidRPr="009F5AF4" w:rsidRDefault="003F1EF4">
            <w:pPr>
              <w:spacing w:line="120" w:lineRule="exact"/>
              <w:rPr>
                <w:rFonts w:ascii="Arial" w:hAnsi="Arial" w:cs="Arial"/>
                <w:sz w:val="18"/>
                <w:szCs w:val="18"/>
              </w:rPr>
            </w:pPr>
          </w:p>
          <w:p w14:paraId="51BFAB3D" w14:textId="7A5E62F5" w:rsidR="003F1EF4" w:rsidRPr="009F5AF4" w:rsidRDefault="003F1EF4" w:rsidP="0016258D">
            <w:pPr>
              <w:widowControl/>
              <w:spacing w:after="58"/>
              <w:jc w:val="center"/>
              <w:rPr>
                <w:rFonts w:ascii="Arial" w:hAnsi="Arial" w:cs="Arial"/>
                <w:sz w:val="18"/>
                <w:szCs w:val="18"/>
              </w:rPr>
            </w:pPr>
            <w:r w:rsidRPr="009F5AF4">
              <w:rPr>
                <w:rFonts w:ascii="Arial" w:hAnsi="Arial" w:cs="Arial"/>
                <w:sz w:val="18"/>
                <w:szCs w:val="18"/>
              </w:rPr>
              <w:t>Cost @ $</w:t>
            </w:r>
            <w:r w:rsidR="006F6F40">
              <w:rPr>
                <w:rFonts w:ascii="Arial" w:hAnsi="Arial" w:cs="Arial"/>
                <w:sz w:val="18"/>
                <w:szCs w:val="18"/>
              </w:rPr>
              <w:t>26</w:t>
            </w:r>
            <w:r w:rsidR="0016258D">
              <w:rPr>
                <w:rFonts w:ascii="Arial" w:hAnsi="Arial" w:cs="Arial"/>
                <w:sz w:val="18"/>
                <w:szCs w:val="18"/>
              </w:rPr>
              <w:t>5</w:t>
            </w:r>
            <w:r w:rsidRPr="009F5AF4">
              <w:rPr>
                <w:rFonts w:ascii="Arial" w:hAnsi="Arial" w:cs="Arial"/>
                <w:sz w:val="18"/>
                <w:szCs w:val="18"/>
              </w:rPr>
              <w:t>/hr)</w:t>
            </w:r>
          </w:p>
        </w:tc>
      </w:tr>
      <w:tr w:rsidR="00FC1A09" w:rsidRPr="009F5AF4" w14:paraId="7B67C266" w14:textId="77777777" w:rsidTr="00DB62B0">
        <w:trPr>
          <w:trHeight w:val="593"/>
        </w:trPr>
        <w:tc>
          <w:tcPr>
            <w:tcW w:w="0" w:type="auto"/>
            <w:tcBorders>
              <w:top w:val="single" w:sz="7" w:space="0" w:color="000000"/>
              <w:left w:val="single" w:sz="7" w:space="0" w:color="000000"/>
              <w:bottom w:val="single" w:sz="7" w:space="0" w:color="000000"/>
              <w:right w:val="single" w:sz="7" w:space="0" w:color="000000"/>
            </w:tcBorders>
          </w:tcPr>
          <w:p w14:paraId="7B57DC38" w14:textId="77777777" w:rsidR="00FC1A09" w:rsidRPr="009F5AF4" w:rsidRDefault="00FC1A09">
            <w:pPr>
              <w:spacing w:line="120" w:lineRule="exact"/>
              <w:rPr>
                <w:rFonts w:ascii="Arial" w:hAnsi="Arial" w:cs="Arial"/>
                <w:sz w:val="18"/>
                <w:szCs w:val="18"/>
              </w:rPr>
            </w:pPr>
          </w:p>
          <w:p w14:paraId="74A85B2F" w14:textId="77777777" w:rsidR="00FC1A09" w:rsidRPr="009F5AF4" w:rsidRDefault="00FC1A09">
            <w:pPr>
              <w:widowControl/>
              <w:spacing w:after="58"/>
              <w:rPr>
                <w:rFonts w:ascii="Arial" w:hAnsi="Arial" w:cs="Arial"/>
                <w:sz w:val="18"/>
                <w:szCs w:val="18"/>
              </w:rPr>
            </w:pPr>
            <w:r w:rsidRPr="009F5AF4">
              <w:rPr>
                <w:rFonts w:ascii="Arial" w:hAnsi="Arial" w:cs="Arial"/>
                <w:sz w:val="18"/>
                <w:szCs w:val="18"/>
              </w:rPr>
              <w:t>10 CFR 21.7 (requests for exemption)</w:t>
            </w:r>
          </w:p>
        </w:tc>
        <w:tc>
          <w:tcPr>
            <w:tcW w:w="0" w:type="auto"/>
            <w:tcBorders>
              <w:top w:val="single" w:sz="7" w:space="0" w:color="000000"/>
              <w:left w:val="single" w:sz="7" w:space="0" w:color="000000"/>
              <w:bottom w:val="single" w:sz="7" w:space="0" w:color="000000"/>
              <w:right w:val="single" w:sz="7" w:space="0" w:color="000000"/>
            </w:tcBorders>
          </w:tcPr>
          <w:p w14:paraId="79BF0A3D" w14:textId="77777777" w:rsidR="00FC1A09" w:rsidRPr="009F5AF4" w:rsidRDefault="00FC1A09">
            <w:pPr>
              <w:spacing w:line="120" w:lineRule="exact"/>
              <w:rPr>
                <w:rFonts w:ascii="Arial" w:hAnsi="Arial" w:cs="Arial"/>
                <w:sz w:val="18"/>
                <w:szCs w:val="18"/>
              </w:rPr>
            </w:pPr>
          </w:p>
          <w:p w14:paraId="30F8C337" w14:textId="77777777" w:rsidR="00FC1A09" w:rsidRPr="009F5AF4" w:rsidRDefault="00FC1A09">
            <w:pPr>
              <w:widowControl/>
              <w:spacing w:after="58"/>
              <w:jc w:val="right"/>
              <w:rPr>
                <w:rFonts w:ascii="Arial" w:hAnsi="Arial" w:cs="Arial"/>
                <w:sz w:val="18"/>
                <w:szCs w:val="18"/>
              </w:rPr>
            </w:pPr>
            <w:r w:rsidRPr="009F5AF4">
              <w:rPr>
                <w:rFonts w:ascii="Arial" w:hAnsi="Arial" w:cs="Arial"/>
                <w:sz w:val="18"/>
                <w:szCs w:val="18"/>
              </w:rPr>
              <w:t>0</w:t>
            </w:r>
          </w:p>
        </w:tc>
        <w:tc>
          <w:tcPr>
            <w:tcW w:w="0" w:type="auto"/>
            <w:tcBorders>
              <w:top w:val="single" w:sz="7" w:space="0" w:color="000000"/>
              <w:left w:val="single" w:sz="7" w:space="0" w:color="000000"/>
              <w:bottom w:val="single" w:sz="7" w:space="0" w:color="000000"/>
              <w:right w:val="single" w:sz="7" w:space="0" w:color="000000"/>
            </w:tcBorders>
          </w:tcPr>
          <w:p w14:paraId="5265F4F6" w14:textId="77777777" w:rsidR="00FC1A09" w:rsidRPr="009F5AF4" w:rsidRDefault="00FC1A09">
            <w:pPr>
              <w:spacing w:line="120" w:lineRule="exact"/>
              <w:rPr>
                <w:rFonts w:ascii="Arial" w:hAnsi="Arial" w:cs="Arial"/>
                <w:sz w:val="18"/>
                <w:szCs w:val="18"/>
              </w:rPr>
            </w:pPr>
          </w:p>
          <w:p w14:paraId="2C73755C" w14:textId="77777777" w:rsidR="00FC1A09" w:rsidRPr="009F5AF4" w:rsidRDefault="00C57C08">
            <w:pPr>
              <w:widowControl/>
              <w:spacing w:after="58"/>
              <w:jc w:val="right"/>
              <w:rPr>
                <w:rFonts w:ascii="Arial" w:hAnsi="Arial" w:cs="Arial"/>
                <w:sz w:val="18"/>
                <w:szCs w:val="18"/>
              </w:rPr>
            </w:pPr>
            <w:r w:rsidRPr="009F5AF4">
              <w:rPr>
                <w:rFonts w:ascii="Arial" w:hAnsi="Arial" w:cs="Arial"/>
                <w:sz w:val="18"/>
                <w:szCs w:val="18"/>
              </w:rPr>
              <w:t>40</w:t>
            </w:r>
          </w:p>
        </w:tc>
        <w:tc>
          <w:tcPr>
            <w:tcW w:w="0" w:type="auto"/>
            <w:tcBorders>
              <w:top w:val="single" w:sz="7" w:space="0" w:color="000000"/>
              <w:left w:val="single" w:sz="7" w:space="0" w:color="000000"/>
              <w:bottom w:val="single" w:sz="7" w:space="0" w:color="000000"/>
              <w:right w:val="single" w:sz="7" w:space="0" w:color="000000"/>
            </w:tcBorders>
            <w:vAlign w:val="center"/>
          </w:tcPr>
          <w:p w14:paraId="646A04CA" w14:textId="77777777" w:rsidR="00FC1A09" w:rsidRPr="009F5AF4" w:rsidRDefault="00FC1A09">
            <w:pPr>
              <w:jc w:val="right"/>
              <w:rPr>
                <w:rFonts w:ascii="Arial" w:hAnsi="Arial" w:cs="Arial"/>
                <w:color w:val="000000"/>
                <w:sz w:val="18"/>
                <w:szCs w:val="18"/>
              </w:rPr>
            </w:pPr>
            <w:r w:rsidRPr="009F5AF4">
              <w:rPr>
                <w:rFonts w:ascii="Arial" w:hAnsi="Arial" w:cs="Arial"/>
                <w:color w:val="000000"/>
                <w:sz w:val="18"/>
                <w:szCs w:val="18"/>
              </w:rPr>
              <w:t>0</w:t>
            </w:r>
          </w:p>
        </w:tc>
        <w:tc>
          <w:tcPr>
            <w:tcW w:w="0" w:type="auto"/>
            <w:tcBorders>
              <w:top w:val="single" w:sz="7" w:space="0" w:color="000000"/>
              <w:left w:val="single" w:sz="7" w:space="0" w:color="000000"/>
              <w:bottom w:val="single" w:sz="7" w:space="0" w:color="000000"/>
              <w:right w:val="single" w:sz="7" w:space="0" w:color="000000"/>
            </w:tcBorders>
            <w:vAlign w:val="center"/>
          </w:tcPr>
          <w:p w14:paraId="5246A654" w14:textId="77777777" w:rsidR="00FC1A09" w:rsidRPr="009F5AF4" w:rsidRDefault="00FC1A09" w:rsidP="00FC1A09">
            <w:pPr>
              <w:jc w:val="right"/>
              <w:rPr>
                <w:rFonts w:ascii="Arial" w:hAnsi="Arial" w:cs="Arial"/>
                <w:color w:val="000000"/>
                <w:sz w:val="18"/>
                <w:szCs w:val="18"/>
              </w:rPr>
            </w:pPr>
            <w:r w:rsidRPr="009F5AF4">
              <w:rPr>
                <w:rFonts w:ascii="Arial" w:hAnsi="Arial" w:cs="Arial"/>
                <w:color w:val="000000"/>
                <w:sz w:val="18"/>
                <w:szCs w:val="18"/>
              </w:rPr>
              <w:t xml:space="preserve"> $0                   </w:t>
            </w:r>
          </w:p>
        </w:tc>
      </w:tr>
      <w:tr w:rsidR="00FC1A09" w:rsidRPr="009F5AF4" w14:paraId="656D8830" w14:textId="77777777" w:rsidTr="00DB62B0">
        <w:trPr>
          <w:trHeight w:hRule="exact" w:val="768"/>
        </w:trPr>
        <w:tc>
          <w:tcPr>
            <w:tcW w:w="0" w:type="auto"/>
            <w:tcBorders>
              <w:top w:val="single" w:sz="7" w:space="0" w:color="000000"/>
              <w:left w:val="single" w:sz="7" w:space="0" w:color="000000"/>
              <w:bottom w:val="single" w:sz="7" w:space="0" w:color="000000"/>
              <w:right w:val="single" w:sz="7" w:space="0" w:color="000000"/>
            </w:tcBorders>
          </w:tcPr>
          <w:p w14:paraId="5699B3BF" w14:textId="77777777" w:rsidR="00FC1A09" w:rsidRPr="009F5AF4" w:rsidRDefault="00FC1A09">
            <w:pPr>
              <w:spacing w:line="120" w:lineRule="exact"/>
              <w:rPr>
                <w:rFonts w:ascii="Arial" w:hAnsi="Arial" w:cs="Arial"/>
                <w:sz w:val="18"/>
                <w:szCs w:val="18"/>
              </w:rPr>
            </w:pPr>
          </w:p>
          <w:p w14:paraId="6191876B" w14:textId="77777777" w:rsidR="00FC1A09" w:rsidRPr="009F5AF4" w:rsidRDefault="00FC1A09">
            <w:pPr>
              <w:widowControl/>
              <w:spacing w:after="58"/>
              <w:rPr>
                <w:rFonts w:ascii="Arial" w:hAnsi="Arial" w:cs="Arial"/>
                <w:sz w:val="18"/>
                <w:szCs w:val="18"/>
              </w:rPr>
            </w:pPr>
            <w:r w:rsidRPr="009F5AF4">
              <w:rPr>
                <w:rFonts w:ascii="Arial" w:hAnsi="Arial" w:cs="Arial"/>
                <w:sz w:val="18"/>
                <w:szCs w:val="18"/>
              </w:rPr>
              <w:t>10 CFR 21.21(a)(2) Interim report (evaluation cannot be resolved in 60 days) *</w:t>
            </w:r>
          </w:p>
        </w:tc>
        <w:tc>
          <w:tcPr>
            <w:tcW w:w="0" w:type="auto"/>
            <w:tcBorders>
              <w:top w:val="single" w:sz="7" w:space="0" w:color="000000"/>
              <w:left w:val="single" w:sz="7" w:space="0" w:color="000000"/>
              <w:bottom w:val="single" w:sz="7" w:space="0" w:color="000000"/>
              <w:right w:val="single" w:sz="7" w:space="0" w:color="000000"/>
            </w:tcBorders>
          </w:tcPr>
          <w:p w14:paraId="2704F654" w14:textId="77777777" w:rsidR="00FC1A09" w:rsidRPr="009F5AF4" w:rsidRDefault="00FC1A09">
            <w:pPr>
              <w:spacing w:line="120" w:lineRule="exact"/>
              <w:rPr>
                <w:rFonts w:ascii="Arial" w:hAnsi="Arial" w:cs="Arial"/>
                <w:sz w:val="18"/>
                <w:szCs w:val="18"/>
              </w:rPr>
            </w:pPr>
          </w:p>
          <w:p w14:paraId="046AC1EC" w14:textId="77777777" w:rsidR="003052B6" w:rsidRDefault="003052B6">
            <w:pPr>
              <w:widowControl/>
              <w:spacing w:after="58"/>
              <w:jc w:val="right"/>
              <w:rPr>
                <w:rFonts w:ascii="Arial" w:hAnsi="Arial" w:cs="Arial"/>
                <w:sz w:val="18"/>
                <w:szCs w:val="18"/>
              </w:rPr>
            </w:pPr>
          </w:p>
          <w:p w14:paraId="0E9E2034" w14:textId="77777777" w:rsidR="00FC1A09" w:rsidRPr="009F5AF4" w:rsidRDefault="003052B6">
            <w:pPr>
              <w:widowControl/>
              <w:spacing w:after="58"/>
              <w:jc w:val="right"/>
              <w:rPr>
                <w:rFonts w:ascii="Arial" w:hAnsi="Arial" w:cs="Arial"/>
                <w:sz w:val="18"/>
                <w:szCs w:val="18"/>
              </w:rPr>
            </w:pPr>
            <w:r>
              <w:rPr>
                <w:rFonts w:ascii="Arial" w:hAnsi="Arial" w:cs="Arial"/>
                <w:sz w:val="18"/>
                <w:szCs w:val="18"/>
              </w:rPr>
              <w:t>95</w:t>
            </w:r>
          </w:p>
        </w:tc>
        <w:tc>
          <w:tcPr>
            <w:tcW w:w="0" w:type="auto"/>
            <w:tcBorders>
              <w:top w:val="single" w:sz="7" w:space="0" w:color="000000"/>
              <w:left w:val="single" w:sz="7" w:space="0" w:color="000000"/>
              <w:bottom w:val="single" w:sz="7" w:space="0" w:color="000000"/>
              <w:right w:val="single" w:sz="7" w:space="0" w:color="000000"/>
            </w:tcBorders>
          </w:tcPr>
          <w:p w14:paraId="63461779" w14:textId="77777777" w:rsidR="00FC1A09" w:rsidRPr="009F5AF4" w:rsidRDefault="00FC1A09">
            <w:pPr>
              <w:spacing w:line="120" w:lineRule="exact"/>
              <w:rPr>
                <w:rFonts w:ascii="Arial" w:hAnsi="Arial" w:cs="Arial"/>
                <w:sz w:val="18"/>
                <w:szCs w:val="18"/>
              </w:rPr>
            </w:pPr>
          </w:p>
          <w:p w14:paraId="12FF59B9" w14:textId="77777777" w:rsidR="003052B6" w:rsidRDefault="003052B6">
            <w:pPr>
              <w:widowControl/>
              <w:spacing w:after="58"/>
              <w:jc w:val="right"/>
              <w:rPr>
                <w:rFonts w:ascii="Arial" w:hAnsi="Arial" w:cs="Arial"/>
                <w:sz w:val="18"/>
                <w:szCs w:val="18"/>
              </w:rPr>
            </w:pPr>
          </w:p>
          <w:p w14:paraId="6921BCBC" w14:textId="77777777" w:rsidR="00FC1A09" w:rsidRPr="009F5AF4" w:rsidRDefault="00FC1A09">
            <w:pPr>
              <w:widowControl/>
              <w:spacing w:after="58"/>
              <w:jc w:val="right"/>
              <w:rPr>
                <w:rFonts w:ascii="Arial" w:hAnsi="Arial" w:cs="Arial"/>
                <w:sz w:val="18"/>
                <w:szCs w:val="18"/>
              </w:rPr>
            </w:pPr>
            <w:r w:rsidRPr="009F5AF4">
              <w:rPr>
                <w:rFonts w:ascii="Arial" w:hAnsi="Arial" w:cs="Arial"/>
                <w:sz w:val="18"/>
                <w:szCs w:val="18"/>
              </w:rPr>
              <w:t>95</w:t>
            </w:r>
          </w:p>
        </w:tc>
        <w:tc>
          <w:tcPr>
            <w:tcW w:w="0" w:type="auto"/>
            <w:tcBorders>
              <w:top w:val="single" w:sz="7" w:space="0" w:color="000000"/>
              <w:left w:val="single" w:sz="7" w:space="0" w:color="000000"/>
              <w:bottom w:val="single" w:sz="7" w:space="0" w:color="000000"/>
              <w:right w:val="single" w:sz="7" w:space="0" w:color="000000"/>
            </w:tcBorders>
            <w:vAlign w:val="center"/>
          </w:tcPr>
          <w:p w14:paraId="4E5270C8" w14:textId="77777777" w:rsidR="00FC1A09" w:rsidRPr="009F5AF4" w:rsidRDefault="00FC1A09" w:rsidP="004A3E48">
            <w:pPr>
              <w:jc w:val="right"/>
              <w:rPr>
                <w:rFonts w:ascii="Arial" w:hAnsi="Arial" w:cs="Arial"/>
                <w:color w:val="000000"/>
                <w:sz w:val="18"/>
                <w:szCs w:val="18"/>
              </w:rPr>
            </w:pPr>
            <w:r w:rsidRPr="009F5AF4">
              <w:rPr>
                <w:rFonts w:ascii="Arial" w:hAnsi="Arial" w:cs="Arial"/>
                <w:color w:val="000000"/>
                <w:sz w:val="18"/>
                <w:szCs w:val="18"/>
              </w:rPr>
              <w:t xml:space="preserve">          </w:t>
            </w:r>
            <w:r w:rsidR="003052B6">
              <w:rPr>
                <w:rFonts w:ascii="Arial" w:hAnsi="Arial" w:cs="Arial"/>
                <w:color w:val="000000"/>
                <w:sz w:val="18"/>
                <w:szCs w:val="18"/>
              </w:rPr>
              <w:t>9,025</w:t>
            </w:r>
            <w:r w:rsidRPr="009F5AF4">
              <w:rPr>
                <w:rFonts w:ascii="Arial" w:hAnsi="Arial" w:cs="Arial"/>
                <w:color w:val="000000"/>
                <w:sz w:val="18"/>
                <w:szCs w:val="18"/>
              </w:rPr>
              <w:t xml:space="preserve"> </w:t>
            </w:r>
          </w:p>
        </w:tc>
        <w:tc>
          <w:tcPr>
            <w:tcW w:w="0" w:type="auto"/>
            <w:tcBorders>
              <w:top w:val="single" w:sz="7" w:space="0" w:color="000000"/>
              <w:left w:val="single" w:sz="7" w:space="0" w:color="000000"/>
              <w:bottom w:val="single" w:sz="7" w:space="0" w:color="000000"/>
              <w:right w:val="single" w:sz="7" w:space="0" w:color="000000"/>
            </w:tcBorders>
            <w:vAlign w:val="center"/>
          </w:tcPr>
          <w:p w14:paraId="4BBD857E" w14:textId="77777777" w:rsidR="003052B6" w:rsidRDefault="003052B6" w:rsidP="00FC1A09">
            <w:pPr>
              <w:jc w:val="right"/>
              <w:rPr>
                <w:rFonts w:ascii="Arial" w:hAnsi="Arial" w:cs="Arial"/>
                <w:color w:val="000000"/>
                <w:sz w:val="18"/>
                <w:szCs w:val="18"/>
              </w:rPr>
            </w:pPr>
          </w:p>
          <w:p w14:paraId="40B70EA3" w14:textId="1CA18346" w:rsidR="00FC1A09" w:rsidRPr="009F5AF4" w:rsidRDefault="00FC1A09" w:rsidP="00FC1A09">
            <w:pPr>
              <w:jc w:val="right"/>
              <w:rPr>
                <w:rFonts w:ascii="Arial" w:hAnsi="Arial" w:cs="Arial"/>
                <w:color w:val="000000"/>
                <w:sz w:val="18"/>
                <w:szCs w:val="18"/>
              </w:rPr>
            </w:pPr>
            <w:r w:rsidRPr="009F5AF4">
              <w:rPr>
                <w:rFonts w:ascii="Arial" w:hAnsi="Arial" w:cs="Arial"/>
                <w:color w:val="000000"/>
                <w:sz w:val="18"/>
                <w:szCs w:val="18"/>
              </w:rPr>
              <w:t>$</w:t>
            </w:r>
            <w:r w:rsidR="003052B6">
              <w:rPr>
                <w:rFonts w:ascii="Arial" w:hAnsi="Arial" w:cs="Arial"/>
                <w:color w:val="000000"/>
                <w:sz w:val="18"/>
                <w:szCs w:val="18"/>
              </w:rPr>
              <w:t>2,</w:t>
            </w:r>
            <w:r w:rsidR="0016258D">
              <w:rPr>
                <w:rFonts w:ascii="Arial" w:hAnsi="Arial" w:cs="Arial"/>
                <w:color w:val="000000"/>
                <w:sz w:val="18"/>
                <w:szCs w:val="18"/>
              </w:rPr>
              <w:t>391</w:t>
            </w:r>
            <w:r w:rsidR="003052B6">
              <w:rPr>
                <w:rFonts w:ascii="Arial" w:hAnsi="Arial" w:cs="Arial"/>
                <w:color w:val="000000"/>
                <w:sz w:val="18"/>
                <w:szCs w:val="18"/>
              </w:rPr>
              <w:t>,</w:t>
            </w:r>
            <w:r w:rsidR="0016258D">
              <w:rPr>
                <w:rFonts w:ascii="Arial" w:hAnsi="Arial" w:cs="Arial"/>
                <w:color w:val="000000"/>
                <w:sz w:val="18"/>
                <w:szCs w:val="18"/>
              </w:rPr>
              <w:t>625</w:t>
            </w:r>
            <w:r w:rsidR="0016258D" w:rsidRPr="009F5AF4">
              <w:rPr>
                <w:rFonts w:ascii="Arial" w:hAnsi="Arial" w:cs="Arial"/>
                <w:color w:val="000000"/>
                <w:sz w:val="18"/>
                <w:szCs w:val="18"/>
              </w:rPr>
              <w:t xml:space="preserve"> </w:t>
            </w:r>
          </w:p>
          <w:p w14:paraId="49B95137" w14:textId="77777777" w:rsidR="00FC1A09" w:rsidRPr="009F5AF4" w:rsidRDefault="00FC1A09">
            <w:pPr>
              <w:jc w:val="right"/>
              <w:rPr>
                <w:rFonts w:ascii="Arial" w:hAnsi="Arial" w:cs="Arial"/>
                <w:color w:val="000000"/>
                <w:sz w:val="18"/>
                <w:szCs w:val="18"/>
              </w:rPr>
            </w:pPr>
            <w:r w:rsidRPr="009F5AF4">
              <w:rPr>
                <w:rFonts w:ascii="Arial" w:hAnsi="Arial" w:cs="Arial"/>
                <w:color w:val="000000"/>
                <w:sz w:val="18"/>
                <w:szCs w:val="18"/>
              </w:rPr>
              <w:t xml:space="preserve"> </w:t>
            </w:r>
          </w:p>
        </w:tc>
      </w:tr>
      <w:tr w:rsidR="00FC1A09" w:rsidRPr="009F5AF4" w14:paraId="1D9DD09C" w14:textId="77777777" w:rsidTr="00DB62B0">
        <w:trPr>
          <w:trHeight w:val="593"/>
        </w:trPr>
        <w:tc>
          <w:tcPr>
            <w:tcW w:w="0" w:type="auto"/>
            <w:tcBorders>
              <w:top w:val="single" w:sz="7" w:space="0" w:color="000000"/>
              <w:left w:val="single" w:sz="7" w:space="0" w:color="000000"/>
              <w:bottom w:val="single" w:sz="7" w:space="0" w:color="000000"/>
              <w:right w:val="single" w:sz="7" w:space="0" w:color="000000"/>
            </w:tcBorders>
          </w:tcPr>
          <w:p w14:paraId="360E9824" w14:textId="77777777" w:rsidR="00FC1A09" w:rsidRPr="009F5AF4" w:rsidRDefault="00FC1A09">
            <w:pPr>
              <w:spacing w:line="120" w:lineRule="exact"/>
              <w:rPr>
                <w:rFonts w:ascii="Arial" w:hAnsi="Arial" w:cs="Arial"/>
                <w:sz w:val="18"/>
                <w:szCs w:val="18"/>
              </w:rPr>
            </w:pPr>
          </w:p>
          <w:p w14:paraId="68EF7CD6" w14:textId="77777777" w:rsidR="00FC1A09" w:rsidRPr="009F5AF4" w:rsidRDefault="00FC1A09">
            <w:pPr>
              <w:widowControl/>
              <w:spacing w:after="58"/>
              <w:rPr>
                <w:rFonts w:ascii="Arial" w:hAnsi="Arial" w:cs="Arial"/>
                <w:sz w:val="18"/>
                <w:szCs w:val="18"/>
              </w:rPr>
            </w:pPr>
            <w:r w:rsidRPr="009F5AF4">
              <w:rPr>
                <w:rFonts w:ascii="Arial" w:hAnsi="Arial" w:cs="Arial"/>
                <w:sz w:val="18"/>
                <w:szCs w:val="18"/>
              </w:rPr>
              <w:t>10 CFR 21.21(d)(3)(i) Initial notification by facsimile or telephone</w:t>
            </w:r>
          </w:p>
        </w:tc>
        <w:tc>
          <w:tcPr>
            <w:tcW w:w="0" w:type="auto"/>
            <w:tcBorders>
              <w:top w:val="single" w:sz="7" w:space="0" w:color="000000"/>
              <w:left w:val="single" w:sz="7" w:space="0" w:color="000000"/>
              <w:bottom w:val="single" w:sz="7" w:space="0" w:color="000000"/>
              <w:right w:val="single" w:sz="7" w:space="0" w:color="000000"/>
            </w:tcBorders>
          </w:tcPr>
          <w:p w14:paraId="4694FCD3" w14:textId="77777777" w:rsidR="00FC1A09" w:rsidRPr="009F5AF4" w:rsidRDefault="00FC1A09">
            <w:pPr>
              <w:spacing w:line="120" w:lineRule="exact"/>
              <w:rPr>
                <w:rFonts w:ascii="Arial" w:hAnsi="Arial" w:cs="Arial"/>
                <w:sz w:val="18"/>
                <w:szCs w:val="18"/>
              </w:rPr>
            </w:pPr>
          </w:p>
          <w:p w14:paraId="5CB417BF" w14:textId="77777777" w:rsidR="00FC1A09" w:rsidRPr="009F5AF4" w:rsidRDefault="000118DE">
            <w:pPr>
              <w:widowControl/>
              <w:spacing w:after="58"/>
              <w:jc w:val="right"/>
              <w:rPr>
                <w:rFonts w:ascii="Arial" w:hAnsi="Arial" w:cs="Arial"/>
                <w:sz w:val="18"/>
                <w:szCs w:val="18"/>
              </w:rPr>
            </w:pPr>
            <w:r>
              <w:rPr>
                <w:rFonts w:ascii="Arial" w:hAnsi="Arial" w:cs="Arial"/>
                <w:sz w:val="18"/>
                <w:szCs w:val="18"/>
              </w:rPr>
              <w:t>19</w:t>
            </w:r>
          </w:p>
        </w:tc>
        <w:tc>
          <w:tcPr>
            <w:tcW w:w="0" w:type="auto"/>
            <w:tcBorders>
              <w:top w:val="single" w:sz="7" w:space="0" w:color="000000"/>
              <w:left w:val="single" w:sz="7" w:space="0" w:color="000000"/>
              <w:bottom w:val="single" w:sz="7" w:space="0" w:color="000000"/>
              <w:right w:val="single" w:sz="7" w:space="0" w:color="000000"/>
            </w:tcBorders>
          </w:tcPr>
          <w:p w14:paraId="03FFE636" w14:textId="77777777" w:rsidR="00FC1A09" w:rsidRPr="009F5AF4" w:rsidRDefault="00FC1A09">
            <w:pPr>
              <w:spacing w:line="120" w:lineRule="exact"/>
              <w:rPr>
                <w:rFonts w:ascii="Arial" w:hAnsi="Arial" w:cs="Arial"/>
                <w:sz w:val="18"/>
                <w:szCs w:val="18"/>
              </w:rPr>
            </w:pPr>
          </w:p>
          <w:p w14:paraId="0B2F67B5" w14:textId="77777777" w:rsidR="00FC1A09" w:rsidRPr="009F5AF4" w:rsidRDefault="00FC1A09">
            <w:pPr>
              <w:widowControl/>
              <w:spacing w:after="58"/>
              <w:jc w:val="right"/>
              <w:rPr>
                <w:rFonts w:ascii="Arial" w:hAnsi="Arial" w:cs="Arial"/>
                <w:sz w:val="18"/>
                <w:szCs w:val="18"/>
              </w:rPr>
            </w:pPr>
            <w:r w:rsidRPr="009F5AF4">
              <w:rPr>
                <w:rFonts w:ascii="Arial" w:hAnsi="Arial" w:cs="Arial"/>
                <w:sz w:val="18"/>
                <w:szCs w:val="18"/>
              </w:rPr>
              <w:t>2</w:t>
            </w:r>
          </w:p>
        </w:tc>
        <w:tc>
          <w:tcPr>
            <w:tcW w:w="0" w:type="auto"/>
            <w:tcBorders>
              <w:top w:val="single" w:sz="7" w:space="0" w:color="000000"/>
              <w:left w:val="single" w:sz="7" w:space="0" w:color="000000"/>
              <w:bottom w:val="single" w:sz="7" w:space="0" w:color="000000"/>
              <w:right w:val="single" w:sz="7" w:space="0" w:color="000000"/>
            </w:tcBorders>
            <w:vAlign w:val="center"/>
          </w:tcPr>
          <w:p w14:paraId="34AA462C" w14:textId="77777777" w:rsidR="00FC1A09" w:rsidRPr="009F5AF4" w:rsidRDefault="00FC1A09" w:rsidP="00731A61">
            <w:pPr>
              <w:jc w:val="right"/>
              <w:rPr>
                <w:rFonts w:ascii="Arial" w:hAnsi="Arial" w:cs="Arial"/>
                <w:color w:val="000000"/>
                <w:sz w:val="18"/>
                <w:szCs w:val="18"/>
              </w:rPr>
            </w:pPr>
            <w:r w:rsidRPr="009F5AF4">
              <w:rPr>
                <w:rFonts w:ascii="Arial" w:hAnsi="Arial" w:cs="Arial"/>
                <w:color w:val="000000"/>
                <w:sz w:val="18"/>
                <w:szCs w:val="18"/>
              </w:rPr>
              <w:t xml:space="preserve">             </w:t>
            </w:r>
            <w:r w:rsidR="000118DE">
              <w:rPr>
                <w:rFonts w:ascii="Arial" w:hAnsi="Arial" w:cs="Arial"/>
                <w:color w:val="000000"/>
                <w:sz w:val="18"/>
                <w:szCs w:val="18"/>
              </w:rPr>
              <w:t>38</w:t>
            </w:r>
            <w:r w:rsidR="000118DE" w:rsidRPr="009F5AF4">
              <w:rPr>
                <w:rFonts w:ascii="Arial" w:hAnsi="Arial" w:cs="Arial"/>
                <w:color w:val="000000"/>
                <w:sz w:val="18"/>
                <w:szCs w:val="18"/>
              </w:rPr>
              <w:t xml:space="preserve"> </w:t>
            </w:r>
          </w:p>
        </w:tc>
        <w:tc>
          <w:tcPr>
            <w:tcW w:w="0" w:type="auto"/>
            <w:tcBorders>
              <w:top w:val="single" w:sz="7" w:space="0" w:color="000000"/>
              <w:left w:val="single" w:sz="7" w:space="0" w:color="000000"/>
              <w:bottom w:val="single" w:sz="7" w:space="0" w:color="000000"/>
              <w:right w:val="single" w:sz="7" w:space="0" w:color="000000"/>
            </w:tcBorders>
            <w:vAlign w:val="center"/>
          </w:tcPr>
          <w:p w14:paraId="0352E167" w14:textId="5879AA01" w:rsidR="00FC1A09" w:rsidRPr="009F5AF4" w:rsidRDefault="00FC1A09" w:rsidP="0016258D">
            <w:pPr>
              <w:jc w:val="right"/>
              <w:rPr>
                <w:rFonts w:ascii="Arial" w:hAnsi="Arial" w:cs="Arial"/>
                <w:color w:val="000000"/>
                <w:sz w:val="18"/>
                <w:szCs w:val="18"/>
              </w:rPr>
            </w:pPr>
            <w:r w:rsidRPr="009F5AF4">
              <w:rPr>
                <w:rFonts w:ascii="Arial" w:hAnsi="Arial" w:cs="Arial"/>
                <w:color w:val="000000"/>
                <w:sz w:val="18"/>
                <w:szCs w:val="18"/>
              </w:rPr>
              <w:t xml:space="preserve"> $</w:t>
            </w:r>
            <w:r w:rsidR="000118DE">
              <w:rPr>
                <w:rFonts w:ascii="Arial" w:hAnsi="Arial" w:cs="Arial"/>
                <w:color w:val="000000"/>
                <w:sz w:val="18"/>
                <w:szCs w:val="18"/>
              </w:rPr>
              <w:t>10,</w:t>
            </w:r>
            <w:r w:rsidR="0016258D">
              <w:rPr>
                <w:rFonts w:ascii="Arial" w:hAnsi="Arial" w:cs="Arial"/>
                <w:color w:val="000000"/>
                <w:sz w:val="18"/>
                <w:szCs w:val="18"/>
              </w:rPr>
              <w:t>070</w:t>
            </w:r>
            <w:r w:rsidR="0016258D" w:rsidRPr="009F5AF4">
              <w:rPr>
                <w:rFonts w:ascii="Arial" w:hAnsi="Arial" w:cs="Arial"/>
                <w:color w:val="000000"/>
                <w:sz w:val="18"/>
                <w:szCs w:val="18"/>
              </w:rPr>
              <w:t xml:space="preserve"> </w:t>
            </w:r>
          </w:p>
        </w:tc>
      </w:tr>
      <w:tr w:rsidR="00FC1A09" w:rsidRPr="009F5AF4" w14:paraId="596124E7" w14:textId="77777777" w:rsidTr="00DB62B0">
        <w:trPr>
          <w:trHeight w:val="609"/>
        </w:trPr>
        <w:tc>
          <w:tcPr>
            <w:tcW w:w="0" w:type="auto"/>
            <w:tcBorders>
              <w:top w:val="single" w:sz="7" w:space="0" w:color="000000"/>
              <w:left w:val="single" w:sz="7" w:space="0" w:color="000000"/>
              <w:bottom w:val="single" w:sz="7" w:space="0" w:color="000000"/>
              <w:right w:val="single" w:sz="7" w:space="0" w:color="000000"/>
            </w:tcBorders>
          </w:tcPr>
          <w:p w14:paraId="4A58C03F" w14:textId="77777777" w:rsidR="00FC1A09" w:rsidRPr="009F5AF4" w:rsidRDefault="00FC1A09">
            <w:pPr>
              <w:spacing w:line="120" w:lineRule="exact"/>
              <w:rPr>
                <w:rFonts w:ascii="Arial" w:hAnsi="Arial" w:cs="Arial"/>
                <w:sz w:val="18"/>
                <w:szCs w:val="18"/>
              </w:rPr>
            </w:pPr>
          </w:p>
          <w:p w14:paraId="49D41DFB" w14:textId="77777777" w:rsidR="00FC1A09" w:rsidRPr="009F5AF4" w:rsidRDefault="00FC1A09">
            <w:pPr>
              <w:widowControl/>
              <w:spacing w:after="58"/>
              <w:rPr>
                <w:rFonts w:ascii="Arial" w:hAnsi="Arial" w:cs="Arial"/>
                <w:sz w:val="18"/>
                <w:szCs w:val="18"/>
              </w:rPr>
            </w:pPr>
            <w:r w:rsidRPr="009F5AF4">
              <w:rPr>
                <w:rFonts w:ascii="Arial" w:hAnsi="Arial" w:cs="Arial"/>
                <w:sz w:val="18"/>
                <w:szCs w:val="18"/>
              </w:rPr>
              <w:t>10 CFR 21.21(d)(3)(ii)  30</w:t>
            </w:r>
            <w:r w:rsidRPr="009F5AF4">
              <w:rPr>
                <w:rFonts w:ascii="Arial" w:hAnsi="Arial" w:cs="Arial"/>
                <w:sz w:val="18"/>
                <w:szCs w:val="18"/>
              </w:rPr>
              <w:noBreakHyphen/>
              <w:t>day written notification</w:t>
            </w:r>
          </w:p>
        </w:tc>
        <w:tc>
          <w:tcPr>
            <w:tcW w:w="0" w:type="auto"/>
            <w:tcBorders>
              <w:top w:val="single" w:sz="7" w:space="0" w:color="000000"/>
              <w:left w:val="single" w:sz="7" w:space="0" w:color="000000"/>
              <w:bottom w:val="single" w:sz="7" w:space="0" w:color="000000"/>
              <w:right w:val="single" w:sz="7" w:space="0" w:color="000000"/>
            </w:tcBorders>
          </w:tcPr>
          <w:p w14:paraId="698F1201" w14:textId="77777777" w:rsidR="00FC1A09" w:rsidRPr="009F5AF4" w:rsidRDefault="00FC1A09">
            <w:pPr>
              <w:spacing w:line="120" w:lineRule="exact"/>
              <w:rPr>
                <w:rFonts w:ascii="Arial" w:hAnsi="Arial" w:cs="Arial"/>
                <w:sz w:val="18"/>
                <w:szCs w:val="18"/>
              </w:rPr>
            </w:pPr>
          </w:p>
          <w:p w14:paraId="30B298D1" w14:textId="5FE73332" w:rsidR="00FC1A09" w:rsidRPr="009F5AF4" w:rsidRDefault="000118DE" w:rsidP="004A3E48">
            <w:pPr>
              <w:widowControl/>
              <w:spacing w:after="58"/>
              <w:jc w:val="right"/>
              <w:rPr>
                <w:rFonts w:ascii="Arial" w:hAnsi="Arial" w:cs="Arial"/>
                <w:sz w:val="18"/>
                <w:szCs w:val="18"/>
              </w:rPr>
            </w:pPr>
            <w:r>
              <w:rPr>
                <w:rFonts w:ascii="Arial" w:hAnsi="Arial" w:cs="Arial"/>
                <w:sz w:val="18"/>
                <w:szCs w:val="18"/>
              </w:rPr>
              <w:t>6</w:t>
            </w:r>
            <w:r w:rsidR="00780941">
              <w:rPr>
                <w:rFonts w:ascii="Arial" w:hAnsi="Arial" w:cs="Arial"/>
                <w:sz w:val="18"/>
                <w:szCs w:val="18"/>
              </w:rPr>
              <w:t>4</w:t>
            </w:r>
          </w:p>
        </w:tc>
        <w:tc>
          <w:tcPr>
            <w:tcW w:w="0" w:type="auto"/>
            <w:tcBorders>
              <w:top w:val="single" w:sz="7" w:space="0" w:color="000000"/>
              <w:left w:val="single" w:sz="7" w:space="0" w:color="000000"/>
              <w:bottom w:val="single" w:sz="7" w:space="0" w:color="000000"/>
              <w:right w:val="single" w:sz="7" w:space="0" w:color="000000"/>
            </w:tcBorders>
          </w:tcPr>
          <w:p w14:paraId="4E9D4558" w14:textId="77777777" w:rsidR="00FC1A09" w:rsidRPr="009F5AF4" w:rsidRDefault="00FC1A09">
            <w:pPr>
              <w:spacing w:line="120" w:lineRule="exact"/>
              <w:rPr>
                <w:rFonts w:ascii="Arial" w:hAnsi="Arial" w:cs="Arial"/>
                <w:sz w:val="18"/>
                <w:szCs w:val="18"/>
              </w:rPr>
            </w:pPr>
          </w:p>
          <w:p w14:paraId="027A1C63" w14:textId="77777777" w:rsidR="00FC1A09" w:rsidRPr="009F5AF4" w:rsidRDefault="00FC1A09">
            <w:pPr>
              <w:widowControl/>
              <w:spacing w:after="58"/>
              <w:jc w:val="right"/>
              <w:rPr>
                <w:rFonts w:ascii="Arial" w:hAnsi="Arial" w:cs="Arial"/>
                <w:sz w:val="18"/>
                <w:szCs w:val="18"/>
              </w:rPr>
            </w:pPr>
            <w:r w:rsidRPr="009F5AF4">
              <w:rPr>
                <w:rFonts w:ascii="Arial" w:hAnsi="Arial" w:cs="Arial"/>
                <w:sz w:val="18"/>
                <w:szCs w:val="18"/>
              </w:rPr>
              <w:t>140</w:t>
            </w:r>
          </w:p>
        </w:tc>
        <w:tc>
          <w:tcPr>
            <w:tcW w:w="0" w:type="auto"/>
            <w:tcBorders>
              <w:top w:val="single" w:sz="7" w:space="0" w:color="000000"/>
              <w:left w:val="single" w:sz="7" w:space="0" w:color="000000"/>
              <w:bottom w:val="single" w:sz="7" w:space="0" w:color="000000"/>
              <w:right w:val="single" w:sz="7" w:space="0" w:color="000000"/>
            </w:tcBorders>
            <w:vAlign w:val="center"/>
          </w:tcPr>
          <w:p w14:paraId="219FA628" w14:textId="4FCED16F" w:rsidR="00FC1A09" w:rsidRPr="009F5AF4" w:rsidRDefault="00FC1A09" w:rsidP="004A3E48">
            <w:pPr>
              <w:jc w:val="right"/>
              <w:rPr>
                <w:rFonts w:ascii="Arial" w:hAnsi="Arial" w:cs="Arial"/>
                <w:color w:val="000000"/>
                <w:sz w:val="18"/>
                <w:szCs w:val="18"/>
              </w:rPr>
            </w:pPr>
            <w:r w:rsidRPr="009F5AF4">
              <w:rPr>
                <w:rFonts w:ascii="Arial" w:hAnsi="Arial" w:cs="Arial"/>
                <w:color w:val="000000"/>
                <w:sz w:val="18"/>
                <w:szCs w:val="18"/>
              </w:rPr>
              <w:t xml:space="preserve">          </w:t>
            </w:r>
            <w:r w:rsidR="00780941">
              <w:rPr>
                <w:rFonts w:ascii="Arial" w:hAnsi="Arial" w:cs="Arial"/>
                <w:color w:val="000000"/>
                <w:sz w:val="18"/>
                <w:szCs w:val="18"/>
              </w:rPr>
              <w:t>8,960</w:t>
            </w:r>
            <w:r w:rsidRPr="009F5AF4">
              <w:rPr>
                <w:rFonts w:ascii="Arial" w:hAnsi="Arial" w:cs="Arial"/>
                <w:color w:val="000000"/>
                <w:sz w:val="18"/>
                <w:szCs w:val="18"/>
              </w:rPr>
              <w:t xml:space="preserve"> </w:t>
            </w:r>
          </w:p>
        </w:tc>
        <w:tc>
          <w:tcPr>
            <w:tcW w:w="0" w:type="auto"/>
            <w:tcBorders>
              <w:top w:val="single" w:sz="7" w:space="0" w:color="000000"/>
              <w:left w:val="single" w:sz="7" w:space="0" w:color="000000"/>
              <w:bottom w:val="single" w:sz="7" w:space="0" w:color="000000"/>
              <w:right w:val="single" w:sz="7" w:space="0" w:color="000000"/>
            </w:tcBorders>
            <w:vAlign w:val="center"/>
          </w:tcPr>
          <w:p w14:paraId="04B61C1D" w14:textId="6C00A4C6" w:rsidR="00FC1A09" w:rsidRPr="009F5AF4" w:rsidRDefault="00FC1A09" w:rsidP="0016258D">
            <w:pPr>
              <w:jc w:val="right"/>
              <w:rPr>
                <w:rFonts w:ascii="Arial" w:hAnsi="Arial" w:cs="Arial"/>
                <w:color w:val="000000"/>
                <w:sz w:val="18"/>
                <w:szCs w:val="18"/>
              </w:rPr>
            </w:pPr>
            <w:r w:rsidRPr="009F5AF4">
              <w:rPr>
                <w:rFonts w:ascii="Arial" w:hAnsi="Arial" w:cs="Arial"/>
                <w:color w:val="000000"/>
                <w:sz w:val="18"/>
                <w:szCs w:val="18"/>
              </w:rPr>
              <w:t xml:space="preserve"> $</w:t>
            </w:r>
            <w:r w:rsidR="000118DE">
              <w:rPr>
                <w:rFonts w:ascii="Arial" w:hAnsi="Arial" w:cs="Arial"/>
                <w:color w:val="000000"/>
                <w:sz w:val="18"/>
                <w:szCs w:val="18"/>
              </w:rPr>
              <w:t>2,3</w:t>
            </w:r>
            <w:r w:rsidR="00780941">
              <w:rPr>
                <w:rFonts w:ascii="Arial" w:hAnsi="Arial" w:cs="Arial"/>
                <w:color w:val="000000"/>
                <w:sz w:val="18"/>
                <w:szCs w:val="18"/>
              </w:rPr>
              <w:t>74,400</w:t>
            </w:r>
            <w:r w:rsidRPr="009F5AF4">
              <w:rPr>
                <w:rFonts w:ascii="Arial" w:hAnsi="Arial" w:cs="Arial"/>
                <w:color w:val="000000"/>
                <w:sz w:val="18"/>
                <w:szCs w:val="18"/>
              </w:rPr>
              <w:t xml:space="preserve"> </w:t>
            </w:r>
          </w:p>
        </w:tc>
      </w:tr>
      <w:tr w:rsidR="00012F9A" w:rsidRPr="009F5AF4" w14:paraId="5F72495E" w14:textId="77777777" w:rsidTr="00DB62B0">
        <w:trPr>
          <w:trHeight w:val="380"/>
        </w:trPr>
        <w:tc>
          <w:tcPr>
            <w:tcW w:w="0" w:type="auto"/>
            <w:tcBorders>
              <w:top w:val="single" w:sz="7" w:space="0" w:color="000000"/>
              <w:left w:val="single" w:sz="7" w:space="0" w:color="000000"/>
              <w:bottom w:val="single" w:sz="7" w:space="0" w:color="000000"/>
              <w:right w:val="single" w:sz="7" w:space="0" w:color="000000"/>
            </w:tcBorders>
          </w:tcPr>
          <w:p w14:paraId="7ED19DBC" w14:textId="77777777" w:rsidR="00012F9A" w:rsidRPr="009F5AF4" w:rsidRDefault="00012F9A">
            <w:pPr>
              <w:spacing w:line="120" w:lineRule="exact"/>
              <w:rPr>
                <w:rFonts w:ascii="Arial" w:hAnsi="Arial" w:cs="Arial"/>
                <w:sz w:val="18"/>
                <w:szCs w:val="18"/>
              </w:rPr>
            </w:pPr>
          </w:p>
          <w:p w14:paraId="4A9D441C" w14:textId="77777777" w:rsidR="00012F9A" w:rsidRPr="009F5AF4" w:rsidRDefault="00012F9A">
            <w:pPr>
              <w:widowControl/>
              <w:spacing w:after="58"/>
              <w:rPr>
                <w:rFonts w:ascii="Arial" w:hAnsi="Arial" w:cs="Arial"/>
                <w:sz w:val="18"/>
                <w:szCs w:val="18"/>
              </w:rPr>
            </w:pPr>
            <w:r w:rsidRPr="009F5AF4">
              <w:rPr>
                <w:rFonts w:ascii="Arial" w:hAnsi="Arial" w:cs="Arial"/>
                <w:sz w:val="18"/>
                <w:szCs w:val="18"/>
              </w:rPr>
              <w:t>TOTAL</w:t>
            </w:r>
          </w:p>
        </w:tc>
        <w:tc>
          <w:tcPr>
            <w:tcW w:w="0" w:type="auto"/>
            <w:tcBorders>
              <w:top w:val="single" w:sz="7" w:space="0" w:color="000000"/>
              <w:left w:val="single" w:sz="7" w:space="0" w:color="000000"/>
              <w:bottom w:val="single" w:sz="7" w:space="0" w:color="000000"/>
              <w:right w:val="single" w:sz="7" w:space="0" w:color="000000"/>
            </w:tcBorders>
          </w:tcPr>
          <w:p w14:paraId="0E4AC81B" w14:textId="77777777" w:rsidR="00012F9A" w:rsidRPr="009F5AF4" w:rsidRDefault="00012F9A">
            <w:pPr>
              <w:spacing w:line="120" w:lineRule="exact"/>
              <w:rPr>
                <w:rFonts w:ascii="Arial" w:hAnsi="Arial" w:cs="Arial"/>
                <w:sz w:val="18"/>
                <w:szCs w:val="18"/>
              </w:rPr>
            </w:pPr>
          </w:p>
          <w:p w14:paraId="65EB76CB" w14:textId="02A044AA" w:rsidR="00012F9A" w:rsidRPr="009F5AF4" w:rsidRDefault="000118DE">
            <w:pPr>
              <w:widowControl/>
              <w:spacing w:after="58"/>
              <w:jc w:val="right"/>
              <w:rPr>
                <w:rFonts w:ascii="Arial" w:hAnsi="Arial" w:cs="Arial"/>
                <w:sz w:val="18"/>
                <w:szCs w:val="18"/>
              </w:rPr>
            </w:pPr>
            <w:r>
              <w:rPr>
                <w:rFonts w:ascii="Arial" w:hAnsi="Arial" w:cs="Arial"/>
                <w:sz w:val="18"/>
                <w:szCs w:val="18"/>
              </w:rPr>
              <w:t>17</w:t>
            </w:r>
            <w:r w:rsidR="00780941">
              <w:rPr>
                <w:rFonts w:ascii="Arial" w:hAnsi="Arial" w:cs="Arial"/>
                <w:sz w:val="18"/>
                <w:szCs w:val="18"/>
              </w:rPr>
              <w:t>8</w:t>
            </w:r>
          </w:p>
        </w:tc>
        <w:tc>
          <w:tcPr>
            <w:tcW w:w="0" w:type="auto"/>
            <w:tcBorders>
              <w:top w:val="single" w:sz="7" w:space="0" w:color="000000"/>
              <w:left w:val="single" w:sz="7" w:space="0" w:color="000000"/>
              <w:bottom w:val="single" w:sz="7" w:space="0" w:color="000000"/>
              <w:right w:val="single" w:sz="7" w:space="0" w:color="000000"/>
            </w:tcBorders>
          </w:tcPr>
          <w:p w14:paraId="1539326D" w14:textId="77777777" w:rsidR="00012F9A" w:rsidRPr="009F5AF4" w:rsidRDefault="00012F9A">
            <w:pPr>
              <w:spacing w:line="120" w:lineRule="exact"/>
              <w:rPr>
                <w:rFonts w:ascii="Arial" w:hAnsi="Arial" w:cs="Arial"/>
                <w:sz w:val="18"/>
                <w:szCs w:val="18"/>
              </w:rPr>
            </w:pPr>
          </w:p>
          <w:p w14:paraId="4E50298F" w14:textId="77777777" w:rsidR="00012F9A" w:rsidRPr="009F5AF4" w:rsidRDefault="00012F9A">
            <w:pPr>
              <w:widowControl/>
              <w:spacing w:after="58"/>
              <w:jc w:val="right"/>
              <w:rPr>
                <w:rFonts w:ascii="Arial" w:hAnsi="Arial" w:cs="Arial"/>
                <w:sz w:val="18"/>
                <w:szCs w:val="18"/>
              </w:rPr>
            </w:pPr>
          </w:p>
        </w:tc>
        <w:tc>
          <w:tcPr>
            <w:tcW w:w="0" w:type="auto"/>
            <w:tcBorders>
              <w:top w:val="single" w:sz="7" w:space="0" w:color="000000"/>
              <w:left w:val="single" w:sz="7" w:space="0" w:color="000000"/>
              <w:bottom w:val="single" w:sz="7" w:space="0" w:color="000000"/>
              <w:right w:val="single" w:sz="7" w:space="0" w:color="000000"/>
            </w:tcBorders>
            <w:vAlign w:val="center"/>
          </w:tcPr>
          <w:p w14:paraId="745721FF" w14:textId="7E984ADB" w:rsidR="00012F9A" w:rsidRPr="009F5AF4" w:rsidRDefault="00A715B8" w:rsidP="000118DE">
            <w:pPr>
              <w:jc w:val="right"/>
              <w:rPr>
                <w:rFonts w:ascii="Arial" w:hAnsi="Arial" w:cs="Arial"/>
                <w:color w:val="000000"/>
                <w:sz w:val="18"/>
                <w:szCs w:val="18"/>
              </w:rPr>
            </w:pPr>
            <w:r>
              <w:rPr>
                <w:rFonts w:ascii="Arial" w:hAnsi="Arial" w:cs="Arial"/>
                <w:color w:val="000000"/>
                <w:sz w:val="18"/>
                <w:szCs w:val="18"/>
              </w:rPr>
              <w:t>18,023</w:t>
            </w:r>
            <w:r w:rsidR="00012F9A" w:rsidRPr="009F5AF4">
              <w:rPr>
                <w:rFonts w:ascii="Arial" w:hAnsi="Arial" w:cs="Arial"/>
                <w:color w:val="000000"/>
                <w:sz w:val="18"/>
                <w:szCs w:val="18"/>
              </w:rPr>
              <w:t xml:space="preserve">          </w:t>
            </w:r>
          </w:p>
        </w:tc>
        <w:tc>
          <w:tcPr>
            <w:tcW w:w="0" w:type="auto"/>
            <w:tcBorders>
              <w:top w:val="single" w:sz="7" w:space="0" w:color="000000"/>
              <w:left w:val="single" w:sz="7" w:space="0" w:color="000000"/>
              <w:bottom w:val="single" w:sz="7" w:space="0" w:color="000000"/>
              <w:right w:val="single" w:sz="7" w:space="0" w:color="000000"/>
            </w:tcBorders>
            <w:vAlign w:val="center"/>
          </w:tcPr>
          <w:p w14:paraId="4DC025AD" w14:textId="45008A31" w:rsidR="00012F9A" w:rsidRPr="009F5AF4" w:rsidRDefault="00012F9A" w:rsidP="00A715B8">
            <w:pPr>
              <w:rPr>
                <w:rFonts w:ascii="Arial" w:hAnsi="Arial" w:cs="Arial"/>
                <w:color w:val="000000"/>
                <w:sz w:val="18"/>
                <w:szCs w:val="18"/>
              </w:rPr>
            </w:pPr>
            <w:r w:rsidRPr="009F5AF4">
              <w:rPr>
                <w:rFonts w:ascii="Arial" w:hAnsi="Arial" w:cs="Arial"/>
                <w:color w:val="000000"/>
                <w:sz w:val="18"/>
                <w:szCs w:val="18"/>
              </w:rPr>
              <w:t xml:space="preserve"> </w:t>
            </w:r>
            <w:r w:rsidR="00780941">
              <w:rPr>
                <w:rFonts w:ascii="Arial" w:hAnsi="Arial" w:cs="Arial"/>
                <w:color w:val="000000"/>
                <w:sz w:val="18"/>
                <w:szCs w:val="18"/>
              </w:rPr>
              <w:t xml:space="preserve">   </w:t>
            </w:r>
            <w:r w:rsidRPr="009F5AF4">
              <w:rPr>
                <w:rFonts w:ascii="Arial" w:hAnsi="Arial" w:cs="Arial"/>
                <w:color w:val="000000"/>
                <w:sz w:val="18"/>
                <w:szCs w:val="18"/>
              </w:rPr>
              <w:t>$</w:t>
            </w:r>
            <w:r w:rsidR="000118DE">
              <w:rPr>
                <w:rFonts w:ascii="Arial" w:hAnsi="Arial" w:cs="Arial"/>
                <w:color w:val="000000"/>
                <w:sz w:val="18"/>
                <w:szCs w:val="18"/>
              </w:rPr>
              <w:t>4,</w:t>
            </w:r>
            <w:r w:rsidR="0016258D">
              <w:rPr>
                <w:rFonts w:ascii="Arial" w:hAnsi="Arial" w:cs="Arial"/>
                <w:color w:val="000000"/>
                <w:sz w:val="18"/>
                <w:szCs w:val="18"/>
              </w:rPr>
              <w:t>7</w:t>
            </w:r>
            <w:r w:rsidR="00A715B8">
              <w:rPr>
                <w:rFonts w:ascii="Arial" w:hAnsi="Arial" w:cs="Arial"/>
                <w:color w:val="000000"/>
                <w:sz w:val="18"/>
                <w:szCs w:val="18"/>
              </w:rPr>
              <w:t>76,095</w:t>
            </w:r>
          </w:p>
        </w:tc>
      </w:tr>
    </w:tbl>
    <w:p w14:paraId="3E758E17" w14:textId="77777777" w:rsidR="00A879F3" w:rsidRPr="009F5AF4" w:rsidRDefault="00A879F3" w:rsidP="008D20BA">
      <w:pPr>
        <w:widowControl/>
        <w:ind w:right="-450"/>
        <w:rPr>
          <w:rFonts w:ascii="Arial" w:hAnsi="Arial" w:cs="Arial"/>
          <w:sz w:val="22"/>
          <w:szCs w:val="22"/>
        </w:rPr>
      </w:pPr>
    </w:p>
    <w:p w14:paraId="3ED8D442" w14:textId="77777777" w:rsidR="00A879F3" w:rsidRPr="009F5AF4" w:rsidRDefault="00CA3D22" w:rsidP="00264C26">
      <w:pPr>
        <w:widowControl/>
        <w:ind w:left="-450" w:right="-450"/>
        <w:rPr>
          <w:rFonts w:ascii="Arial" w:hAnsi="Arial" w:cs="Arial"/>
          <w:sz w:val="22"/>
          <w:szCs w:val="22"/>
        </w:rPr>
      </w:pPr>
      <w:r w:rsidRPr="009F5AF4">
        <w:rPr>
          <w:rFonts w:ascii="Arial" w:hAnsi="Arial" w:cs="Arial"/>
          <w:sz w:val="22"/>
          <w:szCs w:val="22"/>
        </w:rPr>
        <w:t xml:space="preserve">* </w:t>
      </w:r>
      <w:r w:rsidRPr="009F5AF4">
        <w:rPr>
          <w:rFonts w:ascii="Arial" w:hAnsi="Arial" w:cs="Arial"/>
          <w:sz w:val="18"/>
          <w:szCs w:val="18"/>
        </w:rPr>
        <w:t>= Requirement to submit initial notification under</w:t>
      </w:r>
      <w:r w:rsidRPr="009F5AF4">
        <w:rPr>
          <w:rFonts w:ascii="Arial" w:hAnsi="Arial" w:cs="Arial"/>
          <w:sz w:val="22"/>
          <w:szCs w:val="22"/>
        </w:rPr>
        <w:t xml:space="preserve"> </w:t>
      </w:r>
      <w:r w:rsidRPr="009F5AF4">
        <w:rPr>
          <w:rFonts w:ascii="Arial" w:hAnsi="Arial" w:cs="Arial"/>
          <w:sz w:val="18"/>
          <w:szCs w:val="18"/>
        </w:rPr>
        <w:t>10 CFR 21.21(d)(3)(i) does not apply to interim reports</w:t>
      </w:r>
      <w:r w:rsidR="00264C26" w:rsidRPr="009F5AF4">
        <w:rPr>
          <w:rFonts w:ascii="Arial" w:hAnsi="Arial" w:cs="Arial"/>
          <w:sz w:val="18"/>
          <w:szCs w:val="18"/>
        </w:rPr>
        <w:t>.</w:t>
      </w:r>
    </w:p>
    <w:p w14:paraId="1F53C1E5" w14:textId="77777777" w:rsidR="007A668D" w:rsidRPr="009F5AF4" w:rsidRDefault="007A668D">
      <w:pPr>
        <w:widowControl/>
        <w:autoSpaceDE/>
        <w:autoSpaceDN/>
        <w:adjustRightInd/>
        <w:rPr>
          <w:rFonts w:ascii="Arial" w:hAnsi="Arial" w:cs="Arial"/>
          <w:sz w:val="22"/>
          <w:szCs w:val="22"/>
        </w:rPr>
      </w:pPr>
    </w:p>
    <w:p w14:paraId="6B422077" w14:textId="77777777" w:rsidR="007A668D" w:rsidRPr="009F5AF4" w:rsidRDefault="007A668D">
      <w:pPr>
        <w:widowControl/>
        <w:autoSpaceDE/>
        <w:autoSpaceDN/>
        <w:adjustRightInd/>
        <w:rPr>
          <w:rFonts w:ascii="Arial" w:hAnsi="Arial" w:cs="Arial"/>
          <w:sz w:val="22"/>
          <w:szCs w:val="22"/>
        </w:rPr>
      </w:pPr>
    </w:p>
    <w:p w14:paraId="62E470DC" w14:textId="77777777" w:rsidR="007A668D" w:rsidRPr="009F5AF4" w:rsidRDefault="007A668D">
      <w:pPr>
        <w:widowControl/>
        <w:autoSpaceDE/>
        <w:autoSpaceDN/>
        <w:adjustRightInd/>
        <w:rPr>
          <w:rFonts w:ascii="Arial" w:hAnsi="Arial" w:cs="Arial"/>
          <w:sz w:val="22"/>
          <w:szCs w:val="22"/>
        </w:rPr>
      </w:pPr>
    </w:p>
    <w:p w14:paraId="70CA9D08" w14:textId="77777777" w:rsidR="007A668D" w:rsidRPr="009F5AF4" w:rsidRDefault="007A668D">
      <w:pPr>
        <w:widowControl/>
        <w:autoSpaceDE/>
        <w:autoSpaceDN/>
        <w:adjustRightInd/>
        <w:rPr>
          <w:rFonts w:ascii="Arial" w:hAnsi="Arial" w:cs="Arial"/>
          <w:sz w:val="22"/>
          <w:szCs w:val="22"/>
        </w:rPr>
      </w:pPr>
    </w:p>
    <w:p w14:paraId="27F73870" w14:textId="77777777" w:rsidR="007A668D" w:rsidRPr="009F5AF4" w:rsidRDefault="007A668D">
      <w:pPr>
        <w:widowControl/>
        <w:autoSpaceDE/>
        <w:autoSpaceDN/>
        <w:adjustRightInd/>
        <w:rPr>
          <w:rFonts w:ascii="Arial" w:hAnsi="Arial" w:cs="Arial"/>
          <w:sz w:val="22"/>
          <w:szCs w:val="22"/>
        </w:rPr>
      </w:pPr>
      <w:r w:rsidRPr="009F5AF4">
        <w:rPr>
          <w:rFonts w:ascii="Arial" w:hAnsi="Arial" w:cs="Arial"/>
          <w:sz w:val="22"/>
          <w:szCs w:val="22"/>
        </w:rPr>
        <w:br w:type="page"/>
      </w:r>
    </w:p>
    <w:p w14:paraId="523CF654" w14:textId="77777777" w:rsidR="008F04F8" w:rsidRPr="009F5AF4" w:rsidRDefault="008F04F8" w:rsidP="008F04F8">
      <w:pPr>
        <w:widowControl/>
        <w:tabs>
          <w:tab w:val="center" w:pos="4680"/>
        </w:tabs>
        <w:rPr>
          <w:rFonts w:ascii="Arial" w:hAnsi="Arial" w:cs="Arial"/>
          <w:sz w:val="22"/>
          <w:szCs w:val="22"/>
        </w:rPr>
      </w:pPr>
    </w:p>
    <w:p w14:paraId="07C2E5F6" w14:textId="77777777" w:rsidR="008F04F8" w:rsidRPr="009F5AF4" w:rsidRDefault="008F04F8" w:rsidP="008F04F8">
      <w:pPr>
        <w:widowControl/>
        <w:jc w:val="center"/>
        <w:rPr>
          <w:rFonts w:ascii="Arial" w:hAnsi="Arial" w:cs="Arial"/>
          <w:sz w:val="22"/>
          <w:szCs w:val="22"/>
          <w:u w:val="single"/>
        </w:rPr>
      </w:pPr>
      <w:r w:rsidRPr="009F5AF4">
        <w:rPr>
          <w:rFonts w:ascii="Arial" w:hAnsi="Arial" w:cs="Arial"/>
          <w:sz w:val="22"/>
          <w:szCs w:val="22"/>
          <w:u w:val="single"/>
        </w:rPr>
        <w:t>Table 2</w:t>
      </w:r>
    </w:p>
    <w:p w14:paraId="5AFCC1FE" w14:textId="77777777" w:rsidR="008F04F8" w:rsidRPr="009F5AF4" w:rsidRDefault="008F04F8" w:rsidP="008F04F8">
      <w:pPr>
        <w:widowControl/>
        <w:tabs>
          <w:tab w:val="center" w:pos="4680"/>
        </w:tabs>
        <w:jc w:val="center"/>
        <w:rPr>
          <w:rFonts w:ascii="Arial" w:hAnsi="Arial" w:cs="Arial"/>
          <w:sz w:val="22"/>
          <w:szCs w:val="22"/>
        </w:rPr>
      </w:pPr>
      <w:r w:rsidRPr="009F5AF4">
        <w:rPr>
          <w:rFonts w:ascii="Arial" w:hAnsi="Arial" w:cs="Arial"/>
          <w:sz w:val="22"/>
          <w:szCs w:val="22"/>
          <w:u w:val="single"/>
        </w:rPr>
        <w:t>Industry Recordkeeping Requirements</w:t>
      </w:r>
      <w:r w:rsidR="00436E5F" w:rsidRPr="009F5AF4">
        <w:rPr>
          <w:rFonts w:ascii="Arial" w:hAnsi="Arial" w:cs="Arial"/>
          <w:sz w:val="22"/>
          <w:szCs w:val="22"/>
          <w:u w:val="single"/>
        </w:rPr>
        <w:t xml:space="preserve"> for </w:t>
      </w:r>
      <w:r w:rsidRPr="009F5AF4">
        <w:rPr>
          <w:rFonts w:ascii="Arial" w:hAnsi="Arial" w:cs="Arial"/>
          <w:sz w:val="22"/>
          <w:szCs w:val="22"/>
          <w:u w:val="single"/>
        </w:rPr>
        <w:t>10 CFR 21</w:t>
      </w:r>
    </w:p>
    <w:p w14:paraId="2DAB0CE2" w14:textId="77777777" w:rsidR="00A41416" w:rsidRDefault="00A41416">
      <w:pPr>
        <w:widowControl/>
        <w:autoSpaceDE/>
        <w:autoSpaceDN/>
        <w:adjustRightInd/>
        <w:rPr>
          <w:rFonts w:ascii="Arial" w:hAnsi="Arial" w:cs="Arial"/>
          <w:sz w:val="18"/>
          <w:szCs w:val="18"/>
        </w:rPr>
      </w:pPr>
    </w:p>
    <w:tbl>
      <w:tblPr>
        <w:tblW w:w="9195" w:type="dxa"/>
        <w:tblInd w:w="93" w:type="dxa"/>
        <w:tblLook w:val="04A0" w:firstRow="1" w:lastRow="0" w:firstColumn="1" w:lastColumn="0" w:noHBand="0" w:noVBand="1"/>
      </w:tblPr>
      <w:tblGrid>
        <w:gridCol w:w="2805"/>
        <w:gridCol w:w="1597"/>
        <w:gridCol w:w="1598"/>
        <w:gridCol w:w="1597"/>
        <w:gridCol w:w="1598"/>
      </w:tblGrid>
      <w:tr w:rsidR="00A41416" w:rsidRPr="00A41416" w14:paraId="6CC44530" w14:textId="77777777" w:rsidTr="00A41416">
        <w:trPr>
          <w:trHeight w:val="510"/>
        </w:trPr>
        <w:tc>
          <w:tcPr>
            <w:tcW w:w="2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1A0B40" w14:textId="77777777" w:rsidR="00A41416" w:rsidRPr="00A41416" w:rsidRDefault="00A41416" w:rsidP="00A41416">
            <w:pPr>
              <w:widowControl/>
              <w:autoSpaceDE/>
              <w:autoSpaceDN/>
              <w:adjustRightInd/>
              <w:rPr>
                <w:rFonts w:ascii="Arial" w:hAnsi="Arial" w:cs="Arial"/>
                <w:color w:val="000000"/>
                <w:sz w:val="20"/>
                <w:szCs w:val="20"/>
              </w:rPr>
            </w:pPr>
            <w:r w:rsidRPr="00A41416">
              <w:rPr>
                <w:rFonts w:ascii="Arial" w:hAnsi="Arial" w:cs="Arial"/>
                <w:color w:val="000000"/>
                <w:sz w:val="20"/>
                <w:szCs w:val="20"/>
              </w:rPr>
              <w:t>Section</w:t>
            </w:r>
          </w:p>
        </w:tc>
        <w:tc>
          <w:tcPr>
            <w:tcW w:w="1597" w:type="dxa"/>
            <w:tcBorders>
              <w:top w:val="single" w:sz="4" w:space="0" w:color="auto"/>
              <w:left w:val="nil"/>
              <w:bottom w:val="single" w:sz="4" w:space="0" w:color="auto"/>
              <w:right w:val="single" w:sz="4" w:space="0" w:color="auto"/>
            </w:tcBorders>
            <w:shd w:val="clear" w:color="auto" w:fill="auto"/>
            <w:vAlign w:val="bottom"/>
            <w:hideMark/>
          </w:tcPr>
          <w:p w14:paraId="002E653B" w14:textId="77777777" w:rsidR="00A41416" w:rsidRPr="00A41416" w:rsidRDefault="00A41416" w:rsidP="00A41416">
            <w:pPr>
              <w:widowControl/>
              <w:autoSpaceDE/>
              <w:autoSpaceDN/>
              <w:adjustRightInd/>
              <w:jc w:val="center"/>
              <w:rPr>
                <w:rFonts w:ascii="Arial" w:hAnsi="Arial" w:cs="Arial"/>
                <w:color w:val="000000"/>
                <w:sz w:val="20"/>
                <w:szCs w:val="20"/>
              </w:rPr>
            </w:pPr>
            <w:r w:rsidRPr="00A41416">
              <w:rPr>
                <w:rFonts w:ascii="Arial" w:hAnsi="Arial" w:cs="Arial"/>
                <w:color w:val="000000"/>
                <w:sz w:val="20"/>
                <w:szCs w:val="20"/>
              </w:rPr>
              <w:t>Number of Recordkeepers</w:t>
            </w:r>
          </w:p>
        </w:tc>
        <w:tc>
          <w:tcPr>
            <w:tcW w:w="1598" w:type="dxa"/>
            <w:tcBorders>
              <w:top w:val="single" w:sz="4" w:space="0" w:color="auto"/>
              <w:left w:val="nil"/>
              <w:bottom w:val="single" w:sz="4" w:space="0" w:color="auto"/>
              <w:right w:val="single" w:sz="4" w:space="0" w:color="auto"/>
            </w:tcBorders>
            <w:shd w:val="clear" w:color="auto" w:fill="auto"/>
            <w:vAlign w:val="bottom"/>
            <w:hideMark/>
          </w:tcPr>
          <w:p w14:paraId="0EEE26C8" w14:textId="77777777" w:rsidR="00A41416" w:rsidRPr="00A41416" w:rsidRDefault="00A41416" w:rsidP="00A41416">
            <w:pPr>
              <w:widowControl/>
              <w:autoSpaceDE/>
              <w:autoSpaceDN/>
              <w:adjustRightInd/>
              <w:jc w:val="center"/>
              <w:rPr>
                <w:rFonts w:ascii="Arial" w:hAnsi="Arial" w:cs="Arial"/>
                <w:color w:val="000000"/>
                <w:sz w:val="20"/>
                <w:szCs w:val="20"/>
              </w:rPr>
            </w:pPr>
            <w:r w:rsidRPr="00A41416">
              <w:rPr>
                <w:rFonts w:ascii="Arial" w:hAnsi="Arial" w:cs="Arial"/>
                <w:color w:val="000000"/>
                <w:sz w:val="20"/>
                <w:szCs w:val="20"/>
              </w:rPr>
              <w:t>Hours Per Recordkeeper</w:t>
            </w:r>
          </w:p>
        </w:tc>
        <w:tc>
          <w:tcPr>
            <w:tcW w:w="1597" w:type="dxa"/>
            <w:tcBorders>
              <w:top w:val="single" w:sz="4" w:space="0" w:color="auto"/>
              <w:left w:val="nil"/>
              <w:bottom w:val="single" w:sz="4" w:space="0" w:color="auto"/>
              <w:right w:val="single" w:sz="4" w:space="0" w:color="auto"/>
            </w:tcBorders>
            <w:shd w:val="clear" w:color="auto" w:fill="auto"/>
            <w:vAlign w:val="bottom"/>
            <w:hideMark/>
          </w:tcPr>
          <w:p w14:paraId="61528FC9" w14:textId="77777777" w:rsidR="00A41416" w:rsidRPr="00A41416" w:rsidRDefault="00A41416" w:rsidP="00A41416">
            <w:pPr>
              <w:widowControl/>
              <w:autoSpaceDE/>
              <w:autoSpaceDN/>
              <w:adjustRightInd/>
              <w:jc w:val="center"/>
              <w:rPr>
                <w:rFonts w:ascii="Arial" w:hAnsi="Arial" w:cs="Arial"/>
                <w:color w:val="000000"/>
                <w:sz w:val="20"/>
                <w:szCs w:val="20"/>
              </w:rPr>
            </w:pPr>
            <w:r w:rsidRPr="00A41416">
              <w:rPr>
                <w:rFonts w:ascii="Arial" w:hAnsi="Arial" w:cs="Arial"/>
                <w:color w:val="000000"/>
                <w:sz w:val="20"/>
                <w:szCs w:val="20"/>
              </w:rPr>
              <w:t xml:space="preserve"> Total Annual Burden Hours </w:t>
            </w:r>
          </w:p>
        </w:tc>
        <w:tc>
          <w:tcPr>
            <w:tcW w:w="1598" w:type="dxa"/>
            <w:tcBorders>
              <w:top w:val="single" w:sz="4" w:space="0" w:color="auto"/>
              <w:left w:val="nil"/>
              <w:bottom w:val="single" w:sz="4" w:space="0" w:color="auto"/>
              <w:right w:val="single" w:sz="4" w:space="0" w:color="auto"/>
            </w:tcBorders>
            <w:shd w:val="clear" w:color="auto" w:fill="auto"/>
            <w:vAlign w:val="bottom"/>
            <w:hideMark/>
          </w:tcPr>
          <w:p w14:paraId="37630504" w14:textId="2374380E" w:rsidR="00A41416" w:rsidRPr="00A41416" w:rsidRDefault="00A41416" w:rsidP="003E7CD5">
            <w:pPr>
              <w:widowControl/>
              <w:autoSpaceDE/>
              <w:autoSpaceDN/>
              <w:adjustRightInd/>
              <w:jc w:val="center"/>
              <w:rPr>
                <w:rFonts w:ascii="Arial" w:hAnsi="Arial" w:cs="Arial"/>
                <w:color w:val="000000"/>
                <w:sz w:val="20"/>
                <w:szCs w:val="20"/>
              </w:rPr>
            </w:pPr>
            <w:r w:rsidRPr="00A41416">
              <w:rPr>
                <w:rFonts w:ascii="Arial" w:hAnsi="Arial" w:cs="Arial"/>
                <w:color w:val="000000"/>
                <w:sz w:val="20"/>
                <w:szCs w:val="20"/>
              </w:rPr>
              <w:t>Cost  @ $</w:t>
            </w:r>
            <w:r w:rsidR="006F6F40">
              <w:rPr>
                <w:rFonts w:ascii="Arial" w:hAnsi="Arial" w:cs="Arial"/>
                <w:color w:val="000000"/>
                <w:sz w:val="20"/>
                <w:szCs w:val="20"/>
              </w:rPr>
              <w:t>26</w:t>
            </w:r>
            <w:r w:rsidR="003E7CD5">
              <w:rPr>
                <w:rFonts w:ascii="Arial" w:hAnsi="Arial" w:cs="Arial"/>
                <w:color w:val="000000"/>
                <w:sz w:val="20"/>
                <w:szCs w:val="20"/>
              </w:rPr>
              <w:t>5</w:t>
            </w:r>
            <w:r w:rsidRPr="00A41416">
              <w:rPr>
                <w:rFonts w:ascii="Arial" w:hAnsi="Arial" w:cs="Arial"/>
                <w:color w:val="000000"/>
                <w:sz w:val="20"/>
                <w:szCs w:val="20"/>
              </w:rPr>
              <w:t>/hr)</w:t>
            </w:r>
          </w:p>
        </w:tc>
      </w:tr>
      <w:tr w:rsidR="00F673D4" w:rsidRPr="00A41416" w14:paraId="53AC5429" w14:textId="77777777" w:rsidTr="00A41416">
        <w:trPr>
          <w:trHeight w:val="1530"/>
        </w:trPr>
        <w:tc>
          <w:tcPr>
            <w:tcW w:w="2805" w:type="dxa"/>
            <w:tcBorders>
              <w:top w:val="nil"/>
              <w:left w:val="single" w:sz="4" w:space="0" w:color="auto"/>
              <w:bottom w:val="single" w:sz="4" w:space="0" w:color="auto"/>
              <w:right w:val="single" w:sz="4" w:space="0" w:color="auto"/>
            </w:tcBorders>
            <w:shd w:val="clear" w:color="auto" w:fill="auto"/>
            <w:vAlign w:val="bottom"/>
            <w:hideMark/>
          </w:tcPr>
          <w:p w14:paraId="409F415E" w14:textId="77777777" w:rsidR="00F673D4" w:rsidRPr="00A41416" w:rsidRDefault="00F673D4" w:rsidP="00A41416">
            <w:pPr>
              <w:widowControl/>
              <w:autoSpaceDE/>
              <w:autoSpaceDN/>
              <w:adjustRightInd/>
              <w:rPr>
                <w:rFonts w:ascii="Arial" w:hAnsi="Arial" w:cs="Arial"/>
                <w:color w:val="000000"/>
                <w:sz w:val="20"/>
                <w:szCs w:val="20"/>
              </w:rPr>
            </w:pPr>
            <w:r w:rsidRPr="00A41416">
              <w:rPr>
                <w:rFonts w:ascii="Arial" w:hAnsi="Arial" w:cs="Arial"/>
                <w:color w:val="000000"/>
                <w:sz w:val="20"/>
                <w:szCs w:val="20"/>
              </w:rPr>
              <w:t xml:space="preserve">10 CFR 21.51(a)(1) (retain evaluations for 5 years) and  10 CFR 21.51(a)(2) (retain notifications for 5 years) </w:t>
            </w:r>
          </w:p>
        </w:tc>
        <w:tc>
          <w:tcPr>
            <w:tcW w:w="1597" w:type="dxa"/>
            <w:tcBorders>
              <w:top w:val="nil"/>
              <w:left w:val="nil"/>
              <w:bottom w:val="single" w:sz="4" w:space="0" w:color="auto"/>
              <w:right w:val="single" w:sz="4" w:space="0" w:color="auto"/>
            </w:tcBorders>
            <w:shd w:val="clear" w:color="auto" w:fill="auto"/>
            <w:vAlign w:val="bottom"/>
            <w:hideMark/>
          </w:tcPr>
          <w:p w14:paraId="389B8199" w14:textId="77777777" w:rsidR="00F673D4" w:rsidRDefault="000118DE" w:rsidP="004A3E48">
            <w:pPr>
              <w:jc w:val="right"/>
              <w:rPr>
                <w:rFonts w:ascii="Arial" w:hAnsi="Arial" w:cs="Arial"/>
                <w:color w:val="000000"/>
                <w:sz w:val="20"/>
                <w:szCs w:val="20"/>
              </w:rPr>
            </w:pPr>
            <w:r>
              <w:rPr>
                <w:rFonts w:ascii="Arial" w:hAnsi="Arial" w:cs="Arial"/>
                <w:color w:val="000000"/>
                <w:sz w:val="20"/>
                <w:szCs w:val="20"/>
              </w:rPr>
              <w:t>75</w:t>
            </w:r>
          </w:p>
        </w:tc>
        <w:tc>
          <w:tcPr>
            <w:tcW w:w="1598" w:type="dxa"/>
            <w:tcBorders>
              <w:top w:val="nil"/>
              <w:left w:val="nil"/>
              <w:bottom w:val="single" w:sz="4" w:space="0" w:color="auto"/>
              <w:right w:val="single" w:sz="4" w:space="0" w:color="auto"/>
            </w:tcBorders>
            <w:shd w:val="clear" w:color="auto" w:fill="auto"/>
            <w:vAlign w:val="bottom"/>
            <w:hideMark/>
          </w:tcPr>
          <w:p w14:paraId="40C7AB3D" w14:textId="77777777" w:rsidR="00F673D4" w:rsidRDefault="00F673D4">
            <w:pPr>
              <w:jc w:val="right"/>
              <w:rPr>
                <w:rFonts w:ascii="Arial" w:hAnsi="Arial" w:cs="Arial"/>
                <w:color w:val="000000"/>
                <w:sz w:val="20"/>
                <w:szCs w:val="20"/>
              </w:rPr>
            </w:pPr>
            <w:r>
              <w:rPr>
                <w:rFonts w:ascii="Arial" w:hAnsi="Arial" w:cs="Arial"/>
                <w:color w:val="000000"/>
                <w:sz w:val="20"/>
                <w:szCs w:val="20"/>
              </w:rPr>
              <w:t>2.5</w:t>
            </w:r>
          </w:p>
        </w:tc>
        <w:tc>
          <w:tcPr>
            <w:tcW w:w="1597" w:type="dxa"/>
            <w:tcBorders>
              <w:top w:val="nil"/>
              <w:left w:val="nil"/>
              <w:bottom w:val="single" w:sz="4" w:space="0" w:color="auto"/>
              <w:right w:val="single" w:sz="4" w:space="0" w:color="auto"/>
            </w:tcBorders>
            <w:shd w:val="clear" w:color="auto" w:fill="auto"/>
            <w:vAlign w:val="bottom"/>
            <w:hideMark/>
          </w:tcPr>
          <w:p w14:paraId="47012923" w14:textId="77777777" w:rsidR="00F673D4" w:rsidRDefault="00F673D4" w:rsidP="004A3E48">
            <w:pPr>
              <w:rPr>
                <w:rFonts w:ascii="Arial" w:hAnsi="Arial" w:cs="Arial"/>
                <w:color w:val="000000"/>
                <w:sz w:val="20"/>
                <w:szCs w:val="20"/>
              </w:rPr>
            </w:pPr>
            <w:r>
              <w:rPr>
                <w:rFonts w:ascii="Arial" w:hAnsi="Arial" w:cs="Arial"/>
                <w:color w:val="000000"/>
                <w:sz w:val="20"/>
                <w:szCs w:val="20"/>
              </w:rPr>
              <w:t xml:space="preserve">                  </w:t>
            </w:r>
            <w:r w:rsidR="000118DE">
              <w:rPr>
                <w:rFonts w:ascii="Arial" w:hAnsi="Arial" w:cs="Arial"/>
                <w:color w:val="000000"/>
                <w:sz w:val="20"/>
                <w:szCs w:val="20"/>
              </w:rPr>
              <w:t>187</w:t>
            </w:r>
          </w:p>
        </w:tc>
        <w:tc>
          <w:tcPr>
            <w:tcW w:w="1598" w:type="dxa"/>
            <w:tcBorders>
              <w:top w:val="nil"/>
              <w:left w:val="nil"/>
              <w:bottom w:val="nil"/>
              <w:right w:val="single" w:sz="4" w:space="0" w:color="auto"/>
            </w:tcBorders>
            <w:shd w:val="clear" w:color="auto" w:fill="auto"/>
            <w:vAlign w:val="bottom"/>
            <w:hideMark/>
          </w:tcPr>
          <w:p w14:paraId="129405B9" w14:textId="3C974023" w:rsidR="00F673D4" w:rsidRDefault="00F673D4" w:rsidP="003E7CD5">
            <w:pPr>
              <w:jc w:val="right"/>
              <w:rPr>
                <w:rFonts w:ascii="Arial" w:hAnsi="Arial" w:cs="Arial"/>
                <w:color w:val="000000"/>
                <w:sz w:val="20"/>
                <w:szCs w:val="20"/>
              </w:rPr>
            </w:pPr>
            <w:r>
              <w:rPr>
                <w:rFonts w:ascii="Arial" w:hAnsi="Arial" w:cs="Arial"/>
                <w:color w:val="000000"/>
                <w:sz w:val="20"/>
                <w:szCs w:val="20"/>
              </w:rPr>
              <w:t>$</w:t>
            </w:r>
            <w:r w:rsidR="003E7CD5">
              <w:rPr>
                <w:rFonts w:ascii="Arial" w:hAnsi="Arial" w:cs="Arial"/>
                <w:color w:val="000000"/>
                <w:sz w:val="20"/>
                <w:szCs w:val="20"/>
              </w:rPr>
              <w:t>49,555</w:t>
            </w:r>
            <w:r>
              <w:rPr>
                <w:rFonts w:ascii="Arial" w:hAnsi="Arial" w:cs="Arial"/>
                <w:color w:val="000000"/>
                <w:sz w:val="20"/>
                <w:szCs w:val="20"/>
              </w:rPr>
              <w:t xml:space="preserve"> </w:t>
            </w:r>
          </w:p>
        </w:tc>
      </w:tr>
      <w:tr w:rsidR="00F673D4" w:rsidRPr="00A41416" w14:paraId="06024C9F" w14:textId="77777777" w:rsidTr="00A41416">
        <w:trPr>
          <w:trHeight w:val="1020"/>
        </w:trPr>
        <w:tc>
          <w:tcPr>
            <w:tcW w:w="2805" w:type="dxa"/>
            <w:tcBorders>
              <w:top w:val="nil"/>
              <w:left w:val="single" w:sz="4" w:space="0" w:color="auto"/>
              <w:bottom w:val="single" w:sz="4" w:space="0" w:color="auto"/>
              <w:right w:val="single" w:sz="4" w:space="0" w:color="auto"/>
            </w:tcBorders>
            <w:shd w:val="clear" w:color="auto" w:fill="auto"/>
            <w:vAlign w:val="bottom"/>
            <w:hideMark/>
          </w:tcPr>
          <w:p w14:paraId="15258D74" w14:textId="77777777" w:rsidR="00F673D4" w:rsidRPr="00A41416" w:rsidRDefault="00F673D4" w:rsidP="00A41416">
            <w:pPr>
              <w:widowControl/>
              <w:autoSpaceDE/>
              <w:autoSpaceDN/>
              <w:adjustRightInd/>
              <w:rPr>
                <w:rFonts w:ascii="Arial" w:hAnsi="Arial" w:cs="Arial"/>
                <w:color w:val="000000"/>
                <w:sz w:val="20"/>
                <w:szCs w:val="20"/>
              </w:rPr>
            </w:pPr>
            <w:r w:rsidRPr="00A41416">
              <w:rPr>
                <w:rFonts w:ascii="Arial" w:hAnsi="Arial" w:cs="Arial"/>
                <w:color w:val="000000"/>
                <w:sz w:val="20"/>
                <w:szCs w:val="20"/>
              </w:rPr>
              <w:t>10 CFR 21.51(a)(3) - retain purchase records for 10 years</w:t>
            </w:r>
          </w:p>
        </w:tc>
        <w:tc>
          <w:tcPr>
            <w:tcW w:w="1597" w:type="dxa"/>
            <w:tcBorders>
              <w:top w:val="nil"/>
              <w:left w:val="nil"/>
              <w:bottom w:val="single" w:sz="4" w:space="0" w:color="auto"/>
              <w:right w:val="single" w:sz="4" w:space="0" w:color="auto"/>
            </w:tcBorders>
            <w:shd w:val="clear" w:color="auto" w:fill="auto"/>
            <w:noWrap/>
            <w:vAlign w:val="bottom"/>
            <w:hideMark/>
          </w:tcPr>
          <w:p w14:paraId="5CB04579" w14:textId="77777777" w:rsidR="00F673D4" w:rsidRDefault="00F673D4">
            <w:pPr>
              <w:jc w:val="right"/>
              <w:rPr>
                <w:rFonts w:ascii="Arial" w:hAnsi="Arial" w:cs="Arial"/>
                <w:color w:val="000000"/>
                <w:sz w:val="20"/>
                <w:szCs w:val="20"/>
              </w:rPr>
            </w:pPr>
            <w:r>
              <w:rPr>
                <w:rFonts w:ascii="Arial" w:hAnsi="Arial" w:cs="Arial"/>
                <w:color w:val="000000"/>
                <w:sz w:val="20"/>
                <w:szCs w:val="20"/>
              </w:rPr>
              <w:t>350</w:t>
            </w:r>
          </w:p>
        </w:tc>
        <w:tc>
          <w:tcPr>
            <w:tcW w:w="1598" w:type="dxa"/>
            <w:tcBorders>
              <w:top w:val="nil"/>
              <w:left w:val="nil"/>
              <w:bottom w:val="single" w:sz="4" w:space="0" w:color="auto"/>
              <w:right w:val="single" w:sz="4" w:space="0" w:color="auto"/>
            </w:tcBorders>
            <w:shd w:val="clear" w:color="auto" w:fill="auto"/>
            <w:noWrap/>
            <w:vAlign w:val="bottom"/>
            <w:hideMark/>
          </w:tcPr>
          <w:p w14:paraId="716624D8" w14:textId="77777777" w:rsidR="00F673D4" w:rsidRDefault="00F673D4">
            <w:pPr>
              <w:jc w:val="right"/>
              <w:rPr>
                <w:rFonts w:ascii="Arial" w:hAnsi="Arial" w:cs="Arial"/>
                <w:color w:val="000000"/>
                <w:sz w:val="20"/>
                <w:szCs w:val="20"/>
              </w:rPr>
            </w:pPr>
            <w:r>
              <w:rPr>
                <w:rFonts w:ascii="Arial" w:hAnsi="Arial" w:cs="Arial"/>
                <w:color w:val="000000"/>
                <w:sz w:val="20"/>
                <w:szCs w:val="20"/>
              </w:rPr>
              <w:t>69.5</w:t>
            </w:r>
          </w:p>
        </w:tc>
        <w:tc>
          <w:tcPr>
            <w:tcW w:w="1597" w:type="dxa"/>
            <w:tcBorders>
              <w:top w:val="nil"/>
              <w:left w:val="nil"/>
              <w:bottom w:val="single" w:sz="4" w:space="0" w:color="auto"/>
              <w:right w:val="single" w:sz="4" w:space="0" w:color="auto"/>
            </w:tcBorders>
            <w:shd w:val="clear" w:color="auto" w:fill="auto"/>
            <w:vAlign w:val="bottom"/>
            <w:hideMark/>
          </w:tcPr>
          <w:p w14:paraId="76A07644" w14:textId="77777777" w:rsidR="00F673D4" w:rsidRDefault="00F673D4">
            <w:pPr>
              <w:rPr>
                <w:rFonts w:ascii="Arial" w:hAnsi="Arial" w:cs="Arial"/>
                <w:color w:val="000000"/>
                <w:sz w:val="20"/>
                <w:szCs w:val="20"/>
              </w:rPr>
            </w:pPr>
            <w:r>
              <w:rPr>
                <w:rFonts w:ascii="Arial" w:hAnsi="Arial" w:cs="Arial"/>
                <w:color w:val="000000"/>
                <w:sz w:val="20"/>
                <w:szCs w:val="20"/>
              </w:rPr>
              <w:t xml:space="preserve">             24,325 </w:t>
            </w:r>
          </w:p>
        </w:tc>
        <w:tc>
          <w:tcPr>
            <w:tcW w:w="1598" w:type="dxa"/>
            <w:tcBorders>
              <w:top w:val="single" w:sz="4" w:space="0" w:color="auto"/>
              <w:left w:val="nil"/>
              <w:bottom w:val="nil"/>
              <w:right w:val="single" w:sz="4" w:space="0" w:color="auto"/>
            </w:tcBorders>
            <w:shd w:val="clear" w:color="auto" w:fill="auto"/>
            <w:vAlign w:val="bottom"/>
            <w:hideMark/>
          </w:tcPr>
          <w:p w14:paraId="04E5FC07" w14:textId="3A14BD08" w:rsidR="00F673D4" w:rsidRDefault="00F673D4" w:rsidP="003E7CD5">
            <w:pPr>
              <w:jc w:val="right"/>
              <w:rPr>
                <w:rFonts w:ascii="Arial" w:hAnsi="Arial" w:cs="Arial"/>
                <w:color w:val="000000"/>
                <w:sz w:val="20"/>
                <w:szCs w:val="20"/>
              </w:rPr>
            </w:pPr>
            <w:r>
              <w:rPr>
                <w:rFonts w:ascii="Arial" w:hAnsi="Arial" w:cs="Arial"/>
                <w:color w:val="000000"/>
                <w:sz w:val="20"/>
                <w:szCs w:val="20"/>
              </w:rPr>
              <w:t>$</w:t>
            </w:r>
            <w:r w:rsidR="00E24781">
              <w:rPr>
                <w:rFonts w:ascii="Arial" w:hAnsi="Arial" w:cs="Arial"/>
                <w:color w:val="000000"/>
                <w:sz w:val="20"/>
                <w:szCs w:val="20"/>
              </w:rPr>
              <w:t>6,</w:t>
            </w:r>
            <w:r w:rsidR="003E7CD5">
              <w:rPr>
                <w:rFonts w:ascii="Arial" w:hAnsi="Arial" w:cs="Arial"/>
                <w:color w:val="000000"/>
                <w:sz w:val="20"/>
                <w:szCs w:val="20"/>
              </w:rPr>
              <w:t>446</w:t>
            </w:r>
            <w:r w:rsidR="00E24781">
              <w:rPr>
                <w:rFonts w:ascii="Arial" w:hAnsi="Arial" w:cs="Arial"/>
                <w:color w:val="000000"/>
                <w:sz w:val="20"/>
                <w:szCs w:val="20"/>
              </w:rPr>
              <w:t>,</w:t>
            </w:r>
            <w:r w:rsidR="003E7CD5">
              <w:rPr>
                <w:rFonts w:ascii="Arial" w:hAnsi="Arial" w:cs="Arial"/>
                <w:color w:val="000000"/>
                <w:sz w:val="20"/>
                <w:szCs w:val="20"/>
              </w:rPr>
              <w:t xml:space="preserve">125 </w:t>
            </w:r>
          </w:p>
        </w:tc>
      </w:tr>
      <w:tr w:rsidR="00F673D4" w:rsidRPr="00A41416" w14:paraId="7681FE43" w14:textId="77777777" w:rsidTr="00A41416">
        <w:trPr>
          <w:trHeight w:val="2295"/>
        </w:trPr>
        <w:tc>
          <w:tcPr>
            <w:tcW w:w="2805" w:type="dxa"/>
            <w:tcBorders>
              <w:top w:val="nil"/>
              <w:left w:val="single" w:sz="4" w:space="0" w:color="auto"/>
              <w:bottom w:val="single" w:sz="4" w:space="0" w:color="auto"/>
              <w:right w:val="single" w:sz="4" w:space="0" w:color="auto"/>
            </w:tcBorders>
            <w:shd w:val="clear" w:color="auto" w:fill="auto"/>
            <w:vAlign w:val="bottom"/>
            <w:hideMark/>
          </w:tcPr>
          <w:p w14:paraId="21422C75" w14:textId="77777777" w:rsidR="00F673D4" w:rsidRPr="00A41416" w:rsidRDefault="00F673D4" w:rsidP="00A41416">
            <w:pPr>
              <w:widowControl/>
              <w:autoSpaceDE/>
              <w:autoSpaceDN/>
              <w:adjustRightInd/>
              <w:rPr>
                <w:rFonts w:ascii="Arial" w:hAnsi="Arial" w:cs="Arial"/>
                <w:color w:val="000000"/>
                <w:sz w:val="20"/>
                <w:szCs w:val="20"/>
              </w:rPr>
            </w:pPr>
            <w:r w:rsidRPr="00A41416">
              <w:rPr>
                <w:rFonts w:ascii="Arial" w:hAnsi="Arial" w:cs="Arial"/>
                <w:color w:val="000000"/>
                <w:sz w:val="20"/>
                <w:szCs w:val="20"/>
              </w:rPr>
              <w:t>10 CFR 21.51(a)(4) (notifications  5 years /  purchase records 15 years) and 10 CFR 21.51(a)(5) (notifications  5 years /  purchase records 15 years)</w:t>
            </w:r>
          </w:p>
        </w:tc>
        <w:tc>
          <w:tcPr>
            <w:tcW w:w="1597" w:type="dxa"/>
            <w:tcBorders>
              <w:top w:val="nil"/>
              <w:left w:val="nil"/>
              <w:bottom w:val="single" w:sz="4" w:space="0" w:color="auto"/>
              <w:right w:val="single" w:sz="4" w:space="0" w:color="auto"/>
            </w:tcBorders>
            <w:shd w:val="clear" w:color="auto" w:fill="auto"/>
            <w:vAlign w:val="bottom"/>
            <w:hideMark/>
          </w:tcPr>
          <w:p w14:paraId="02B03CEE" w14:textId="77777777" w:rsidR="00F673D4" w:rsidRDefault="00F673D4">
            <w:pPr>
              <w:jc w:val="right"/>
              <w:rPr>
                <w:rFonts w:ascii="Arial" w:hAnsi="Arial" w:cs="Arial"/>
                <w:color w:val="000000"/>
                <w:sz w:val="20"/>
                <w:szCs w:val="20"/>
              </w:rPr>
            </w:pPr>
            <w:r>
              <w:rPr>
                <w:rFonts w:ascii="Arial" w:hAnsi="Arial" w:cs="Arial"/>
                <w:color w:val="000000"/>
                <w:sz w:val="20"/>
                <w:szCs w:val="20"/>
              </w:rPr>
              <w:t>10</w:t>
            </w:r>
          </w:p>
        </w:tc>
        <w:tc>
          <w:tcPr>
            <w:tcW w:w="1598" w:type="dxa"/>
            <w:tcBorders>
              <w:top w:val="nil"/>
              <w:left w:val="nil"/>
              <w:bottom w:val="single" w:sz="4" w:space="0" w:color="auto"/>
              <w:right w:val="single" w:sz="4" w:space="0" w:color="auto"/>
            </w:tcBorders>
            <w:shd w:val="clear" w:color="auto" w:fill="auto"/>
            <w:vAlign w:val="bottom"/>
            <w:hideMark/>
          </w:tcPr>
          <w:p w14:paraId="3E1E2152" w14:textId="77777777" w:rsidR="00F673D4" w:rsidRDefault="00F673D4">
            <w:pPr>
              <w:jc w:val="right"/>
              <w:rPr>
                <w:rFonts w:ascii="Arial" w:hAnsi="Arial" w:cs="Arial"/>
                <w:color w:val="000000"/>
                <w:sz w:val="20"/>
                <w:szCs w:val="20"/>
              </w:rPr>
            </w:pPr>
            <w:r>
              <w:rPr>
                <w:rFonts w:ascii="Arial" w:hAnsi="Arial" w:cs="Arial"/>
                <w:color w:val="000000"/>
                <w:sz w:val="20"/>
                <w:szCs w:val="20"/>
              </w:rPr>
              <w:t>74.5</w:t>
            </w:r>
          </w:p>
        </w:tc>
        <w:tc>
          <w:tcPr>
            <w:tcW w:w="1597" w:type="dxa"/>
            <w:tcBorders>
              <w:top w:val="nil"/>
              <w:left w:val="nil"/>
              <w:bottom w:val="single" w:sz="4" w:space="0" w:color="auto"/>
              <w:right w:val="single" w:sz="4" w:space="0" w:color="auto"/>
            </w:tcBorders>
            <w:shd w:val="clear" w:color="auto" w:fill="auto"/>
            <w:vAlign w:val="bottom"/>
            <w:hideMark/>
          </w:tcPr>
          <w:p w14:paraId="24F11CBC" w14:textId="77777777" w:rsidR="00F673D4" w:rsidRDefault="00F673D4">
            <w:pPr>
              <w:rPr>
                <w:rFonts w:ascii="Arial" w:hAnsi="Arial" w:cs="Arial"/>
                <w:color w:val="000000"/>
                <w:sz w:val="20"/>
                <w:szCs w:val="20"/>
              </w:rPr>
            </w:pPr>
            <w:r>
              <w:rPr>
                <w:rFonts w:ascii="Arial" w:hAnsi="Arial" w:cs="Arial"/>
                <w:color w:val="000000"/>
                <w:sz w:val="20"/>
                <w:szCs w:val="20"/>
              </w:rPr>
              <w:t xml:space="preserve">                  745 </w:t>
            </w:r>
          </w:p>
        </w:tc>
        <w:tc>
          <w:tcPr>
            <w:tcW w:w="1598" w:type="dxa"/>
            <w:tcBorders>
              <w:top w:val="single" w:sz="4" w:space="0" w:color="auto"/>
              <w:left w:val="nil"/>
              <w:bottom w:val="nil"/>
              <w:right w:val="single" w:sz="4" w:space="0" w:color="auto"/>
            </w:tcBorders>
            <w:shd w:val="clear" w:color="auto" w:fill="auto"/>
            <w:vAlign w:val="bottom"/>
            <w:hideMark/>
          </w:tcPr>
          <w:p w14:paraId="50E82FE3" w14:textId="7102BBE2" w:rsidR="00F673D4" w:rsidRDefault="00F673D4" w:rsidP="003E7CD5">
            <w:pPr>
              <w:jc w:val="right"/>
              <w:rPr>
                <w:rFonts w:ascii="Arial" w:hAnsi="Arial" w:cs="Arial"/>
                <w:color w:val="000000"/>
                <w:sz w:val="20"/>
                <w:szCs w:val="20"/>
              </w:rPr>
            </w:pPr>
            <w:r>
              <w:rPr>
                <w:rFonts w:ascii="Arial" w:hAnsi="Arial" w:cs="Arial"/>
                <w:color w:val="000000"/>
                <w:sz w:val="20"/>
                <w:szCs w:val="20"/>
              </w:rPr>
              <w:t>$</w:t>
            </w:r>
            <w:r w:rsidR="00E24781">
              <w:rPr>
                <w:rFonts w:ascii="Arial" w:hAnsi="Arial" w:cs="Arial"/>
                <w:color w:val="000000"/>
                <w:sz w:val="20"/>
                <w:szCs w:val="20"/>
              </w:rPr>
              <w:t>19</w:t>
            </w:r>
            <w:r w:rsidR="003E7CD5">
              <w:rPr>
                <w:rFonts w:ascii="Arial" w:hAnsi="Arial" w:cs="Arial"/>
                <w:color w:val="000000"/>
                <w:sz w:val="20"/>
                <w:szCs w:val="20"/>
              </w:rPr>
              <w:t>7</w:t>
            </w:r>
            <w:r w:rsidR="00E24781">
              <w:rPr>
                <w:rFonts w:ascii="Arial" w:hAnsi="Arial" w:cs="Arial"/>
                <w:color w:val="000000"/>
                <w:sz w:val="20"/>
                <w:szCs w:val="20"/>
              </w:rPr>
              <w:t>,</w:t>
            </w:r>
            <w:r w:rsidR="003E7CD5">
              <w:rPr>
                <w:rFonts w:ascii="Arial" w:hAnsi="Arial" w:cs="Arial"/>
                <w:color w:val="000000"/>
                <w:sz w:val="20"/>
                <w:szCs w:val="20"/>
              </w:rPr>
              <w:t>425</w:t>
            </w:r>
          </w:p>
        </w:tc>
      </w:tr>
      <w:tr w:rsidR="00F673D4" w:rsidRPr="00A41416" w14:paraId="0F11BAE6" w14:textId="77777777" w:rsidTr="00A41416">
        <w:trPr>
          <w:trHeight w:val="255"/>
        </w:trPr>
        <w:tc>
          <w:tcPr>
            <w:tcW w:w="2805" w:type="dxa"/>
            <w:tcBorders>
              <w:top w:val="nil"/>
              <w:left w:val="single" w:sz="4" w:space="0" w:color="auto"/>
              <w:bottom w:val="single" w:sz="4" w:space="0" w:color="auto"/>
              <w:right w:val="single" w:sz="4" w:space="0" w:color="auto"/>
            </w:tcBorders>
            <w:shd w:val="clear" w:color="auto" w:fill="auto"/>
            <w:vAlign w:val="bottom"/>
            <w:hideMark/>
          </w:tcPr>
          <w:p w14:paraId="740458A2" w14:textId="77777777" w:rsidR="00F673D4" w:rsidRPr="00A41416" w:rsidRDefault="00F673D4" w:rsidP="00A41416">
            <w:pPr>
              <w:widowControl/>
              <w:autoSpaceDE/>
              <w:autoSpaceDN/>
              <w:adjustRightInd/>
              <w:rPr>
                <w:rFonts w:ascii="Arial" w:hAnsi="Arial" w:cs="Arial"/>
                <w:color w:val="000000"/>
                <w:sz w:val="20"/>
                <w:szCs w:val="20"/>
              </w:rPr>
            </w:pPr>
            <w:r w:rsidRPr="00A41416">
              <w:rPr>
                <w:rFonts w:ascii="Arial" w:hAnsi="Arial" w:cs="Arial"/>
                <w:color w:val="000000"/>
                <w:sz w:val="20"/>
                <w:szCs w:val="20"/>
              </w:rPr>
              <w:t>TOTAL</w:t>
            </w:r>
          </w:p>
        </w:tc>
        <w:tc>
          <w:tcPr>
            <w:tcW w:w="1597" w:type="dxa"/>
            <w:tcBorders>
              <w:top w:val="nil"/>
              <w:left w:val="nil"/>
              <w:bottom w:val="single" w:sz="4" w:space="0" w:color="auto"/>
              <w:right w:val="single" w:sz="4" w:space="0" w:color="auto"/>
            </w:tcBorders>
            <w:shd w:val="clear" w:color="auto" w:fill="auto"/>
            <w:vAlign w:val="bottom"/>
            <w:hideMark/>
          </w:tcPr>
          <w:p w14:paraId="65C92846" w14:textId="77777777" w:rsidR="00F673D4" w:rsidRDefault="00F673D4">
            <w:pPr>
              <w:jc w:val="right"/>
              <w:rPr>
                <w:rFonts w:ascii="Arial" w:hAnsi="Arial" w:cs="Arial"/>
                <w:color w:val="000000"/>
                <w:sz w:val="20"/>
                <w:szCs w:val="20"/>
              </w:rPr>
            </w:pPr>
            <w:r>
              <w:rPr>
                <w:rFonts w:ascii="Arial" w:hAnsi="Arial" w:cs="Arial"/>
                <w:color w:val="000000"/>
                <w:sz w:val="20"/>
                <w:szCs w:val="20"/>
              </w:rPr>
              <w:t>350</w:t>
            </w:r>
          </w:p>
        </w:tc>
        <w:tc>
          <w:tcPr>
            <w:tcW w:w="1598" w:type="dxa"/>
            <w:tcBorders>
              <w:top w:val="nil"/>
              <w:left w:val="nil"/>
              <w:bottom w:val="single" w:sz="4" w:space="0" w:color="auto"/>
              <w:right w:val="single" w:sz="4" w:space="0" w:color="auto"/>
            </w:tcBorders>
            <w:shd w:val="clear" w:color="auto" w:fill="auto"/>
            <w:vAlign w:val="bottom"/>
            <w:hideMark/>
          </w:tcPr>
          <w:p w14:paraId="711AF525" w14:textId="77777777" w:rsidR="00F673D4" w:rsidRDefault="00F673D4">
            <w:pPr>
              <w:rPr>
                <w:rFonts w:ascii="Arial" w:hAnsi="Arial" w:cs="Arial"/>
                <w:color w:val="000000"/>
                <w:sz w:val="20"/>
                <w:szCs w:val="20"/>
              </w:rPr>
            </w:pPr>
            <w:r>
              <w:rPr>
                <w:rFonts w:ascii="Arial" w:hAnsi="Arial" w:cs="Arial"/>
                <w:color w:val="000000"/>
                <w:sz w:val="20"/>
                <w:szCs w:val="20"/>
              </w:rPr>
              <w:t> </w:t>
            </w:r>
          </w:p>
        </w:tc>
        <w:tc>
          <w:tcPr>
            <w:tcW w:w="1597" w:type="dxa"/>
            <w:tcBorders>
              <w:top w:val="nil"/>
              <w:left w:val="nil"/>
              <w:bottom w:val="single" w:sz="4" w:space="0" w:color="auto"/>
              <w:right w:val="single" w:sz="4" w:space="0" w:color="auto"/>
            </w:tcBorders>
            <w:shd w:val="clear" w:color="auto" w:fill="auto"/>
            <w:vAlign w:val="bottom"/>
            <w:hideMark/>
          </w:tcPr>
          <w:p w14:paraId="323B85FA" w14:textId="77777777" w:rsidR="00F673D4" w:rsidRDefault="00F673D4" w:rsidP="004A3E48">
            <w:pPr>
              <w:jc w:val="right"/>
              <w:rPr>
                <w:rFonts w:ascii="Arial" w:hAnsi="Arial" w:cs="Arial"/>
                <w:color w:val="000000"/>
                <w:sz w:val="20"/>
                <w:szCs w:val="20"/>
              </w:rPr>
            </w:pPr>
            <w:r>
              <w:rPr>
                <w:rFonts w:ascii="Arial" w:hAnsi="Arial" w:cs="Arial"/>
                <w:color w:val="000000"/>
                <w:sz w:val="20"/>
                <w:szCs w:val="20"/>
              </w:rPr>
              <w:t xml:space="preserve">            </w:t>
            </w:r>
            <w:r w:rsidR="00E24781">
              <w:rPr>
                <w:rFonts w:ascii="Arial" w:hAnsi="Arial" w:cs="Arial"/>
                <w:color w:val="000000"/>
                <w:sz w:val="20"/>
                <w:szCs w:val="20"/>
              </w:rPr>
              <w:t>25,257</w:t>
            </w:r>
          </w:p>
        </w:tc>
        <w:tc>
          <w:tcPr>
            <w:tcW w:w="1598" w:type="dxa"/>
            <w:tcBorders>
              <w:top w:val="single" w:sz="4" w:space="0" w:color="auto"/>
              <w:left w:val="nil"/>
              <w:bottom w:val="single" w:sz="4" w:space="0" w:color="auto"/>
              <w:right w:val="single" w:sz="4" w:space="0" w:color="auto"/>
            </w:tcBorders>
            <w:shd w:val="clear" w:color="auto" w:fill="auto"/>
            <w:vAlign w:val="bottom"/>
            <w:hideMark/>
          </w:tcPr>
          <w:p w14:paraId="308F9346" w14:textId="352730FF" w:rsidR="00F673D4" w:rsidRDefault="00F673D4" w:rsidP="003E7CD5">
            <w:pPr>
              <w:jc w:val="right"/>
              <w:rPr>
                <w:rFonts w:ascii="Arial" w:hAnsi="Arial" w:cs="Arial"/>
                <w:color w:val="000000"/>
                <w:sz w:val="20"/>
                <w:szCs w:val="20"/>
              </w:rPr>
            </w:pPr>
            <w:r>
              <w:rPr>
                <w:rFonts w:ascii="Arial" w:hAnsi="Arial" w:cs="Arial"/>
                <w:color w:val="000000"/>
                <w:sz w:val="20"/>
                <w:szCs w:val="20"/>
              </w:rPr>
              <w:t>$</w:t>
            </w:r>
            <w:r w:rsidR="00E24781">
              <w:rPr>
                <w:rFonts w:ascii="Arial" w:hAnsi="Arial" w:cs="Arial"/>
                <w:color w:val="000000"/>
                <w:sz w:val="20"/>
                <w:szCs w:val="20"/>
              </w:rPr>
              <w:t>6,</w:t>
            </w:r>
            <w:r w:rsidR="003E7CD5">
              <w:rPr>
                <w:rFonts w:ascii="Arial" w:hAnsi="Arial" w:cs="Arial"/>
                <w:color w:val="000000"/>
                <w:sz w:val="20"/>
                <w:szCs w:val="20"/>
              </w:rPr>
              <w:t>693,105</w:t>
            </w:r>
          </w:p>
        </w:tc>
      </w:tr>
    </w:tbl>
    <w:p w14:paraId="363BD48F" w14:textId="77777777" w:rsidR="00A41416" w:rsidRDefault="00A41416">
      <w:pPr>
        <w:widowControl/>
        <w:autoSpaceDE/>
        <w:autoSpaceDN/>
        <w:adjustRightInd/>
        <w:rPr>
          <w:rFonts w:ascii="Arial" w:hAnsi="Arial" w:cs="Arial"/>
          <w:sz w:val="18"/>
          <w:szCs w:val="18"/>
        </w:rPr>
      </w:pPr>
    </w:p>
    <w:p w14:paraId="305644F9" w14:textId="77777777" w:rsidR="00A41416" w:rsidRDefault="00A41416">
      <w:pPr>
        <w:widowControl/>
        <w:autoSpaceDE/>
        <w:autoSpaceDN/>
        <w:adjustRightInd/>
        <w:rPr>
          <w:rFonts w:ascii="Arial" w:hAnsi="Arial" w:cs="Arial"/>
          <w:sz w:val="18"/>
          <w:szCs w:val="18"/>
        </w:rPr>
      </w:pPr>
    </w:p>
    <w:p w14:paraId="78A0C1D2" w14:textId="77777777" w:rsidR="00E32284" w:rsidRPr="009F5AF4" w:rsidRDefault="00E32284">
      <w:pPr>
        <w:widowControl/>
        <w:autoSpaceDE/>
        <w:autoSpaceDN/>
        <w:adjustRightInd/>
        <w:rPr>
          <w:rFonts w:ascii="Arial" w:hAnsi="Arial" w:cs="Arial"/>
          <w:sz w:val="22"/>
          <w:szCs w:val="22"/>
          <w:u w:val="single"/>
        </w:rPr>
      </w:pPr>
      <w:r w:rsidRPr="009F5AF4">
        <w:rPr>
          <w:rFonts w:ascii="Arial" w:hAnsi="Arial" w:cs="Arial"/>
          <w:sz w:val="22"/>
          <w:szCs w:val="22"/>
          <w:u w:val="single"/>
        </w:rPr>
        <w:br w:type="page"/>
      </w:r>
    </w:p>
    <w:p w14:paraId="4A388C6D" w14:textId="77777777" w:rsidR="00012F9A" w:rsidRPr="009F5AF4" w:rsidRDefault="00012F9A" w:rsidP="00012F9A">
      <w:pPr>
        <w:widowControl/>
        <w:jc w:val="center"/>
        <w:rPr>
          <w:rFonts w:ascii="Arial" w:hAnsi="Arial" w:cs="Arial"/>
          <w:sz w:val="22"/>
          <w:szCs w:val="22"/>
          <w:u w:val="single"/>
        </w:rPr>
      </w:pPr>
      <w:r w:rsidRPr="009F5AF4">
        <w:rPr>
          <w:rFonts w:ascii="Arial" w:hAnsi="Arial" w:cs="Arial"/>
          <w:sz w:val="22"/>
          <w:szCs w:val="22"/>
          <w:u w:val="single"/>
        </w:rPr>
        <w:t>Table 3</w:t>
      </w:r>
    </w:p>
    <w:p w14:paraId="7670043E" w14:textId="77777777" w:rsidR="00012F9A" w:rsidRPr="009F5AF4" w:rsidRDefault="00012F9A" w:rsidP="00012F9A">
      <w:pPr>
        <w:widowControl/>
        <w:tabs>
          <w:tab w:val="center" w:pos="4680"/>
        </w:tabs>
        <w:jc w:val="center"/>
        <w:rPr>
          <w:rFonts w:ascii="Arial" w:hAnsi="Arial" w:cs="Arial"/>
          <w:sz w:val="22"/>
          <w:szCs w:val="22"/>
        </w:rPr>
      </w:pPr>
      <w:r w:rsidRPr="009F5AF4">
        <w:rPr>
          <w:rFonts w:ascii="Arial" w:hAnsi="Arial" w:cs="Arial"/>
          <w:sz w:val="22"/>
          <w:szCs w:val="22"/>
          <w:u w:val="single"/>
        </w:rPr>
        <w:t>Industry Third Party Disclosure Requirements for 10 CFR 21</w:t>
      </w:r>
    </w:p>
    <w:p w14:paraId="425FA5C6" w14:textId="77777777" w:rsidR="00012F9A" w:rsidRPr="009F5AF4" w:rsidRDefault="00012F9A" w:rsidP="00012F9A">
      <w:pPr>
        <w:widowControl/>
        <w:ind w:left="-576" w:right="-576"/>
      </w:pPr>
    </w:p>
    <w:tbl>
      <w:tblPr>
        <w:tblW w:w="0" w:type="auto"/>
        <w:tblInd w:w="-420" w:type="dxa"/>
        <w:tblCellMar>
          <w:left w:w="120" w:type="dxa"/>
          <w:right w:w="120" w:type="dxa"/>
        </w:tblCellMar>
        <w:tblLook w:val="0000" w:firstRow="0" w:lastRow="0" w:firstColumn="0" w:lastColumn="0" w:noHBand="0" w:noVBand="0"/>
      </w:tblPr>
      <w:tblGrid>
        <w:gridCol w:w="3742"/>
        <w:gridCol w:w="1519"/>
        <w:gridCol w:w="1566"/>
        <w:gridCol w:w="1674"/>
        <w:gridCol w:w="1261"/>
      </w:tblGrid>
      <w:tr w:rsidR="00012F9A" w:rsidRPr="009F5AF4" w14:paraId="72123D98" w14:textId="77777777" w:rsidTr="00DB62B0">
        <w:trPr>
          <w:trHeight w:val="593"/>
        </w:trPr>
        <w:tc>
          <w:tcPr>
            <w:tcW w:w="0" w:type="auto"/>
            <w:tcBorders>
              <w:top w:val="single" w:sz="7" w:space="0" w:color="000000"/>
              <w:left w:val="single" w:sz="7" w:space="0" w:color="000000"/>
              <w:bottom w:val="single" w:sz="7" w:space="0" w:color="000000"/>
              <w:right w:val="single" w:sz="7" w:space="0" w:color="000000"/>
            </w:tcBorders>
          </w:tcPr>
          <w:p w14:paraId="6A678275" w14:textId="77777777" w:rsidR="00012F9A" w:rsidRPr="009F5AF4" w:rsidRDefault="00012F9A" w:rsidP="00DB62B0">
            <w:pPr>
              <w:spacing w:line="120" w:lineRule="exact"/>
              <w:jc w:val="center"/>
            </w:pPr>
          </w:p>
          <w:p w14:paraId="2004A111" w14:textId="77777777" w:rsidR="00012F9A" w:rsidRPr="009F5AF4" w:rsidRDefault="00012F9A" w:rsidP="00DB62B0">
            <w:pPr>
              <w:widowControl/>
              <w:spacing w:after="58"/>
              <w:jc w:val="center"/>
              <w:rPr>
                <w:rFonts w:ascii="Arial" w:hAnsi="Arial" w:cs="Arial"/>
                <w:sz w:val="18"/>
                <w:szCs w:val="18"/>
              </w:rPr>
            </w:pPr>
            <w:r w:rsidRPr="009F5AF4">
              <w:rPr>
                <w:rFonts w:ascii="Arial" w:hAnsi="Arial" w:cs="Arial"/>
                <w:sz w:val="18"/>
                <w:szCs w:val="18"/>
              </w:rPr>
              <w:t>Section</w:t>
            </w:r>
          </w:p>
        </w:tc>
        <w:tc>
          <w:tcPr>
            <w:tcW w:w="0" w:type="auto"/>
            <w:tcBorders>
              <w:top w:val="single" w:sz="7" w:space="0" w:color="000000"/>
              <w:left w:val="single" w:sz="7" w:space="0" w:color="000000"/>
              <w:bottom w:val="single" w:sz="7" w:space="0" w:color="000000"/>
              <w:right w:val="single" w:sz="7" w:space="0" w:color="000000"/>
            </w:tcBorders>
          </w:tcPr>
          <w:p w14:paraId="6CA3C57E" w14:textId="77777777" w:rsidR="00012F9A" w:rsidRPr="009F5AF4" w:rsidRDefault="00012F9A" w:rsidP="00DB62B0">
            <w:pPr>
              <w:spacing w:line="120" w:lineRule="exact"/>
              <w:rPr>
                <w:rFonts w:ascii="Arial" w:hAnsi="Arial" w:cs="Arial"/>
                <w:sz w:val="18"/>
                <w:szCs w:val="18"/>
              </w:rPr>
            </w:pPr>
          </w:p>
          <w:p w14:paraId="61DC5514" w14:textId="77777777" w:rsidR="00012F9A" w:rsidRPr="009F5AF4" w:rsidRDefault="00012F9A" w:rsidP="00DB62B0">
            <w:pPr>
              <w:widowControl/>
              <w:spacing w:after="58"/>
              <w:jc w:val="center"/>
              <w:rPr>
                <w:rFonts w:ascii="Arial" w:hAnsi="Arial" w:cs="Arial"/>
                <w:sz w:val="18"/>
                <w:szCs w:val="18"/>
              </w:rPr>
            </w:pPr>
            <w:r w:rsidRPr="009F5AF4">
              <w:rPr>
                <w:rFonts w:ascii="Arial" w:hAnsi="Arial" w:cs="Arial"/>
                <w:sz w:val="18"/>
                <w:szCs w:val="18"/>
              </w:rPr>
              <w:t>No. of  Responses</w:t>
            </w:r>
            <w:r w:rsidRPr="009F5AF4">
              <w:rPr>
                <w:rStyle w:val="FootnoteReference"/>
                <w:rFonts w:ascii="Arial" w:hAnsi="Arial" w:cs="Arial"/>
                <w:sz w:val="18"/>
                <w:szCs w:val="18"/>
                <w:vertAlign w:val="superscript"/>
              </w:rPr>
              <w:footnoteReference w:id="2"/>
            </w:r>
          </w:p>
        </w:tc>
        <w:tc>
          <w:tcPr>
            <w:tcW w:w="0" w:type="auto"/>
            <w:tcBorders>
              <w:top w:val="single" w:sz="7" w:space="0" w:color="000000"/>
              <w:left w:val="single" w:sz="7" w:space="0" w:color="000000"/>
              <w:bottom w:val="single" w:sz="7" w:space="0" w:color="000000"/>
              <w:right w:val="single" w:sz="7" w:space="0" w:color="000000"/>
            </w:tcBorders>
          </w:tcPr>
          <w:p w14:paraId="5CB8C617" w14:textId="77777777" w:rsidR="00012F9A" w:rsidRPr="009F5AF4" w:rsidRDefault="00012F9A" w:rsidP="00DB62B0">
            <w:pPr>
              <w:spacing w:line="120" w:lineRule="exact"/>
              <w:rPr>
                <w:rFonts w:ascii="Arial" w:hAnsi="Arial" w:cs="Arial"/>
                <w:sz w:val="18"/>
                <w:szCs w:val="18"/>
              </w:rPr>
            </w:pPr>
          </w:p>
          <w:p w14:paraId="37945ACA" w14:textId="77777777" w:rsidR="00012F9A" w:rsidRPr="009F5AF4" w:rsidRDefault="00012F9A" w:rsidP="00DB62B0">
            <w:pPr>
              <w:widowControl/>
              <w:spacing w:after="58"/>
              <w:jc w:val="center"/>
              <w:rPr>
                <w:rFonts w:ascii="Arial" w:hAnsi="Arial" w:cs="Arial"/>
                <w:sz w:val="18"/>
                <w:szCs w:val="18"/>
              </w:rPr>
            </w:pPr>
            <w:r w:rsidRPr="009F5AF4">
              <w:rPr>
                <w:rFonts w:ascii="Arial" w:hAnsi="Arial" w:cs="Arial"/>
                <w:sz w:val="18"/>
                <w:szCs w:val="18"/>
              </w:rPr>
              <w:t>Burden Per Response</w:t>
            </w:r>
          </w:p>
        </w:tc>
        <w:tc>
          <w:tcPr>
            <w:tcW w:w="0" w:type="auto"/>
            <w:tcBorders>
              <w:top w:val="single" w:sz="7" w:space="0" w:color="000000"/>
              <w:left w:val="single" w:sz="7" w:space="0" w:color="000000"/>
              <w:bottom w:val="single" w:sz="7" w:space="0" w:color="000000"/>
              <w:right w:val="single" w:sz="7" w:space="0" w:color="000000"/>
            </w:tcBorders>
          </w:tcPr>
          <w:p w14:paraId="516BC994" w14:textId="77777777" w:rsidR="00012F9A" w:rsidRPr="009F5AF4" w:rsidRDefault="00012F9A" w:rsidP="00DB62B0">
            <w:pPr>
              <w:spacing w:line="120" w:lineRule="exact"/>
              <w:rPr>
                <w:rFonts w:ascii="Arial" w:hAnsi="Arial" w:cs="Arial"/>
                <w:sz w:val="18"/>
                <w:szCs w:val="18"/>
              </w:rPr>
            </w:pPr>
          </w:p>
          <w:p w14:paraId="2F211692" w14:textId="77777777" w:rsidR="00012F9A" w:rsidRPr="009F5AF4" w:rsidRDefault="00012F9A" w:rsidP="00DB62B0">
            <w:pPr>
              <w:widowControl/>
              <w:spacing w:after="58"/>
              <w:jc w:val="center"/>
              <w:rPr>
                <w:rFonts w:ascii="Arial" w:hAnsi="Arial" w:cs="Arial"/>
                <w:sz w:val="18"/>
                <w:szCs w:val="18"/>
              </w:rPr>
            </w:pPr>
            <w:r w:rsidRPr="009F5AF4">
              <w:rPr>
                <w:rFonts w:ascii="Arial" w:hAnsi="Arial" w:cs="Arial"/>
                <w:sz w:val="18"/>
                <w:szCs w:val="18"/>
              </w:rPr>
              <w:t xml:space="preserve">Total Annual Burden Hours </w:t>
            </w:r>
          </w:p>
        </w:tc>
        <w:tc>
          <w:tcPr>
            <w:tcW w:w="0" w:type="auto"/>
            <w:tcBorders>
              <w:top w:val="single" w:sz="7" w:space="0" w:color="000000"/>
              <w:left w:val="single" w:sz="7" w:space="0" w:color="000000"/>
              <w:bottom w:val="single" w:sz="7" w:space="0" w:color="000000"/>
              <w:right w:val="single" w:sz="7" w:space="0" w:color="000000"/>
            </w:tcBorders>
          </w:tcPr>
          <w:p w14:paraId="236BB6C8" w14:textId="77777777" w:rsidR="00012F9A" w:rsidRPr="009F5AF4" w:rsidRDefault="00012F9A" w:rsidP="00DB62B0">
            <w:pPr>
              <w:spacing w:line="120" w:lineRule="exact"/>
              <w:rPr>
                <w:rFonts w:ascii="Arial" w:hAnsi="Arial" w:cs="Arial"/>
                <w:sz w:val="18"/>
                <w:szCs w:val="18"/>
              </w:rPr>
            </w:pPr>
          </w:p>
          <w:p w14:paraId="764FE507" w14:textId="3B8F7876" w:rsidR="00012F9A" w:rsidRPr="009F5AF4" w:rsidRDefault="00012F9A" w:rsidP="00B14742">
            <w:pPr>
              <w:widowControl/>
              <w:spacing w:after="58"/>
              <w:jc w:val="center"/>
              <w:rPr>
                <w:rFonts w:ascii="Arial" w:hAnsi="Arial" w:cs="Arial"/>
                <w:sz w:val="18"/>
                <w:szCs w:val="18"/>
              </w:rPr>
            </w:pPr>
            <w:r w:rsidRPr="009F5AF4">
              <w:rPr>
                <w:rFonts w:ascii="Arial" w:hAnsi="Arial" w:cs="Arial"/>
                <w:sz w:val="18"/>
                <w:szCs w:val="18"/>
              </w:rPr>
              <w:t>Cost @ $</w:t>
            </w:r>
            <w:r w:rsidR="006F6F40">
              <w:rPr>
                <w:rFonts w:ascii="Arial" w:hAnsi="Arial" w:cs="Arial"/>
                <w:sz w:val="18"/>
                <w:szCs w:val="18"/>
              </w:rPr>
              <w:t>26</w:t>
            </w:r>
            <w:r w:rsidR="00B14742">
              <w:rPr>
                <w:rFonts w:ascii="Arial" w:hAnsi="Arial" w:cs="Arial"/>
                <w:sz w:val="18"/>
                <w:szCs w:val="18"/>
              </w:rPr>
              <w:t>5</w:t>
            </w:r>
            <w:r w:rsidRPr="009F5AF4">
              <w:rPr>
                <w:rFonts w:ascii="Arial" w:hAnsi="Arial" w:cs="Arial"/>
                <w:sz w:val="18"/>
                <w:szCs w:val="18"/>
              </w:rPr>
              <w:t>/hr)</w:t>
            </w:r>
          </w:p>
        </w:tc>
      </w:tr>
      <w:tr w:rsidR="00012F9A" w:rsidRPr="009F5AF4" w14:paraId="55727D30" w14:textId="77777777" w:rsidTr="00DB62B0">
        <w:trPr>
          <w:trHeight w:val="593"/>
        </w:trPr>
        <w:tc>
          <w:tcPr>
            <w:tcW w:w="0" w:type="auto"/>
            <w:tcBorders>
              <w:top w:val="single" w:sz="7" w:space="0" w:color="000000"/>
              <w:left w:val="single" w:sz="7" w:space="0" w:color="000000"/>
              <w:bottom w:val="single" w:sz="7" w:space="0" w:color="000000"/>
              <w:right w:val="single" w:sz="7" w:space="0" w:color="000000"/>
            </w:tcBorders>
          </w:tcPr>
          <w:p w14:paraId="40D1DA64" w14:textId="77777777" w:rsidR="00012F9A" w:rsidRPr="009F5AF4" w:rsidRDefault="00012F9A" w:rsidP="00DB62B0">
            <w:pPr>
              <w:spacing w:line="120" w:lineRule="exact"/>
              <w:rPr>
                <w:rFonts w:ascii="Arial" w:hAnsi="Arial" w:cs="Arial"/>
                <w:sz w:val="18"/>
                <w:szCs w:val="18"/>
              </w:rPr>
            </w:pPr>
          </w:p>
          <w:p w14:paraId="4DB41701" w14:textId="77777777" w:rsidR="00012F9A" w:rsidRPr="009F5AF4" w:rsidRDefault="00012F9A" w:rsidP="00DB62B0">
            <w:pPr>
              <w:widowControl/>
              <w:rPr>
                <w:rFonts w:ascii="Arial" w:hAnsi="Arial" w:cs="Arial"/>
                <w:sz w:val="18"/>
                <w:szCs w:val="18"/>
              </w:rPr>
            </w:pPr>
            <w:r w:rsidRPr="009F5AF4">
              <w:rPr>
                <w:rFonts w:ascii="Arial" w:hAnsi="Arial" w:cs="Arial"/>
                <w:sz w:val="18"/>
                <w:szCs w:val="18"/>
              </w:rPr>
              <w:t>10 CFR 21.21(b)  Supplier does not have capability to perform evaluation</w:t>
            </w:r>
          </w:p>
        </w:tc>
        <w:tc>
          <w:tcPr>
            <w:tcW w:w="0" w:type="auto"/>
            <w:tcBorders>
              <w:top w:val="single" w:sz="7" w:space="0" w:color="000000"/>
              <w:left w:val="single" w:sz="7" w:space="0" w:color="000000"/>
              <w:bottom w:val="single" w:sz="7" w:space="0" w:color="000000"/>
              <w:right w:val="single" w:sz="7" w:space="0" w:color="000000"/>
            </w:tcBorders>
          </w:tcPr>
          <w:p w14:paraId="10E351B1" w14:textId="77777777" w:rsidR="00012F9A" w:rsidRPr="009F5AF4" w:rsidRDefault="00012F9A" w:rsidP="00DB62B0">
            <w:pPr>
              <w:spacing w:line="120" w:lineRule="exact"/>
              <w:rPr>
                <w:rFonts w:ascii="Arial" w:hAnsi="Arial" w:cs="Arial"/>
                <w:sz w:val="18"/>
                <w:szCs w:val="18"/>
              </w:rPr>
            </w:pPr>
          </w:p>
          <w:p w14:paraId="7BC19BFC" w14:textId="77777777" w:rsidR="00012F9A" w:rsidRPr="009F5AF4" w:rsidRDefault="00E24781" w:rsidP="00DB62B0">
            <w:pPr>
              <w:widowControl/>
              <w:spacing w:after="58"/>
              <w:jc w:val="right"/>
              <w:rPr>
                <w:rFonts w:ascii="Arial" w:hAnsi="Arial" w:cs="Arial"/>
                <w:sz w:val="18"/>
                <w:szCs w:val="18"/>
              </w:rPr>
            </w:pPr>
            <w:r>
              <w:rPr>
                <w:rFonts w:ascii="Arial" w:hAnsi="Arial" w:cs="Arial"/>
                <w:sz w:val="18"/>
                <w:szCs w:val="18"/>
              </w:rPr>
              <w:t>3</w:t>
            </w:r>
          </w:p>
        </w:tc>
        <w:tc>
          <w:tcPr>
            <w:tcW w:w="0" w:type="auto"/>
            <w:tcBorders>
              <w:top w:val="single" w:sz="7" w:space="0" w:color="000000"/>
              <w:left w:val="single" w:sz="7" w:space="0" w:color="000000"/>
              <w:bottom w:val="single" w:sz="7" w:space="0" w:color="000000"/>
              <w:right w:val="single" w:sz="7" w:space="0" w:color="000000"/>
            </w:tcBorders>
          </w:tcPr>
          <w:p w14:paraId="4D8A0496" w14:textId="77777777" w:rsidR="00012F9A" w:rsidRPr="009F5AF4" w:rsidRDefault="00012F9A" w:rsidP="00DB62B0">
            <w:pPr>
              <w:spacing w:line="120" w:lineRule="exact"/>
              <w:rPr>
                <w:rFonts w:ascii="Arial" w:hAnsi="Arial" w:cs="Arial"/>
                <w:sz w:val="18"/>
                <w:szCs w:val="18"/>
              </w:rPr>
            </w:pPr>
          </w:p>
          <w:p w14:paraId="42DEDA04" w14:textId="77777777" w:rsidR="00012F9A" w:rsidRPr="009F5AF4" w:rsidRDefault="00012F9A" w:rsidP="00DB62B0">
            <w:pPr>
              <w:widowControl/>
              <w:spacing w:after="58"/>
              <w:jc w:val="right"/>
              <w:rPr>
                <w:rFonts w:ascii="Arial" w:hAnsi="Arial" w:cs="Arial"/>
                <w:sz w:val="18"/>
                <w:szCs w:val="18"/>
              </w:rPr>
            </w:pPr>
            <w:r w:rsidRPr="009F5AF4">
              <w:rPr>
                <w:rFonts w:ascii="Arial" w:hAnsi="Arial" w:cs="Arial"/>
                <w:sz w:val="18"/>
                <w:szCs w:val="18"/>
              </w:rPr>
              <w:t>95</w:t>
            </w:r>
          </w:p>
        </w:tc>
        <w:tc>
          <w:tcPr>
            <w:tcW w:w="0" w:type="auto"/>
            <w:tcBorders>
              <w:top w:val="single" w:sz="7" w:space="0" w:color="000000"/>
              <w:left w:val="single" w:sz="7" w:space="0" w:color="000000"/>
              <w:bottom w:val="single" w:sz="7" w:space="0" w:color="000000"/>
              <w:right w:val="single" w:sz="7" w:space="0" w:color="000000"/>
            </w:tcBorders>
            <w:vAlign w:val="center"/>
          </w:tcPr>
          <w:p w14:paraId="7A5E9807" w14:textId="77777777" w:rsidR="00012F9A" w:rsidRPr="009F5AF4" w:rsidRDefault="00012F9A" w:rsidP="00E24781">
            <w:pPr>
              <w:jc w:val="right"/>
              <w:rPr>
                <w:rFonts w:ascii="Arial" w:hAnsi="Arial" w:cs="Arial"/>
                <w:color w:val="000000"/>
                <w:sz w:val="18"/>
                <w:szCs w:val="18"/>
              </w:rPr>
            </w:pPr>
            <w:r w:rsidRPr="009F5AF4">
              <w:rPr>
                <w:rFonts w:ascii="Arial" w:hAnsi="Arial" w:cs="Arial"/>
                <w:color w:val="000000"/>
                <w:sz w:val="18"/>
                <w:szCs w:val="18"/>
              </w:rPr>
              <w:t xml:space="preserve">               </w:t>
            </w:r>
            <w:r w:rsidR="00E24781">
              <w:rPr>
                <w:rFonts w:ascii="Arial" w:hAnsi="Arial" w:cs="Arial"/>
                <w:color w:val="000000"/>
                <w:sz w:val="18"/>
                <w:szCs w:val="18"/>
              </w:rPr>
              <w:t>285</w:t>
            </w:r>
            <w:r w:rsidR="00E24781" w:rsidRPr="009F5AF4">
              <w:rPr>
                <w:rFonts w:ascii="Arial" w:hAnsi="Arial" w:cs="Arial"/>
                <w:color w:val="000000"/>
                <w:sz w:val="18"/>
                <w:szCs w:val="18"/>
              </w:rPr>
              <w:t xml:space="preserve"> </w:t>
            </w:r>
          </w:p>
        </w:tc>
        <w:tc>
          <w:tcPr>
            <w:tcW w:w="0" w:type="auto"/>
            <w:tcBorders>
              <w:top w:val="single" w:sz="7" w:space="0" w:color="000000"/>
              <w:left w:val="single" w:sz="7" w:space="0" w:color="000000"/>
              <w:bottom w:val="single" w:sz="7" w:space="0" w:color="000000"/>
              <w:right w:val="single" w:sz="7" w:space="0" w:color="000000"/>
            </w:tcBorders>
            <w:vAlign w:val="center"/>
          </w:tcPr>
          <w:p w14:paraId="19FB36D0" w14:textId="30F23C5D" w:rsidR="00012F9A" w:rsidRPr="009F5AF4" w:rsidRDefault="00012F9A" w:rsidP="00B14742">
            <w:pPr>
              <w:jc w:val="right"/>
              <w:rPr>
                <w:rFonts w:ascii="Arial" w:hAnsi="Arial" w:cs="Arial"/>
                <w:color w:val="000000"/>
                <w:sz w:val="18"/>
                <w:szCs w:val="18"/>
              </w:rPr>
            </w:pPr>
            <w:r w:rsidRPr="009F5AF4">
              <w:rPr>
                <w:rFonts w:ascii="Arial" w:hAnsi="Arial" w:cs="Arial"/>
                <w:color w:val="000000"/>
                <w:sz w:val="18"/>
                <w:szCs w:val="18"/>
              </w:rPr>
              <w:t xml:space="preserve"> $</w:t>
            </w:r>
            <w:r w:rsidR="00E24781">
              <w:rPr>
                <w:rFonts w:ascii="Arial" w:hAnsi="Arial" w:cs="Arial"/>
                <w:color w:val="000000"/>
                <w:sz w:val="18"/>
                <w:szCs w:val="18"/>
              </w:rPr>
              <w:t>7</w:t>
            </w:r>
            <w:r w:rsidR="00B14742">
              <w:rPr>
                <w:rFonts w:ascii="Arial" w:hAnsi="Arial" w:cs="Arial"/>
                <w:color w:val="000000"/>
                <w:sz w:val="18"/>
                <w:szCs w:val="18"/>
              </w:rPr>
              <w:t>5</w:t>
            </w:r>
            <w:r w:rsidR="00E24781">
              <w:rPr>
                <w:rFonts w:ascii="Arial" w:hAnsi="Arial" w:cs="Arial"/>
                <w:color w:val="000000"/>
                <w:sz w:val="18"/>
                <w:szCs w:val="18"/>
              </w:rPr>
              <w:t>,</w:t>
            </w:r>
            <w:r w:rsidR="00B14742">
              <w:rPr>
                <w:rFonts w:ascii="Arial" w:hAnsi="Arial" w:cs="Arial"/>
                <w:color w:val="000000"/>
                <w:sz w:val="18"/>
                <w:szCs w:val="18"/>
              </w:rPr>
              <w:t>525</w:t>
            </w:r>
          </w:p>
        </w:tc>
      </w:tr>
    </w:tbl>
    <w:p w14:paraId="24397A0C" w14:textId="77777777" w:rsidR="00012F9A" w:rsidRPr="009F5AF4" w:rsidRDefault="00012F9A" w:rsidP="00012F9A">
      <w:pPr>
        <w:widowControl/>
        <w:ind w:left="-576" w:right="-576"/>
        <w:rPr>
          <w:rFonts w:ascii="Arial" w:hAnsi="Arial" w:cs="Arial"/>
          <w:sz w:val="22"/>
          <w:szCs w:val="22"/>
        </w:rPr>
      </w:pPr>
    </w:p>
    <w:p w14:paraId="4C0BEF82" w14:textId="77777777" w:rsidR="00012F9A" w:rsidRPr="009F5AF4" w:rsidRDefault="00012F9A">
      <w:pPr>
        <w:widowControl/>
        <w:rPr>
          <w:rFonts w:ascii="Arial" w:hAnsi="Arial" w:cs="Arial"/>
          <w:sz w:val="22"/>
          <w:szCs w:val="22"/>
        </w:rPr>
      </w:pPr>
    </w:p>
    <w:p w14:paraId="00F01D35" w14:textId="77777777" w:rsidR="00012F9A" w:rsidRPr="009F5AF4" w:rsidRDefault="00012F9A">
      <w:pPr>
        <w:widowControl/>
        <w:rPr>
          <w:rFonts w:ascii="Arial" w:hAnsi="Arial" w:cs="Arial"/>
          <w:sz w:val="22"/>
          <w:szCs w:val="22"/>
        </w:rPr>
      </w:pPr>
    </w:p>
    <w:p w14:paraId="169D189A" w14:textId="3C042720" w:rsidR="00436E5F" w:rsidRPr="009F5AF4" w:rsidRDefault="00436E5F">
      <w:pPr>
        <w:widowControl/>
        <w:rPr>
          <w:rFonts w:ascii="Arial" w:hAnsi="Arial" w:cs="Arial"/>
          <w:sz w:val="22"/>
          <w:szCs w:val="22"/>
        </w:rPr>
      </w:pPr>
      <w:r w:rsidRPr="009F5AF4">
        <w:rPr>
          <w:rFonts w:ascii="Arial" w:hAnsi="Arial" w:cs="Arial"/>
          <w:sz w:val="22"/>
          <w:szCs w:val="22"/>
        </w:rPr>
        <w:t>Reporting:</w:t>
      </w:r>
      <w:r w:rsidRPr="009F5AF4">
        <w:rPr>
          <w:rFonts w:ascii="Arial" w:hAnsi="Arial" w:cs="Arial"/>
          <w:sz w:val="22"/>
          <w:szCs w:val="22"/>
        </w:rPr>
        <w:tab/>
      </w:r>
      <w:r w:rsidRPr="009F5AF4">
        <w:rPr>
          <w:rFonts w:ascii="Arial" w:hAnsi="Arial" w:cs="Arial"/>
          <w:sz w:val="22"/>
          <w:szCs w:val="22"/>
        </w:rPr>
        <w:tab/>
      </w:r>
      <w:r w:rsidR="00F673D4">
        <w:rPr>
          <w:rFonts w:ascii="Arial" w:hAnsi="Arial" w:cs="Arial"/>
          <w:sz w:val="22"/>
          <w:szCs w:val="22"/>
        </w:rPr>
        <w:tab/>
      </w:r>
      <w:r w:rsidR="00DE4B9E">
        <w:rPr>
          <w:rFonts w:ascii="Arial" w:hAnsi="Arial" w:cs="Arial"/>
          <w:sz w:val="22"/>
          <w:szCs w:val="22"/>
        </w:rPr>
        <w:t>18,023</w:t>
      </w:r>
      <w:r w:rsidR="00731A61">
        <w:rPr>
          <w:rFonts w:ascii="Arial" w:hAnsi="Arial" w:cs="Arial"/>
          <w:sz w:val="22"/>
          <w:szCs w:val="22"/>
        </w:rPr>
        <w:t xml:space="preserve"> </w:t>
      </w:r>
      <w:r w:rsidRPr="009F5AF4">
        <w:rPr>
          <w:rFonts w:ascii="Arial" w:hAnsi="Arial" w:cs="Arial"/>
          <w:sz w:val="22"/>
          <w:szCs w:val="22"/>
        </w:rPr>
        <w:t>hours</w:t>
      </w:r>
    </w:p>
    <w:p w14:paraId="23C59514" w14:textId="77777777" w:rsidR="00436E5F" w:rsidRDefault="00436E5F">
      <w:pPr>
        <w:widowControl/>
        <w:rPr>
          <w:rFonts w:ascii="Arial" w:hAnsi="Arial" w:cs="Arial"/>
          <w:sz w:val="22"/>
          <w:szCs w:val="22"/>
        </w:rPr>
      </w:pPr>
      <w:r w:rsidRPr="009F5AF4">
        <w:rPr>
          <w:rFonts w:ascii="Arial" w:hAnsi="Arial" w:cs="Arial"/>
          <w:sz w:val="22"/>
          <w:szCs w:val="22"/>
        </w:rPr>
        <w:t>Recordkeeping:</w:t>
      </w:r>
      <w:r w:rsidRPr="009F5AF4">
        <w:rPr>
          <w:rFonts w:ascii="Arial" w:hAnsi="Arial" w:cs="Arial"/>
          <w:sz w:val="22"/>
          <w:szCs w:val="22"/>
        </w:rPr>
        <w:tab/>
      </w:r>
      <w:r w:rsidR="00F673D4">
        <w:rPr>
          <w:rFonts w:ascii="Arial" w:hAnsi="Arial" w:cs="Arial"/>
          <w:sz w:val="22"/>
          <w:szCs w:val="22"/>
        </w:rPr>
        <w:tab/>
      </w:r>
      <w:r w:rsidR="00731A61">
        <w:rPr>
          <w:rFonts w:ascii="Arial" w:hAnsi="Arial" w:cs="Arial"/>
          <w:sz w:val="22"/>
          <w:szCs w:val="22"/>
        </w:rPr>
        <w:t xml:space="preserve">25,257 </w:t>
      </w:r>
      <w:r w:rsidRPr="009F5AF4">
        <w:rPr>
          <w:rFonts w:ascii="Arial" w:hAnsi="Arial" w:cs="Arial"/>
          <w:sz w:val="22"/>
          <w:szCs w:val="22"/>
        </w:rPr>
        <w:t>hours</w:t>
      </w:r>
    </w:p>
    <w:p w14:paraId="6DF4EA08" w14:textId="77777777" w:rsidR="00F673D4" w:rsidRPr="009F5AF4" w:rsidRDefault="00F673D4">
      <w:pPr>
        <w:widowControl/>
        <w:rPr>
          <w:rFonts w:ascii="Arial" w:hAnsi="Arial" w:cs="Arial"/>
          <w:sz w:val="22"/>
          <w:szCs w:val="22"/>
        </w:rPr>
      </w:pPr>
      <w:r>
        <w:rPr>
          <w:rFonts w:ascii="Arial" w:hAnsi="Arial" w:cs="Arial"/>
          <w:sz w:val="22"/>
          <w:szCs w:val="22"/>
        </w:rPr>
        <w:t>Third Party Disclosure:</w:t>
      </w:r>
      <w:r>
        <w:rPr>
          <w:rFonts w:ascii="Arial" w:hAnsi="Arial" w:cs="Arial"/>
          <w:sz w:val="22"/>
          <w:szCs w:val="22"/>
        </w:rPr>
        <w:tab/>
      </w:r>
      <w:r w:rsidR="00731A61">
        <w:rPr>
          <w:rFonts w:ascii="Arial" w:hAnsi="Arial" w:cs="Arial"/>
          <w:sz w:val="22"/>
          <w:szCs w:val="22"/>
        </w:rPr>
        <w:t xml:space="preserve">285 </w:t>
      </w:r>
      <w:r>
        <w:rPr>
          <w:rFonts w:ascii="Arial" w:hAnsi="Arial" w:cs="Arial"/>
          <w:sz w:val="22"/>
          <w:szCs w:val="22"/>
        </w:rPr>
        <w:t>hours</w:t>
      </w:r>
    </w:p>
    <w:p w14:paraId="67C31B38" w14:textId="0680D2A3" w:rsidR="00436E5F" w:rsidRPr="009F5AF4" w:rsidRDefault="00436E5F">
      <w:pPr>
        <w:widowControl/>
        <w:rPr>
          <w:rFonts w:ascii="Arial" w:hAnsi="Arial" w:cs="Arial"/>
          <w:sz w:val="22"/>
          <w:szCs w:val="22"/>
        </w:rPr>
      </w:pPr>
      <w:r w:rsidRPr="009F5AF4">
        <w:rPr>
          <w:rFonts w:ascii="Arial" w:hAnsi="Arial" w:cs="Arial"/>
          <w:sz w:val="22"/>
          <w:szCs w:val="22"/>
        </w:rPr>
        <w:t>Total:</w:t>
      </w:r>
      <w:r w:rsidRPr="009F5AF4">
        <w:rPr>
          <w:rFonts w:ascii="Arial" w:hAnsi="Arial" w:cs="Arial"/>
          <w:sz w:val="22"/>
          <w:szCs w:val="22"/>
        </w:rPr>
        <w:tab/>
      </w:r>
      <w:r w:rsidRPr="009F5AF4">
        <w:rPr>
          <w:rFonts w:ascii="Arial" w:hAnsi="Arial" w:cs="Arial"/>
          <w:sz w:val="22"/>
          <w:szCs w:val="22"/>
        </w:rPr>
        <w:tab/>
      </w:r>
      <w:r w:rsidRPr="009F5AF4">
        <w:rPr>
          <w:rFonts w:ascii="Arial" w:hAnsi="Arial" w:cs="Arial"/>
          <w:sz w:val="22"/>
          <w:szCs w:val="22"/>
        </w:rPr>
        <w:tab/>
      </w:r>
      <w:r w:rsidR="00F673D4">
        <w:rPr>
          <w:rFonts w:ascii="Arial" w:hAnsi="Arial" w:cs="Arial"/>
          <w:sz w:val="22"/>
          <w:szCs w:val="22"/>
        </w:rPr>
        <w:tab/>
      </w:r>
      <w:r w:rsidR="009048EF">
        <w:rPr>
          <w:rFonts w:ascii="Arial" w:hAnsi="Arial" w:cs="Arial"/>
          <w:sz w:val="22"/>
          <w:szCs w:val="22"/>
        </w:rPr>
        <w:t>43,56</w:t>
      </w:r>
      <w:r w:rsidR="00731A61">
        <w:rPr>
          <w:rFonts w:ascii="Arial" w:hAnsi="Arial" w:cs="Arial"/>
          <w:sz w:val="22"/>
          <w:szCs w:val="22"/>
        </w:rPr>
        <w:t xml:space="preserve">5 </w:t>
      </w:r>
      <w:r w:rsidR="00731A61" w:rsidRPr="009F5AF4">
        <w:rPr>
          <w:rFonts w:ascii="Arial" w:hAnsi="Arial" w:cs="Arial"/>
          <w:sz w:val="22"/>
          <w:szCs w:val="22"/>
        </w:rPr>
        <w:t xml:space="preserve">hours </w:t>
      </w:r>
      <w:r w:rsidRPr="009F5AF4">
        <w:rPr>
          <w:rFonts w:ascii="Arial" w:hAnsi="Arial" w:cs="Arial"/>
          <w:sz w:val="22"/>
          <w:szCs w:val="22"/>
        </w:rPr>
        <w:t>/ $</w:t>
      </w:r>
      <w:r w:rsidR="00731A61">
        <w:rPr>
          <w:rFonts w:ascii="Arial" w:hAnsi="Arial" w:cs="Arial"/>
          <w:sz w:val="22"/>
          <w:szCs w:val="22"/>
        </w:rPr>
        <w:t>11,</w:t>
      </w:r>
      <w:r w:rsidR="009048EF">
        <w:rPr>
          <w:rFonts w:ascii="Arial" w:hAnsi="Arial" w:cs="Arial"/>
          <w:sz w:val="22"/>
          <w:szCs w:val="22"/>
        </w:rPr>
        <w:t>544,725</w:t>
      </w:r>
      <w:r w:rsidR="00951EEF">
        <w:rPr>
          <w:rFonts w:ascii="Arial" w:hAnsi="Arial" w:cs="Arial"/>
          <w:sz w:val="22"/>
          <w:szCs w:val="22"/>
        </w:rPr>
        <w:t xml:space="preserve"> </w:t>
      </w:r>
      <w:r w:rsidRPr="009F5AF4">
        <w:rPr>
          <w:rFonts w:ascii="Arial" w:hAnsi="Arial" w:cs="Arial"/>
          <w:sz w:val="22"/>
          <w:szCs w:val="22"/>
        </w:rPr>
        <w:t>(</w:t>
      </w:r>
      <w:r w:rsidR="009048EF">
        <w:rPr>
          <w:rFonts w:ascii="Arial" w:hAnsi="Arial" w:cs="Arial"/>
          <w:sz w:val="22"/>
          <w:szCs w:val="22"/>
        </w:rPr>
        <w:t>43,565</w:t>
      </w:r>
      <w:r w:rsidR="00731A61">
        <w:rPr>
          <w:rFonts w:ascii="Arial" w:hAnsi="Arial" w:cs="Arial"/>
          <w:sz w:val="22"/>
          <w:szCs w:val="22"/>
        </w:rPr>
        <w:t xml:space="preserve"> </w:t>
      </w:r>
      <w:r w:rsidR="00F673D4">
        <w:rPr>
          <w:rFonts w:ascii="Arial" w:hAnsi="Arial" w:cs="Arial"/>
          <w:sz w:val="22"/>
          <w:szCs w:val="22"/>
        </w:rPr>
        <w:t>x $</w:t>
      </w:r>
      <w:r w:rsidR="006F6F40">
        <w:rPr>
          <w:rFonts w:ascii="Arial" w:hAnsi="Arial" w:cs="Arial"/>
          <w:sz w:val="22"/>
          <w:szCs w:val="22"/>
        </w:rPr>
        <w:t>26</w:t>
      </w:r>
      <w:r w:rsidR="00951EEF">
        <w:rPr>
          <w:rFonts w:ascii="Arial" w:hAnsi="Arial" w:cs="Arial"/>
          <w:sz w:val="22"/>
          <w:szCs w:val="22"/>
        </w:rPr>
        <w:t>5</w:t>
      </w:r>
      <w:r w:rsidRPr="009F5AF4">
        <w:rPr>
          <w:rFonts w:ascii="Arial" w:hAnsi="Arial" w:cs="Arial"/>
          <w:sz w:val="22"/>
          <w:szCs w:val="22"/>
        </w:rPr>
        <w:t>/hr)</w:t>
      </w:r>
    </w:p>
    <w:p w14:paraId="42F82190" w14:textId="61EF367B" w:rsidR="00F673D4" w:rsidRDefault="00436E5F">
      <w:pPr>
        <w:widowControl/>
        <w:rPr>
          <w:rFonts w:ascii="Arial" w:hAnsi="Arial" w:cs="Arial"/>
          <w:sz w:val="22"/>
          <w:szCs w:val="22"/>
        </w:rPr>
      </w:pPr>
      <w:r w:rsidRPr="009F5AF4">
        <w:rPr>
          <w:rFonts w:ascii="Arial" w:hAnsi="Arial" w:cs="Arial"/>
          <w:sz w:val="22"/>
          <w:szCs w:val="22"/>
        </w:rPr>
        <w:t>Responses:</w:t>
      </w:r>
      <w:r w:rsidRPr="009F5AF4">
        <w:rPr>
          <w:rFonts w:ascii="Arial" w:hAnsi="Arial" w:cs="Arial"/>
          <w:sz w:val="22"/>
          <w:szCs w:val="22"/>
        </w:rPr>
        <w:tab/>
      </w:r>
      <w:r w:rsidRPr="009F5AF4">
        <w:rPr>
          <w:rFonts w:ascii="Arial" w:hAnsi="Arial" w:cs="Arial"/>
          <w:sz w:val="22"/>
          <w:szCs w:val="22"/>
        </w:rPr>
        <w:tab/>
      </w:r>
      <w:r w:rsidR="00F673D4">
        <w:rPr>
          <w:rFonts w:ascii="Arial" w:hAnsi="Arial" w:cs="Arial"/>
          <w:sz w:val="22"/>
          <w:szCs w:val="22"/>
        </w:rPr>
        <w:tab/>
      </w:r>
      <w:r w:rsidR="00780941">
        <w:rPr>
          <w:rFonts w:ascii="Arial" w:hAnsi="Arial" w:cs="Arial"/>
          <w:sz w:val="22"/>
          <w:szCs w:val="22"/>
        </w:rPr>
        <w:t>531</w:t>
      </w:r>
      <w:r w:rsidR="00731A61" w:rsidRPr="009F5AF4">
        <w:rPr>
          <w:rFonts w:ascii="Arial" w:hAnsi="Arial" w:cs="Arial"/>
          <w:sz w:val="22"/>
          <w:szCs w:val="22"/>
        </w:rPr>
        <w:t xml:space="preserve"> </w:t>
      </w:r>
      <w:r w:rsidRPr="009F5AF4">
        <w:rPr>
          <w:rFonts w:ascii="Arial" w:hAnsi="Arial" w:cs="Arial"/>
          <w:sz w:val="22"/>
          <w:szCs w:val="22"/>
        </w:rPr>
        <w:t>(</w:t>
      </w:r>
      <w:r w:rsidR="00780941">
        <w:rPr>
          <w:rFonts w:ascii="Arial" w:hAnsi="Arial" w:cs="Arial"/>
          <w:sz w:val="22"/>
          <w:szCs w:val="22"/>
        </w:rPr>
        <w:t>178</w:t>
      </w:r>
      <w:r w:rsidR="00731A61">
        <w:rPr>
          <w:rFonts w:ascii="Arial" w:hAnsi="Arial" w:cs="Arial"/>
          <w:sz w:val="22"/>
          <w:szCs w:val="22"/>
        </w:rPr>
        <w:t xml:space="preserve"> </w:t>
      </w:r>
      <w:r w:rsidR="00731A61" w:rsidRPr="009F5AF4">
        <w:rPr>
          <w:rFonts w:ascii="Arial" w:hAnsi="Arial" w:cs="Arial"/>
          <w:sz w:val="22"/>
          <w:szCs w:val="22"/>
        </w:rPr>
        <w:t xml:space="preserve">reporting </w:t>
      </w:r>
      <w:r w:rsidRPr="009F5AF4">
        <w:rPr>
          <w:rFonts w:ascii="Arial" w:hAnsi="Arial" w:cs="Arial"/>
          <w:sz w:val="22"/>
          <w:szCs w:val="22"/>
        </w:rPr>
        <w:t xml:space="preserve">responses </w:t>
      </w:r>
      <w:r w:rsidR="00F673D4">
        <w:rPr>
          <w:rFonts w:ascii="Arial" w:hAnsi="Arial" w:cs="Arial"/>
          <w:sz w:val="22"/>
          <w:szCs w:val="22"/>
        </w:rPr>
        <w:t xml:space="preserve">+ </w:t>
      </w:r>
      <w:r w:rsidR="00731A61">
        <w:rPr>
          <w:rFonts w:ascii="Arial" w:hAnsi="Arial" w:cs="Arial"/>
          <w:sz w:val="22"/>
          <w:szCs w:val="22"/>
        </w:rPr>
        <w:t xml:space="preserve">3 </w:t>
      </w:r>
      <w:r w:rsidR="00F673D4">
        <w:rPr>
          <w:rFonts w:ascii="Arial" w:hAnsi="Arial" w:cs="Arial"/>
          <w:sz w:val="22"/>
          <w:szCs w:val="22"/>
        </w:rPr>
        <w:t>third party disclosure</w:t>
      </w:r>
      <w:r w:rsidR="004D5825">
        <w:rPr>
          <w:rFonts w:ascii="Arial" w:hAnsi="Arial" w:cs="Arial"/>
          <w:sz w:val="22"/>
          <w:szCs w:val="22"/>
        </w:rPr>
        <w:t>s</w:t>
      </w:r>
      <w:r w:rsidR="00F673D4">
        <w:rPr>
          <w:rFonts w:ascii="Arial" w:hAnsi="Arial" w:cs="Arial"/>
          <w:sz w:val="22"/>
          <w:szCs w:val="22"/>
        </w:rPr>
        <w:t xml:space="preserve"> +</w:t>
      </w:r>
      <w:r w:rsidRPr="009F5AF4">
        <w:rPr>
          <w:rFonts w:ascii="Arial" w:hAnsi="Arial" w:cs="Arial"/>
          <w:sz w:val="22"/>
          <w:szCs w:val="22"/>
        </w:rPr>
        <w:t xml:space="preserve"> </w:t>
      </w:r>
      <w:r w:rsidR="00731A61">
        <w:rPr>
          <w:rFonts w:ascii="Arial" w:hAnsi="Arial" w:cs="Arial"/>
          <w:sz w:val="22"/>
          <w:szCs w:val="22"/>
        </w:rPr>
        <w:t>350</w:t>
      </w:r>
    </w:p>
    <w:p w14:paraId="442C7292" w14:textId="77777777" w:rsidR="00436E5F" w:rsidRPr="009F5AF4" w:rsidRDefault="00436E5F" w:rsidP="00F673D4">
      <w:pPr>
        <w:widowControl/>
        <w:ind w:left="2880"/>
        <w:rPr>
          <w:rFonts w:ascii="Arial" w:hAnsi="Arial" w:cs="Arial"/>
          <w:sz w:val="22"/>
          <w:szCs w:val="22"/>
        </w:rPr>
      </w:pPr>
      <w:r w:rsidRPr="009F5AF4">
        <w:rPr>
          <w:rFonts w:ascii="Arial" w:hAnsi="Arial" w:cs="Arial"/>
          <w:sz w:val="22"/>
          <w:szCs w:val="22"/>
        </w:rPr>
        <w:t>recordkeepers)</w:t>
      </w:r>
    </w:p>
    <w:p w14:paraId="78341C09" w14:textId="77777777" w:rsidR="00436E5F" w:rsidRDefault="00436E5F">
      <w:pPr>
        <w:widowControl/>
        <w:rPr>
          <w:rFonts w:ascii="Arial" w:hAnsi="Arial" w:cs="Arial"/>
          <w:sz w:val="22"/>
          <w:szCs w:val="22"/>
        </w:rPr>
      </w:pPr>
      <w:r w:rsidRPr="009F5AF4">
        <w:rPr>
          <w:rFonts w:ascii="Arial" w:hAnsi="Arial" w:cs="Arial"/>
          <w:sz w:val="22"/>
          <w:szCs w:val="22"/>
        </w:rPr>
        <w:t>Respondents:</w:t>
      </w:r>
      <w:r w:rsidRPr="009F5AF4">
        <w:rPr>
          <w:rFonts w:ascii="Arial" w:hAnsi="Arial" w:cs="Arial"/>
          <w:sz w:val="22"/>
          <w:szCs w:val="22"/>
        </w:rPr>
        <w:tab/>
      </w:r>
      <w:r w:rsidRPr="009F5AF4">
        <w:rPr>
          <w:rFonts w:ascii="Arial" w:hAnsi="Arial" w:cs="Arial"/>
          <w:sz w:val="22"/>
          <w:szCs w:val="22"/>
        </w:rPr>
        <w:tab/>
      </w:r>
      <w:r w:rsidR="00F673D4">
        <w:rPr>
          <w:rFonts w:ascii="Arial" w:hAnsi="Arial" w:cs="Arial"/>
          <w:sz w:val="22"/>
          <w:szCs w:val="22"/>
        </w:rPr>
        <w:tab/>
      </w:r>
      <w:r w:rsidR="00731A61">
        <w:rPr>
          <w:rFonts w:ascii="Arial" w:hAnsi="Arial" w:cs="Arial"/>
          <w:sz w:val="22"/>
          <w:szCs w:val="22"/>
        </w:rPr>
        <w:t xml:space="preserve">350 </w:t>
      </w:r>
      <w:r w:rsidR="00FF16F1">
        <w:rPr>
          <w:rFonts w:ascii="Arial" w:hAnsi="Arial" w:cs="Arial"/>
          <w:sz w:val="22"/>
          <w:szCs w:val="22"/>
        </w:rPr>
        <w:t>(unduplicated total of</w:t>
      </w:r>
      <w:r w:rsidR="00F673D4">
        <w:rPr>
          <w:rFonts w:ascii="Arial" w:hAnsi="Arial" w:cs="Arial"/>
          <w:sz w:val="22"/>
          <w:szCs w:val="22"/>
        </w:rPr>
        <w:t xml:space="preserve"> respondents and recordkeepers)</w:t>
      </w:r>
    </w:p>
    <w:sectPr w:rsidR="00436E5F" w:rsidSect="00436E5F">
      <w:pgSz w:w="12240" w:h="15840"/>
      <w:pgMar w:top="1440" w:right="1440" w:bottom="1440" w:left="1440" w:header="144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51AC9" w14:textId="77777777" w:rsidR="004D2DC4" w:rsidRDefault="004D2DC4" w:rsidP="002E24C0">
      <w:r>
        <w:separator/>
      </w:r>
    </w:p>
  </w:endnote>
  <w:endnote w:type="continuationSeparator" w:id="0">
    <w:p w14:paraId="091EEC3E" w14:textId="77777777" w:rsidR="004D2DC4" w:rsidRDefault="004D2DC4" w:rsidP="002E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F40A2" w14:textId="77777777" w:rsidR="003C1537" w:rsidRPr="002E24C0" w:rsidRDefault="003C1537">
    <w:pPr>
      <w:pStyle w:val="Footer"/>
      <w:jc w:val="center"/>
      <w:rPr>
        <w:rFonts w:ascii="Arial" w:hAnsi="Arial" w:cs="Arial"/>
        <w:sz w:val="22"/>
        <w:szCs w:val="22"/>
      </w:rPr>
    </w:pPr>
    <w:r w:rsidRPr="002E24C0">
      <w:rPr>
        <w:rFonts w:ascii="Arial" w:hAnsi="Arial" w:cs="Arial"/>
        <w:sz w:val="22"/>
        <w:szCs w:val="22"/>
      </w:rPr>
      <w:fldChar w:fldCharType="begin"/>
    </w:r>
    <w:r w:rsidRPr="002E24C0">
      <w:rPr>
        <w:rFonts w:ascii="Arial" w:hAnsi="Arial" w:cs="Arial"/>
        <w:sz w:val="22"/>
        <w:szCs w:val="22"/>
      </w:rPr>
      <w:instrText xml:space="preserve"> PAGE   \* MERGEFORMAT </w:instrText>
    </w:r>
    <w:r w:rsidRPr="002E24C0">
      <w:rPr>
        <w:rFonts w:ascii="Arial" w:hAnsi="Arial" w:cs="Arial"/>
        <w:sz w:val="22"/>
        <w:szCs w:val="22"/>
      </w:rPr>
      <w:fldChar w:fldCharType="separate"/>
    </w:r>
    <w:r w:rsidR="00D63292">
      <w:rPr>
        <w:rFonts w:ascii="Arial" w:hAnsi="Arial" w:cs="Arial"/>
        <w:noProof/>
        <w:sz w:val="22"/>
        <w:szCs w:val="22"/>
      </w:rPr>
      <w:t>15</w:t>
    </w:r>
    <w:r w:rsidRPr="002E24C0">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D3FD1" w14:textId="77777777" w:rsidR="004D2DC4" w:rsidRDefault="004D2DC4" w:rsidP="002E24C0">
      <w:r>
        <w:separator/>
      </w:r>
    </w:p>
  </w:footnote>
  <w:footnote w:type="continuationSeparator" w:id="0">
    <w:p w14:paraId="7924C267" w14:textId="77777777" w:rsidR="004D2DC4" w:rsidRDefault="004D2DC4" w:rsidP="002E24C0">
      <w:r>
        <w:continuationSeparator/>
      </w:r>
    </w:p>
  </w:footnote>
  <w:footnote w:id="1">
    <w:p w14:paraId="67102BD1" w14:textId="77777777" w:rsidR="003C1537" w:rsidRPr="001E4400" w:rsidRDefault="003C1537">
      <w:pPr>
        <w:pStyle w:val="FootnoteText"/>
        <w:rPr>
          <w:rFonts w:ascii="Arial" w:hAnsi="Arial" w:cs="Arial"/>
        </w:rPr>
      </w:pPr>
      <w:r w:rsidRPr="00717D9B">
        <w:rPr>
          <w:rStyle w:val="FootnoteReference"/>
          <w:rFonts w:ascii="Arial" w:hAnsi="Arial" w:cs="Arial"/>
          <w:vertAlign w:val="superscript"/>
        </w:rPr>
        <w:footnoteRef/>
      </w:r>
      <w:r w:rsidRPr="00717D9B">
        <w:rPr>
          <w:rFonts w:ascii="Arial" w:hAnsi="Arial" w:cs="Arial"/>
          <w:vertAlign w:val="superscript"/>
        </w:rPr>
        <w:t xml:space="preserve"> </w:t>
      </w:r>
      <w:r w:rsidRPr="00717D9B">
        <w:rPr>
          <w:rFonts w:ascii="Arial" w:hAnsi="Arial" w:cs="Arial"/>
          <w:sz w:val="18"/>
        </w:rPr>
        <w:t xml:space="preserve">Burden calculations are based on the number of estimated responses.  An estimated </w:t>
      </w:r>
      <w:r>
        <w:rPr>
          <w:rFonts w:ascii="Arial" w:hAnsi="Arial" w:cs="Arial"/>
          <w:sz w:val="18"/>
        </w:rPr>
        <w:t>2,000 licensees, vendors, and fuel facilities</w:t>
      </w:r>
      <w:r w:rsidRPr="00717D9B">
        <w:rPr>
          <w:rFonts w:ascii="Arial" w:hAnsi="Arial" w:cs="Arial"/>
          <w:sz w:val="18"/>
        </w:rPr>
        <w:t xml:space="preserve"> are subject to Part 21; however, only </w:t>
      </w:r>
      <w:r>
        <w:rPr>
          <w:rFonts w:ascii="Arial" w:hAnsi="Arial" w:cs="Arial"/>
          <w:sz w:val="18"/>
        </w:rPr>
        <w:t xml:space="preserve">350 </w:t>
      </w:r>
      <w:r w:rsidRPr="00717D9B">
        <w:rPr>
          <w:rFonts w:ascii="Arial" w:hAnsi="Arial" w:cs="Arial"/>
          <w:sz w:val="18"/>
        </w:rPr>
        <w:t xml:space="preserve">of these entities are anticipated to </w:t>
      </w:r>
      <w:r w:rsidRPr="000B210A">
        <w:rPr>
          <w:rFonts w:ascii="Arial" w:hAnsi="Arial" w:cs="Arial"/>
          <w:sz w:val="18"/>
        </w:rPr>
        <w:t>submit a</w:t>
      </w:r>
      <w:r>
        <w:rPr>
          <w:rFonts w:ascii="Arial" w:hAnsi="Arial" w:cs="Arial"/>
          <w:sz w:val="18"/>
        </w:rPr>
        <w:t xml:space="preserve"> </w:t>
      </w:r>
      <w:r w:rsidRPr="000B210A">
        <w:rPr>
          <w:rFonts w:ascii="Arial" w:hAnsi="Arial" w:cs="Arial"/>
          <w:sz w:val="18"/>
        </w:rPr>
        <w:t>report</w:t>
      </w:r>
      <w:r>
        <w:rPr>
          <w:rFonts w:ascii="Arial" w:hAnsi="Arial" w:cs="Arial"/>
          <w:sz w:val="18"/>
        </w:rPr>
        <w:t xml:space="preserve"> or maintain records </w:t>
      </w:r>
      <w:r w:rsidRPr="00717D9B">
        <w:rPr>
          <w:rFonts w:ascii="Arial" w:hAnsi="Arial" w:cs="Arial"/>
          <w:sz w:val="18"/>
        </w:rPr>
        <w:t>during the current clearance period.</w:t>
      </w:r>
    </w:p>
  </w:footnote>
  <w:footnote w:id="2">
    <w:p w14:paraId="726DDBFF" w14:textId="77777777" w:rsidR="003C1537" w:rsidRPr="001E4400" w:rsidRDefault="003C1537" w:rsidP="00012F9A">
      <w:pPr>
        <w:pStyle w:val="FootnoteText"/>
        <w:rPr>
          <w:rFonts w:ascii="Arial" w:hAnsi="Arial" w:cs="Arial"/>
        </w:rPr>
      </w:pPr>
      <w:r w:rsidRPr="00A41416">
        <w:rPr>
          <w:rStyle w:val="FootnoteReference"/>
          <w:rFonts w:ascii="Arial" w:hAnsi="Arial" w:cs="Arial"/>
          <w:vertAlign w:val="superscript"/>
        </w:rPr>
        <w:footnoteRef/>
      </w:r>
      <w:r w:rsidRPr="001E4400">
        <w:rPr>
          <w:rFonts w:ascii="Arial" w:hAnsi="Arial" w:cs="Arial"/>
        </w:rPr>
        <w:t xml:space="preserve"> Burden calculations are based on the number of estimate</w:t>
      </w:r>
      <w:r>
        <w:rPr>
          <w:rFonts w:ascii="Arial" w:hAnsi="Arial" w:cs="Arial"/>
        </w:rPr>
        <w:t xml:space="preserve">d responses.  An estimated 2,000 licensees, applicants, and vendors are subject to Part 21; however, </w:t>
      </w:r>
      <w:r w:rsidRPr="009F5AF4">
        <w:rPr>
          <w:rFonts w:ascii="Arial" w:hAnsi="Arial" w:cs="Arial"/>
        </w:rPr>
        <w:t xml:space="preserve">only </w:t>
      </w:r>
      <w:r>
        <w:rPr>
          <w:rFonts w:ascii="Arial" w:hAnsi="Arial" w:cs="Arial"/>
        </w:rPr>
        <w:t xml:space="preserve">350 </w:t>
      </w:r>
      <w:r w:rsidRPr="009F5AF4">
        <w:rPr>
          <w:rFonts w:ascii="Arial" w:hAnsi="Arial" w:cs="Arial"/>
        </w:rPr>
        <w:t>of these</w:t>
      </w:r>
      <w:r>
        <w:rPr>
          <w:rFonts w:ascii="Arial" w:hAnsi="Arial" w:cs="Arial"/>
        </w:rPr>
        <w:t xml:space="preserve"> entities are anticipated to submit a report or maintain records during the current clearance period.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2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28601811"/>
    <w:multiLevelType w:val="hybridMultilevel"/>
    <w:tmpl w:val="E954D1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8836228"/>
    <w:multiLevelType w:val="hybridMultilevel"/>
    <w:tmpl w:val="D28261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5F35A73"/>
    <w:multiLevelType w:val="hybridMultilevel"/>
    <w:tmpl w:val="5BA683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28C38B9"/>
    <w:multiLevelType w:val="hybridMultilevel"/>
    <w:tmpl w:val="8836EAB2"/>
    <w:lvl w:ilvl="0" w:tplc="CADCE0A4">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86635A"/>
    <w:multiLevelType w:val="hybridMultilevel"/>
    <w:tmpl w:val="941200C4"/>
    <w:lvl w:ilvl="0" w:tplc="5322D28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FF41DC"/>
    <w:multiLevelType w:val="hybridMultilevel"/>
    <w:tmpl w:val="A5648D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5"/>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9F3"/>
    <w:rsid w:val="0000106E"/>
    <w:rsid w:val="000118DE"/>
    <w:rsid w:val="00012F9A"/>
    <w:rsid w:val="00013A08"/>
    <w:rsid w:val="0002439D"/>
    <w:rsid w:val="00025CD9"/>
    <w:rsid w:val="00027830"/>
    <w:rsid w:val="00037773"/>
    <w:rsid w:val="0004247F"/>
    <w:rsid w:val="00043D25"/>
    <w:rsid w:val="000477B7"/>
    <w:rsid w:val="000539CC"/>
    <w:rsid w:val="000578FE"/>
    <w:rsid w:val="00061A65"/>
    <w:rsid w:val="000677F4"/>
    <w:rsid w:val="0007733C"/>
    <w:rsid w:val="00080B37"/>
    <w:rsid w:val="0008159F"/>
    <w:rsid w:val="00083A9D"/>
    <w:rsid w:val="00084D35"/>
    <w:rsid w:val="00086644"/>
    <w:rsid w:val="000A33A0"/>
    <w:rsid w:val="000B210A"/>
    <w:rsid w:val="000B5925"/>
    <w:rsid w:val="000C6538"/>
    <w:rsid w:val="000D3B56"/>
    <w:rsid w:val="000F4EEA"/>
    <w:rsid w:val="00103E55"/>
    <w:rsid w:val="001126A7"/>
    <w:rsid w:val="0011799E"/>
    <w:rsid w:val="001205E0"/>
    <w:rsid w:val="0012386E"/>
    <w:rsid w:val="00130AD9"/>
    <w:rsid w:val="00131F88"/>
    <w:rsid w:val="00135CD5"/>
    <w:rsid w:val="00136142"/>
    <w:rsid w:val="00160015"/>
    <w:rsid w:val="001606E0"/>
    <w:rsid w:val="001612D9"/>
    <w:rsid w:val="0016258D"/>
    <w:rsid w:val="0017331C"/>
    <w:rsid w:val="00183598"/>
    <w:rsid w:val="0019208A"/>
    <w:rsid w:val="001B411C"/>
    <w:rsid w:val="001B5A87"/>
    <w:rsid w:val="001C08D6"/>
    <w:rsid w:val="001D4C8A"/>
    <w:rsid w:val="001D6DFE"/>
    <w:rsid w:val="001D7FFD"/>
    <w:rsid w:val="001E1569"/>
    <w:rsid w:val="001E4400"/>
    <w:rsid w:val="001F6EE0"/>
    <w:rsid w:val="00201AE0"/>
    <w:rsid w:val="00204CFE"/>
    <w:rsid w:val="00222DD7"/>
    <w:rsid w:val="00235F34"/>
    <w:rsid w:val="002422E3"/>
    <w:rsid w:val="00257A90"/>
    <w:rsid w:val="00264C26"/>
    <w:rsid w:val="00284466"/>
    <w:rsid w:val="002905B5"/>
    <w:rsid w:val="0029302B"/>
    <w:rsid w:val="00293685"/>
    <w:rsid w:val="002A4AD3"/>
    <w:rsid w:val="002A536D"/>
    <w:rsid w:val="002C16E6"/>
    <w:rsid w:val="002D2A68"/>
    <w:rsid w:val="002D62E5"/>
    <w:rsid w:val="002E24C0"/>
    <w:rsid w:val="002E2E3A"/>
    <w:rsid w:val="002F02B5"/>
    <w:rsid w:val="003052B6"/>
    <w:rsid w:val="00305BE2"/>
    <w:rsid w:val="00314017"/>
    <w:rsid w:val="00332EB9"/>
    <w:rsid w:val="00336FA0"/>
    <w:rsid w:val="00342076"/>
    <w:rsid w:val="0034295E"/>
    <w:rsid w:val="00350600"/>
    <w:rsid w:val="00350754"/>
    <w:rsid w:val="003555EE"/>
    <w:rsid w:val="00360F2A"/>
    <w:rsid w:val="003672E1"/>
    <w:rsid w:val="00383B8D"/>
    <w:rsid w:val="0039573A"/>
    <w:rsid w:val="00396D73"/>
    <w:rsid w:val="003A2E8B"/>
    <w:rsid w:val="003A7FCA"/>
    <w:rsid w:val="003B25EB"/>
    <w:rsid w:val="003B31EF"/>
    <w:rsid w:val="003B4524"/>
    <w:rsid w:val="003C1537"/>
    <w:rsid w:val="003C481A"/>
    <w:rsid w:val="003E3964"/>
    <w:rsid w:val="003E791B"/>
    <w:rsid w:val="003E7CD5"/>
    <w:rsid w:val="003F1EF4"/>
    <w:rsid w:val="003F2E54"/>
    <w:rsid w:val="00401479"/>
    <w:rsid w:val="00401615"/>
    <w:rsid w:val="00403381"/>
    <w:rsid w:val="0041187D"/>
    <w:rsid w:val="0041208E"/>
    <w:rsid w:val="004122D2"/>
    <w:rsid w:val="004126B8"/>
    <w:rsid w:val="00416C6D"/>
    <w:rsid w:val="004200FA"/>
    <w:rsid w:val="0043193C"/>
    <w:rsid w:val="0043443C"/>
    <w:rsid w:val="00436E5F"/>
    <w:rsid w:val="004445D0"/>
    <w:rsid w:val="00455EBB"/>
    <w:rsid w:val="0047001D"/>
    <w:rsid w:val="0048058B"/>
    <w:rsid w:val="004A01A3"/>
    <w:rsid w:val="004A23FF"/>
    <w:rsid w:val="004A31CA"/>
    <w:rsid w:val="004A3C8D"/>
    <w:rsid w:val="004A3E48"/>
    <w:rsid w:val="004A6259"/>
    <w:rsid w:val="004B6B6A"/>
    <w:rsid w:val="004C4FFA"/>
    <w:rsid w:val="004D1C95"/>
    <w:rsid w:val="004D2DC4"/>
    <w:rsid w:val="004D40D2"/>
    <w:rsid w:val="004D5825"/>
    <w:rsid w:val="004F3271"/>
    <w:rsid w:val="00507CB8"/>
    <w:rsid w:val="00511A06"/>
    <w:rsid w:val="00515F00"/>
    <w:rsid w:val="00525CC2"/>
    <w:rsid w:val="005270B4"/>
    <w:rsid w:val="00531958"/>
    <w:rsid w:val="00532BE1"/>
    <w:rsid w:val="00534A19"/>
    <w:rsid w:val="00536ADA"/>
    <w:rsid w:val="00540AA9"/>
    <w:rsid w:val="00552B34"/>
    <w:rsid w:val="00554E32"/>
    <w:rsid w:val="00563D45"/>
    <w:rsid w:val="005709A4"/>
    <w:rsid w:val="005726FB"/>
    <w:rsid w:val="00580625"/>
    <w:rsid w:val="00582251"/>
    <w:rsid w:val="005A227C"/>
    <w:rsid w:val="005A4FCF"/>
    <w:rsid w:val="005B4A48"/>
    <w:rsid w:val="005B5084"/>
    <w:rsid w:val="005D007B"/>
    <w:rsid w:val="005E434F"/>
    <w:rsid w:val="005F04D1"/>
    <w:rsid w:val="005F08A1"/>
    <w:rsid w:val="00604323"/>
    <w:rsid w:val="00607FBF"/>
    <w:rsid w:val="006124D9"/>
    <w:rsid w:val="00616ED6"/>
    <w:rsid w:val="00622844"/>
    <w:rsid w:val="006278EF"/>
    <w:rsid w:val="006334F7"/>
    <w:rsid w:val="00635817"/>
    <w:rsid w:val="006420C8"/>
    <w:rsid w:val="0065212E"/>
    <w:rsid w:val="00663997"/>
    <w:rsid w:val="00692E26"/>
    <w:rsid w:val="00696CBE"/>
    <w:rsid w:val="006A2BD8"/>
    <w:rsid w:val="006A44D1"/>
    <w:rsid w:val="006B223E"/>
    <w:rsid w:val="006C112A"/>
    <w:rsid w:val="006C2B71"/>
    <w:rsid w:val="006E62B8"/>
    <w:rsid w:val="006F6F40"/>
    <w:rsid w:val="00701C73"/>
    <w:rsid w:val="00703D38"/>
    <w:rsid w:val="00704D37"/>
    <w:rsid w:val="00705D29"/>
    <w:rsid w:val="00706C86"/>
    <w:rsid w:val="0070785D"/>
    <w:rsid w:val="00707F1F"/>
    <w:rsid w:val="007128A3"/>
    <w:rsid w:val="007166AF"/>
    <w:rsid w:val="00717D9B"/>
    <w:rsid w:val="007213A2"/>
    <w:rsid w:val="00731A61"/>
    <w:rsid w:val="00735182"/>
    <w:rsid w:val="00735DAB"/>
    <w:rsid w:val="00753574"/>
    <w:rsid w:val="00756626"/>
    <w:rsid w:val="00756F89"/>
    <w:rsid w:val="007622D5"/>
    <w:rsid w:val="0076369A"/>
    <w:rsid w:val="00770562"/>
    <w:rsid w:val="007708CE"/>
    <w:rsid w:val="007740D2"/>
    <w:rsid w:val="007752C5"/>
    <w:rsid w:val="007755B8"/>
    <w:rsid w:val="00776BEE"/>
    <w:rsid w:val="00780941"/>
    <w:rsid w:val="00781F0A"/>
    <w:rsid w:val="00784647"/>
    <w:rsid w:val="007846BC"/>
    <w:rsid w:val="007864B5"/>
    <w:rsid w:val="00791E36"/>
    <w:rsid w:val="00793C40"/>
    <w:rsid w:val="007A0335"/>
    <w:rsid w:val="007A0FD6"/>
    <w:rsid w:val="007A668D"/>
    <w:rsid w:val="007A7CF9"/>
    <w:rsid w:val="007C5FE7"/>
    <w:rsid w:val="007C76C2"/>
    <w:rsid w:val="007D084A"/>
    <w:rsid w:val="007D0A68"/>
    <w:rsid w:val="007F1D9F"/>
    <w:rsid w:val="007F4E0E"/>
    <w:rsid w:val="00802CBA"/>
    <w:rsid w:val="008102D8"/>
    <w:rsid w:val="00815079"/>
    <w:rsid w:val="00820964"/>
    <w:rsid w:val="00823486"/>
    <w:rsid w:val="0083079E"/>
    <w:rsid w:val="00833DD9"/>
    <w:rsid w:val="00836500"/>
    <w:rsid w:val="00837FFE"/>
    <w:rsid w:val="00840979"/>
    <w:rsid w:val="008507AE"/>
    <w:rsid w:val="008673D3"/>
    <w:rsid w:val="00884313"/>
    <w:rsid w:val="00894018"/>
    <w:rsid w:val="00895BE6"/>
    <w:rsid w:val="00896A15"/>
    <w:rsid w:val="008A3CDF"/>
    <w:rsid w:val="008A664F"/>
    <w:rsid w:val="008B3F27"/>
    <w:rsid w:val="008C5E46"/>
    <w:rsid w:val="008C6290"/>
    <w:rsid w:val="008C78E9"/>
    <w:rsid w:val="008D061C"/>
    <w:rsid w:val="008D20BA"/>
    <w:rsid w:val="008D2BFD"/>
    <w:rsid w:val="008D50DD"/>
    <w:rsid w:val="008E1E8C"/>
    <w:rsid w:val="008E74E2"/>
    <w:rsid w:val="008F04F8"/>
    <w:rsid w:val="008F196E"/>
    <w:rsid w:val="008F76A0"/>
    <w:rsid w:val="009048EF"/>
    <w:rsid w:val="0091482B"/>
    <w:rsid w:val="00914C84"/>
    <w:rsid w:val="00920D94"/>
    <w:rsid w:val="0092593B"/>
    <w:rsid w:val="00933EDA"/>
    <w:rsid w:val="0093406D"/>
    <w:rsid w:val="0094530D"/>
    <w:rsid w:val="0095044F"/>
    <w:rsid w:val="00951EEF"/>
    <w:rsid w:val="00971B06"/>
    <w:rsid w:val="00972756"/>
    <w:rsid w:val="009807BD"/>
    <w:rsid w:val="00990F3A"/>
    <w:rsid w:val="0099210A"/>
    <w:rsid w:val="00993D71"/>
    <w:rsid w:val="00994FB6"/>
    <w:rsid w:val="00996ED3"/>
    <w:rsid w:val="009A6160"/>
    <w:rsid w:val="009B0EC9"/>
    <w:rsid w:val="009B1D85"/>
    <w:rsid w:val="009B66A7"/>
    <w:rsid w:val="009C360E"/>
    <w:rsid w:val="009C72AF"/>
    <w:rsid w:val="009D149B"/>
    <w:rsid w:val="009D4B8D"/>
    <w:rsid w:val="009D6182"/>
    <w:rsid w:val="009D63F0"/>
    <w:rsid w:val="009E01F5"/>
    <w:rsid w:val="009F1337"/>
    <w:rsid w:val="009F21FB"/>
    <w:rsid w:val="009F5AF4"/>
    <w:rsid w:val="00A012EE"/>
    <w:rsid w:val="00A11D02"/>
    <w:rsid w:val="00A1740D"/>
    <w:rsid w:val="00A27EF6"/>
    <w:rsid w:val="00A33871"/>
    <w:rsid w:val="00A35A31"/>
    <w:rsid w:val="00A41416"/>
    <w:rsid w:val="00A6047C"/>
    <w:rsid w:val="00A61108"/>
    <w:rsid w:val="00A710B6"/>
    <w:rsid w:val="00A715B8"/>
    <w:rsid w:val="00A7630E"/>
    <w:rsid w:val="00A7724D"/>
    <w:rsid w:val="00A879F3"/>
    <w:rsid w:val="00A96F4A"/>
    <w:rsid w:val="00AA0247"/>
    <w:rsid w:val="00AC394C"/>
    <w:rsid w:val="00AE3418"/>
    <w:rsid w:val="00AF2BD9"/>
    <w:rsid w:val="00AF525D"/>
    <w:rsid w:val="00B07771"/>
    <w:rsid w:val="00B13A38"/>
    <w:rsid w:val="00B145C5"/>
    <w:rsid w:val="00B14742"/>
    <w:rsid w:val="00B2545B"/>
    <w:rsid w:val="00B334CA"/>
    <w:rsid w:val="00B342C8"/>
    <w:rsid w:val="00B47923"/>
    <w:rsid w:val="00B526F4"/>
    <w:rsid w:val="00B61E9B"/>
    <w:rsid w:val="00B7263C"/>
    <w:rsid w:val="00B771DB"/>
    <w:rsid w:val="00B93CC4"/>
    <w:rsid w:val="00B96298"/>
    <w:rsid w:val="00B978FC"/>
    <w:rsid w:val="00BA0536"/>
    <w:rsid w:val="00BA2387"/>
    <w:rsid w:val="00BA3278"/>
    <w:rsid w:val="00BB4281"/>
    <w:rsid w:val="00BB7041"/>
    <w:rsid w:val="00BC0482"/>
    <w:rsid w:val="00BC553B"/>
    <w:rsid w:val="00BC7035"/>
    <w:rsid w:val="00BC7239"/>
    <w:rsid w:val="00BD270D"/>
    <w:rsid w:val="00BD2EF0"/>
    <w:rsid w:val="00BD718E"/>
    <w:rsid w:val="00BE4E5C"/>
    <w:rsid w:val="00BE6570"/>
    <w:rsid w:val="00BF2963"/>
    <w:rsid w:val="00BF52EC"/>
    <w:rsid w:val="00C001E2"/>
    <w:rsid w:val="00C0309A"/>
    <w:rsid w:val="00C14534"/>
    <w:rsid w:val="00C231CA"/>
    <w:rsid w:val="00C40473"/>
    <w:rsid w:val="00C55D8F"/>
    <w:rsid w:val="00C57C08"/>
    <w:rsid w:val="00C64828"/>
    <w:rsid w:val="00C65979"/>
    <w:rsid w:val="00C72855"/>
    <w:rsid w:val="00C75A05"/>
    <w:rsid w:val="00C77BCA"/>
    <w:rsid w:val="00C81A85"/>
    <w:rsid w:val="00C82841"/>
    <w:rsid w:val="00C917CA"/>
    <w:rsid w:val="00CA3CA2"/>
    <w:rsid w:val="00CA3D22"/>
    <w:rsid w:val="00CA7D33"/>
    <w:rsid w:val="00CB4504"/>
    <w:rsid w:val="00CD5F6A"/>
    <w:rsid w:val="00CD5FFB"/>
    <w:rsid w:val="00CF2FB4"/>
    <w:rsid w:val="00CF7A97"/>
    <w:rsid w:val="00D1051D"/>
    <w:rsid w:val="00D13B25"/>
    <w:rsid w:val="00D1496C"/>
    <w:rsid w:val="00D15286"/>
    <w:rsid w:val="00D15847"/>
    <w:rsid w:val="00D16FA7"/>
    <w:rsid w:val="00D222B5"/>
    <w:rsid w:val="00D26D64"/>
    <w:rsid w:val="00D33419"/>
    <w:rsid w:val="00D36646"/>
    <w:rsid w:val="00D44EE9"/>
    <w:rsid w:val="00D46813"/>
    <w:rsid w:val="00D547F8"/>
    <w:rsid w:val="00D54A35"/>
    <w:rsid w:val="00D552A8"/>
    <w:rsid w:val="00D55541"/>
    <w:rsid w:val="00D63292"/>
    <w:rsid w:val="00D6403F"/>
    <w:rsid w:val="00D71346"/>
    <w:rsid w:val="00D731E4"/>
    <w:rsid w:val="00D84B6A"/>
    <w:rsid w:val="00D85EB6"/>
    <w:rsid w:val="00D93135"/>
    <w:rsid w:val="00D9599B"/>
    <w:rsid w:val="00DA63C2"/>
    <w:rsid w:val="00DB62B0"/>
    <w:rsid w:val="00DC00D2"/>
    <w:rsid w:val="00DD1A0D"/>
    <w:rsid w:val="00DE3451"/>
    <w:rsid w:val="00DE47B9"/>
    <w:rsid w:val="00DE4B9E"/>
    <w:rsid w:val="00DF4A09"/>
    <w:rsid w:val="00E2467C"/>
    <w:rsid w:val="00E24781"/>
    <w:rsid w:val="00E27B46"/>
    <w:rsid w:val="00E32284"/>
    <w:rsid w:val="00E44D86"/>
    <w:rsid w:val="00E514D4"/>
    <w:rsid w:val="00E556C2"/>
    <w:rsid w:val="00E60096"/>
    <w:rsid w:val="00E75232"/>
    <w:rsid w:val="00E81D39"/>
    <w:rsid w:val="00E836BE"/>
    <w:rsid w:val="00E84D93"/>
    <w:rsid w:val="00E9561B"/>
    <w:rsid w:val="00E97817"/>
    <w:rsid w:val="00EA1923"/>
    <w:rsid w:val="00EB2E15"/>
    <w:rsid w:val="00EB5E1A"/>
    <w:rsid w:val="00EC05ED"/>
    <w:rsid w:val="00EC3744"/>
    <w:rsid w:val="00ED0D44"/>
    <w:rsid w:val="00ED240C"/>
    <w:rsid w:val="00EE2DAE"/>
    <w:rsid w:val="00EE4975"/>
    <w:rsid w:val="00EE5CA3"/>
    <w:rsid w:val="00EE6719"/>
    <w:rsid w:val="00EF13E7"/>
    <w:rsid w:val="00EF3149"/>
    <w:rsid w:val="00EF3708"/>
    <w:rsid w:val="00EF6BA6"/>
    <w:rsid w:val="00F01E00"/>
    <w:rsid w:val="00F01EEB"/>
    <w:rsid w:val="00F04AC6"/>
    <w:rsid w:val="00F04F2B"/>
    <w:rsid w:val="00F129C9"/>
    <w:rsid w:val="00F138F6"/>
    <w:rsid w:val="00F149C1"/>
    <w:rsid w:val="00F17415"/>
    <w:rsid w:val="00F2159E"/>
    <w:rsid w:val="00F23553"/>
    <w:rsid w:val="00F237D7"/>
    <w:rsid w:val="00F309C3"/>
    <w:rsid w:val="00F40059"/>
    <w:rsid w:val="00F40EB6"/>
    <w:rsid w:val="00F43CBE"/>
    <w:rsid w:val="00F5173E"/>
    <w:rsid w:val="00F53329"/>
    <w:rsid w:val="00F61C57"/>
    <w:rsid w:val="00F663A9"/>
    <w:rsid w:val="00F673D4"/>
    <w:rsid w:val="00F80DEC"/>
    <w:rsid w:val="00F92AF3"/>
    <w:rsid w:val="00F94FB0"/>
    <w:rsid w:val="00FA24D8"/>
    <w:rsid w:val="00FA35B1"/>
    <w:rsid w:val="00FA37A2"/>
    <w:rsid w:val="00FA67F3"/>
    <w:rsid w:val="00FA6BCA"/>
    <w:rsid w:val="00FA6F55"/>
    <w:rsid w:val="00FB247A"/>
    <w:rsid w:val="00FB38E1"/>
    <w:rsid w:val="00FB3DBC"/>
    <w:rsid w:val="00FC1A09"/>
    <w:rsid w:val="00FC4275"/>
    <w:rsid w:val="00FC7F18"/>
    <w:rsid w:val="00FD4E0F"/>
    <w:rsid w:val="00FE29DD"/>
    <w:rsid w:val="00FE57DD"/>
    <w:rsid w:val="00FF1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5D8AE"/>
  <w15:docId w15:val="{F6F1AD92-E1F6-49F0-A1C0-6758E7FB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81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97817"/>
  </w:style>
  <w:style w:type="paragraph" w:customStyle="1" w:styleId="Level1">
    <w:name w:val="Level 1"/>
    <w:basedOn w:val="Normal"/>
    <w:rsid w:val="00E97817"/>
    <w:pPr>
      <w:ind w:left="720" w:hanging="720"/>
      <w:outlineLvl w:val="0"/>
    </w:pPr>
  </w:style>
  <w:style w:type="table" w:styleId="TableGrid">
    <w:name w:val="Table Grid"/>
    <w:basedOn w:val="TableNormal"/>
    <w:rsid w:val="00080B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2E24C0"/>
    <w:pPr>
      <w:tabs>
        <w:tab w:val="center" w:pos="4680"/>
        <w:tab w:val="right" w:pos="9360"/>
      </w:tabs>
    </w:pPr>
  </w:style>
  <w:style w:type="character" w:customStyle="1" w:styleId="HeaderChar">
    <w:name w:val="Header Char"/>
    <w:basedOn w:val="DefaultParagraphFont"/>
    <w:link w:val="Header"/>
    <w:rsid w:val="002E24C0"/>
    <w:rPr>
      <w:sz w:val="24"/>
      <w:szCs w:val="24"/>
    </w:rPr>
  </w:style>
  <w:style w:type="paragraph" w:styleId="Footer">
    <w:name w:val="footer"/>
    <w:basedOn w:val="Normal"/>
    <w:link w:val="FooterChar"/>
    <w:uiPriority w:val="99"/>
    <w:rsid w:val="002E24C0"/>
    <w:pPr>
      <w:tabs>
        <w:tab w:val="center" w:pos="4680"/>
        <w:tab w:val="right" w:pos="9360"/>
      </w:tabs>
    </w:pPr>
  </w:style>
  <w:style w:type="character" w:customStyle="1" w:styleId="FooterChar">
    <w:name w:val="Footer Char"/>
    <w:basedOn w:val="DefaultParagraphFont"/>
    <w:link w:val="Footer"/>
    <w:uiPriority w:val="99"/>
    <w:rsid w:val="002E24C0"/>
    <w:rPr>
      <w:sz w:val="24"/>
      <w:szCs w:val="24"/>
    </w:rPr>
  </w:style>
  <w:style w:type="character" w:styleId="CommentReference">
    <w:name w:val="annotation reference"/>
    <w:basedOn w:val="DefaultParagraphFont"/>
    <w:rsid w:val="00CD5F6A"/>
    <w:rPr>
      <w:sz w:val="16"/>
      <w:szCs w:val="16"/>
    </w:rPr>
  </w:style>
  <w:style w:type="paragraph" w:styleId="CommentText">
    <w:name w:val="annotation text"/>
    <w:basedOn w:val="Normal"/>
    <w:link w:val="CommentTextChar"/>
    <w:rsid w:val="00CD5F6A"/>
    <w:rPr>
      <w:sz w:val="20"/>
      <w:szCs w:val="20"/>
    </w:rPr>
  </w:style>
  <w:style w:type="character" w:customStyle="1" w:styleId="CommentTextChar">
    <w:name w:val="Comment Text Char"/>
    <w:basedOn w:val="DefaultParagraphFont"/>
    <w:link w:val="CommentText"/>
    <w:rsid w:val="00CD5F6A"/>
  </w:style>
  <w:style w:type="paragraph" w:styleId="CommentSubject">
    <w:name w:val="annotation subject"/>
    <w:basedOn w:val="CommentText"/>
    <w:next w:val="CommentText"/>
    <w:link w:val="CommentSubjectChar"/>
    <w:rsid w:val="00CD5F6A"/>
    <w:rPr>
      <w:b/>
      <w:bCs/>
    </w:rPr>
  </w:style>
  <w:style w:type="character" w:customStyle="1" w:styleId="CommentSubjectChar">
    <w:name w:val="Comment Subject Char"/>
    <w:basedOn w:val="CommentTextChar"/>
    <w:link w:val="CommentSubject"/>
    <w:rsid w:val="00CD5F6A"/>
    <w:rPr>
      <w:b/>
      <w:bCs/>
    </w:rPr>
  </w:style>
  <w:style w:type="paragraph" w:styleId="BalloonText">
    <w:name w:val="Balloon Text"/>
    <w:basedOn w:val="Normal"/>
    <w:link w:val="BalloonTextChar"/>
    <w:rsid w:val="00CD5F6A"/>
    <w:rPr>
      <w:rFonts w:ascii="Tahoma" w:hAnsi="Tahoma" w:cs="Tahoma"/>
      <w:sz w:val="16"/>
      <w:szCs w:val="16"/>
    </w:rPr>
  </w:style>
  <w:style w:type="character" w:customStyle="1" w:styleId="BalloonTextChar">
    <w:name w:val="Balloon Text Char"/>
    <w:basedOn w:val="DefaultParagraphFont"/>
    <w:link w:val="BalloonText"/>
    <w:rsid w:val="00CD5F6A"/>
    <w:rPr>
      <w:rFonts w:ascii="Tahoma" w:hAnsi="Tahoma" w:cs="Tahoma"/>
      <w:sz w:val="16"/>
      <w:szCs w:val="16"/>
    </w:rPr>
  </w:style>
  <w:style w:type="paragraph" w:styleId="FootnoteText">
    <w:name w:val="footnote text"/>
    <w:basedOn w:val="Normal"/>
    <w:link w:val="FootnoteTextChar"/>
    <w:rsid w:val="001E4400"/>
    <w:rPr>
      <w:sz w:val="20"/>
      <w:szCs w:val="20"/>
    </w:rPr>
  </w:style>
  <w:style w:type="character" w:customStyle="1" w:styleId="FootnoteTextChar">
    <w:name w:val="Footnote Text Char"/>
    <w:basedOn w:val="DefaultParagraphFont"/>
    <w:link w:val="FootnoteText"/>
    <w:rsid w:val="001E4400"/>
  </w:style>
  <w:style w:type="paragraph" w:styleId="ListParagraph">
    <w:name w:val="List Paragraph"/>
    <w:basedOn w:val="Normal"/>
    <w:uiPriority w:val="34"/>
    <w:qFormat/>
    <w:rsid w:val="00EF6BA6"/>
    <w:pPr>
      <w:ind w:left="720"/>
      <w:contextualSpacing/>
    </w:pPr>
  </w:style>
  <w:style w:type="paragraph" w:styleId="Revision">
    <w:name w:val="Revision"/>
    <w:hidden/>
    <w:uiPriority w:val="99"/>
    <w:semiHidden/>
    <w:rsid w:val="00756626"/>
    <w:rPr>
      <w:sz w:val="24"/>
      <w:szCs w:val="24"/>
    </w:rPr>
  </w:style>
  <w:style w:type="character" w:styleId="Hyperlink">
    <w:name w:val="Hyperlink"/>
    <w:basedOn w:val="DefaultParagraphFont"/>
    <w:uiPriority w:val="99"/>
    <w:unhideWhenUsed/>
    <w:rsid w:val="00B077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9009">
      <w:bodyDiv w:val="1"/>
      <w:marLeft w:val="0"/>
      <w:marRight w:val="0"/>
      <w:marTop w:val="0"/>
      <w:marBottom w:val="0"/>
      <w:divBdr>
        <w:top w:val="none" w:sz="0" w:space="0" w:color="auto"/>
        <w:left w:val="none" w:sz="0" w:space="0" w:color="auto"/>
        <w:bottom w:val="none" w:sz="0" w:space="0" w:color="auto"/>
        <w:right w:val="none" w:sz="0" w:space="0" w:color="auto"/>
      </w:divBdr>
    </w:div>
    <w:div w:id="79446471">
      <w:bodyDiv w:val="1"/>
      <w:marLeft w:val="0"/>
      <w:marRight w:val="0"/>
      <w:marTop w:val="0"/>
      <w:marBottom w:val="0"/>
      <w:divBdr>
        <w:top w:val="none" w:sz="0" w:space="0" w:color="auto"/>
        <w:left w:val="none" w:sz="0" w:space="0" w:color="auto"/>
        <w:bottom w:val="none" w:sz="0" w:space="0" w:color="auto"/>
        <w:right w:val="none" w:sz="0" w:space="0" w:color="auto"/>
      </w:divBdr>
    </w:div>
    <w:div w:id="91898211">
      <w:bodyDiv w:val="1"/>
      <w:marLeft w:val="0"/>
      <w:marRight w:val="0"/>
      <w:marTop w:val="0"/>
      <w:marBottom w:val="0"/>
      <w:divBdr>
        <w:top w:val="none" w:sz="0" w:space="0" w:color="auto"/>
        <w:left w:val="none" w:sz="0" w:space="0" w:color="auto"/>
        <w:bottom w:val="none" w:sz="0" w:space="0" w:color="auto"/>
        <w:right w:val="none" w:sz="0" w:space="0" w:color="auto"/>
      </w:divBdr>
    </w:div>
    <w:div w:id="120928784">
      <w:bodyDiv w:val="1"/>
      <w:marLeft w:val="0"/>
      <w:marRight w:val="0"/>
      <w:marTop w:val="0"/>
      <w:marBottom w:val="0"/>
      <w:divBdr>
        <w:top w:val="none" w:sz="0" w:space="0" w:color="auto"/>
        <w:left w:val="none" w:sz="0" w:space="0" w:color="auto"/>
        <w:bottom w:val="none" w:sz="0" w:space="0" w:color="auto"/>
        <w:right w:val="none" w:sz="0" w:space="0" w:color="auto"/>
      </w:divBdr>
    </w:div>
    <w:div w:id="331495234">
      <w:bodyDiv w:val="1"/>
      <w:marLeft w:val="0"/>
      <w:marRight w:val="0"/>
      <w:marTop w:val="0"/>
      <w:marBottom w:val="0"/>
      <w:divBdr>
        <w:top w:val="none" w:sz="0" w:space="0" w:color="auto"/>
        <w:left w:val="none" w:sz="0" w:space="0" w:color="auto"/>
        <w:bottom w:val="none" w:sz="0" w:space="0" w:color="auto"/>
        <w:right w:val="none" w:sz="0" w:space="0" w:color="auto"/>
      </w:divBdr>
    </w:div>
    <w:div w:id="381173970">
      <w:bodyDiv w:val="1"/>
      <w:marLeft w:val="0"/>
      <w:marRight w:val="0"/>
      <w:marTop w:val="0"/>
      <w:marBottom w:val="0"/>
      <w:divBdr>
        <w:top w:val="none" w:sz="0" w:space="0" w:color="auto"/>
        <w:left w:val="none" w:sz="0" w:space="0" w:color="auto"/>
        <w:bottom w:val="none" w:sz="0" w:space="0" w:color="auto"/>
        <w:right w:val="none" w:sz="0" w:space="0" w:color="auto"/>
      </w:divBdr>
    </w:div>
    <w:div w:id="435177833">
      <w:bodyDiv w:val="1"/>
      <w:marLeft w:val="0"/>
      <w:marRight w:val="0"/>
      <w:marTop w:val="0"/>
      <w:marBottom w:val="0"/>
      <w:divBdr>
        <w:top w:val="none" w:sz="0" w:space="0" w:color="auto"/>
        <w:left w:val="none" w:sz="0" w:space="0" w:color="auto"/>
        <w:bottom w:val="none" w:sz="0" w:space="0" w:color="auto"/>
        <w:right w:val="none" w:sz="0" w:space="0" w:color="auto"/>
      </w:divBdr>
    </w:div>
    <w:div w:id="469859786">
      <w:bodyDiv w:val="1"/>
      <w:marLeft w:val="0"/>
      <w:marRight w:val="0"/>
      <w:marTop w:val="0"/>
      <w:marBottom w:val="0"/>
      <w:divBdr>
        <w:top w:val="none" w:sz="0" w:space="0" w:color="auto"/>
        <w:left w:val="none" w:sz="0" w:space="0" w:color="auto"/>
        <w:bottom w:val="none" w:sz="0" w:space="0" w:color="auto"/>
        <w:right w:val="none" w:sz="0" w:space="0" w:color="auto"/>
      </w:divBdr>
    </w:div>
    <w:div w:id="979387095">
      <w:bodyDiv w:val="1"/>
      <w:marLeft w:val="0"/>
      <w:marRight w:val="0"/>
      <w:marTop w:val="0"/>
      <w:marBottom w:val="0"/>
      <w:divBdr>
        <w:top w:val="none" w:sz="0" w:space="0" w:color="auto"/>
        <w:left w:val="none" w:sz="0" w:space="0" w:color="auto"/>
        <w:bottom w:val="none" w:sz="0" w:space="0" w:color="auto"/>
        <w:right w:val="none" w:sz="0" w:space="0" w:color="auto"/>
      </w:divBdr>
    </w:div>
    <w:div w:id="982731178">
      <w:bodyDiv w:val="1"/>
      <w:marLeft w:val="0"/>
      <w:marRight w:val="0"/>
      <w:marTop w:val="0"/>
      <w:marBottom w:val="0"/>
      <w:divBdr>
        <w:top w:val="none" w:sz="0" w:space="0" w:color="auto"/>
        <w:left w:val="none" w:sz="0" w:space="0" w:color="auto"/>
        <w:bottom w:val="none" w:sz="0" w:space="0" w:color="auto"/>
        <w:right w:val="none" w:sz="0" w:space="0" w:color="auto"/>
      </w:divBdr>
    </w:div>
    <w:div w:id="1149640157">
      <w:bodyDiv w:val="1"/>
      <w:marLeft w:val="0"/>
      <w:marRight w:val="0"/>
      <w:marTop w:val="0"/>
      <w:marBottom w:val="0"/>
      <w:divBdr>
        <w:top w:val="none" w:sz="0" w:space="0" w:color="auto"/>
        <w:left w:val="none" w:sz="0" w:space="0" w:color="auto"/>
        <w:bottom w:val="none" w:sz="0" w:space="0" w:color="auto"/>
        <w:right w:val="none" w:sz="0" w:space="0" w:color="auto"/>
      </w:divBdr>
    </w:div>
    <w:div w:id="1632593777">
      <w:bodyDiv w:val="1"/>
      <w:marLeft w:val="0"/>
      <w:marRight w:val="0"/>
      <w:marTop w:val="0"/>
      <w:marBottom w:val="0"/>
      <w:divBdr>
        <w:top w:val="none" w:sz="0" w:space="0" w:color="auto"/>
        <w:left w:val="none" w:sz="0" w:space="0" w:color="auto"/>
        <w:bottom w:val="none" w:sz="0" w:space="0" w:color="auto"/>
        <w:right w:val="none" w:sz="0" w:space="0" w:color="auto"/>
      </w:divBdr>
    </w:div>
    <w:div w:id="1850750490">
      <w:bodyDiv w:val="1"/>
      <w:marLeft w:val="0"/>
      <w:marRight w:val="0"/>
      <w:marTop w:val="0"/>
      <w:marBottom w:val="0"/>
      <w:divBdr>
        <w:top w:val="none" w:sz="0" w:space="0" w:color="auto"/>
        <w:left w:val="none" w:sz="0" w:space="0" w:color="auto"/>
        <w:bottom w:val="none" w:sz="0" w:space="0" w:color="auto"/>
        <w:right w:val="none" w:sz="0" w:space="0" w:color="auto"/>
      </w:divBdr>
      <w:divsChild>
        <w:div w:id="472453541">
          <w:marLeft w:val="0"/>
          <w:marRight w:val="0"/>
          <w:marTop w:val="0"/>
          <w:marBottom w:val="0"/>
          <w:divBdr>
            <w:top w:val="none" w:sz="0" w:space="0" w:color="auto"/>
            <w:left w:val="none" w:sz="0" w:space="0" w:color="auto"/>
            <w:bottom w:val="none" w:sz="0" w:space="0" w:color="auto"/>
            <w:right w:val="none" w:sz="0" w:space="0" w:color="auto"/>
          </w:divBdr>
          <w:divsChild>
            <w:div w:id="305091714">
              <w:marLeft w:val="0"/>
              <w:marRight w:val="0"/>
              <w:marTop w:val="0"/>
              <w:marBottom w:val="0"/>
              <w:divBdr>
                <w:top w:val="none" w:sz="0" w:space="0" w:color="auto"/>
                <w:left w:val="none" w:sz="0" w:space="0" w:color="auto"/>
                <w:bottom w:val="none" w:sz="0" w:space="0" w:color="auto"/>
                <w:right w:val="none" w:sz="0" w:space="0" w:color="auto"/>
              </w:divBdr>
              <w:divsChild>
                <w:div w:id="1938173679">
                  <w:marLeft w:val="0"/>
                  <w:marRight w:val="0"/>
                  <w:marTop w:val="0"/>
                  <w:marBottom w:val="0"/>
                  <w:divBdr>
                    <w:top w:val="none" w:sz="0" w:space="0" w:color="auto"/>
                    <w:left w:val="none" w:sz="0" w:space="0" w:color="auto"/>
                    <w:bottom w:val="none" w:sz="0" w:space="0" w:color="auto"/>
                    <w:right w:val="none" w:sz="0" w:space="0" w:color="auto"/>
                  </w:divBdr>
                  <w:divsChild>
                    <w:div w:id="1254124277">
                      <w:marLeft w:val="0"/>
                      <w:marRight w:val="0"/>
                      <w:marTop w:val="0"/>
                      <w:marBottom w:val="0"/>
                      <w:divBdr>
                        <w:top w:val="none" w:sz="0" w:space="0" w:color="auto"/>
                        <w:left w:val="none" w:sz="0" w:space="0" w:color="auto"/>
                        <w:bottom w:val="none" w:sz="0" w:space="0" w:color="auto"/>
                        <w:right w:val="none" w:sz="0" w:space="0" w:color="auto"/>
                      </w:divBdr>
                      <w:divsChild>
                        <w:div w:id="14784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036500">
      <w:bodyDiv w:val="1"/>
      <w:marLeft w:val="0"/>
      <w:marRight w:val="0"/>
      <w:marTop w:val="0"/>
      <w:marBottom w:val="0"/>
      <w:divBdr>
        <w:top w:val="none" w:sz="0" w:space="0" w:color="auto"/>
        <w:left w:val="none" w:sz="0" w:space="0" w:color="auto"/>
        <w:bottom w:val="none" w:sz="0" w:space="0" w:color="auto"/>
        <w:right w:val="none" w:sz="0" w:space="0" w:color="auto"/>
      </w:divBdr>
    </w:div>
    <w:div w:id="213400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le.Porter@GE.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0296F735BCC34786E8ED3EB7F8B113" ma:contentTypeVersion="0" ma:contentTypeDescription="Create a new document." ma:contentTypeScope="" ma:versionID="68cb00b305d1180181766da50a7c7d2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EE68A-81CA-4C93-BF6B-68582A1381A5}">
  <ds:schemaRefs>
    <ds:schemaRef ds:uri="http://purl.org/dc/elements/1.1/"/>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E2EA475-1F83-497E-A5C1-F4AFDBE9A9A8}">
  <ds:schemaRefs>
    <ds:schemaRef ds:uri="http://schemas.microsoft.com/sharepoint/v3/contenttype/forms"/>
  </ds:schemaRefs>
</ds:datastoreItem>
</file>

<file path=customXml/itemProps3.xml><?xml version="1.0" encoding="utf-8"?>
<ds:datastoreItem xmlns:ds="http://schemas.openxmlformats.org/officeDocument/2006/customXml" ds:itemID="{DB6D1B00-7025-4273-A5E1-769FB0DF6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F9D301-4331-43AA-A826-8BB6DA33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15</Pages>
  <Words>4629</Words>
  <Characters>26389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SJP</dc:creator>
  <cp:lastModifiedBy>Miles, Brenda</cp:lastModifiedBy>
  <cp:revision>47</cp:revision>
  <cp:lastPrinted>2016-12-29T13:32:00Z</cp:lastPrinted>
  <dcterms:created xsi:type="dcterms:W3CDTF">2016-12-02T15:08:00Z</dcterms:created>
  <dcterms:modified xsi:type="dcterms:W3CDTF">2016-12-29T13:40:00Z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0x010100A60296F735BCC34786E8ED3EB7F8B113</vt:lpwstr>
  </property>
</Properties>
</file>