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SUPPORTING STATEMENT FOR NEW AND</w:t>
      </w:r>
    </w:p>
    <w:p>
      <w:pPr>
        <w:suppressAutoHyphens w:val="true"/>
        <w:spacing w:before="0" w:after="24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REVISED INFORMATION COLLECTIONS</w:t>
      </w:r>
    </w:p>
    <w:p>
      <w:pPr>
        <w:tabs>
          <w:tab w:val="center" w:pos="4680" w:leader="none"/>
        </w:tabs>
        <w:suppressAutoHyphens w:val="true"/>
        <w:spacing w:before="0" w:after="24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OMB CONTROL NUMBER 3038-0024</w:t>
      </w:r>
    </w:p>
    <w:p>
      <w:pPr>
        <w:tabs>
          <w:tab w:val="center" w:pos="4680" w:leader="none"/>
        </w:tabs>
        <w:suppressAutoHyphens w:val="true"/>
        <w:spacing w:before="0" w:after="240" w:line="240"/>
        <w:ind w:right="0" w:left="0" w:firstLine="0"/>
        <w:jc w:val="both"/>
        <w:rPr>
          <w:rFonts w:ascii="Times New Roman" w:hAnsi="Times New Roman" w:cs="Times New Roman" w:eastAsia="Times New Roman"/>
          <w:b/>
          <w:color w:val="auto"/>
          <w:spacing w:val="0"/>
          <w:position w:val="0"/>
          <w:sz w:val="20"/>
          <w:shd w:fill="auto" w:val="clear"/>
        </w:rPr>
      </w:pPr>
    </w:p>
    <w:p>
      <w:pPr>
        <w:spacing w:before="0" w:after="24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Justification</w:t>
      </w:r>
    </w:p>
    <w:p>
      <w:pPr>
        <w:tabs>
          <w:tab w:val="left" w:pos="16776496" w:leader="none"/>
          <w:tab w:val="left" w:pos="0" w:leader="none"/>
        </w:tabs>
        <w:spacing w:before="0" w:after="240" w:line="240"/>
        <w:ind w:right="0" w:left="720" w:hanging="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w:t>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pPr>
        <w:spacing w:before="0" w:after="0" w:line="240"/>
        <w:ind w:right="0" w:left="720" w:hanging="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Commodity Futures Trading Commission is the independent federal regulatory agency charged with providing various forms of customer protection so that users of the commodity markets can be assured of the financial integrity of the markets and the intermediaries that they employ in their trading activities.  Part 1 of the Commission’s regulations requires, among other things, that commodity brokers – known as futures commission merchants (FCMs) comply with minimum capital requirements.  In order to monitor compliance with these financial standards, the Commission has required FCMs to file financial monthly reports with the Commission and with the designated self-regulatory organization of which they are members as well as to report to the Commission should capital levels drop below prescribed minimums. (See Commission Rules 1.10, 1.12, 1.15, 1.16 and 1.17, 17 CFR 1.10, 1.12, 1.15, 1.16 and 1.17.)</w:t>
      </w:r>
    </w:p>
    <w:p>
      <w:pPr>
        <w:spacing w:before="0" w:after="0" w:line="240"/>
        <w:ind w:right="0" w:left="0" w:firstLine="72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Section 731 of the Dodd-Frank Wall Street Reform and Consumer Protection Act (“Dodd-Frank Act”), P.L. 111-203, 124 stat. 1376, amended the Commodity Exchange Act (“CEA”), 7 U.S.C. §§ 1 </w:t>
      </w:r>
      <w:r>
        <w:rPr>
          <w:rFonts w:ascii="Times New Roman" w:hAnsi="Times New Roman" w:cs="Times New Roman" w:eastAsia="Times New Roman"/>
          <w:i/>
          <w:color w:val="000000"/>
          <w:spacing w:val="0"/>
          <w:position w:val="0"/>
          <w:sz w:val="20"/>
          <w:shd w:fill="auto" w:val="clear"/>
        </w:rPr>
        <w:t xml:space="preserve">et seq</w:t>
      </w:r>
      <w:r>
        <w:rPr>
          <w:rFonts w:ascii="Times New Roman" w:hAnsi="Times New Roman" w:cs="Times New Roman" w:eastAsia="Times New Roman"/>
          <w:color w:val="000000"/>
          <w:spacing w:val="0"/>
          <w:position w:val="0"/>
          <w:sz w:val="20"/>
          <w:shd w:fill="auto" w:val="clear"/>
        </w:rPr>
        <w:t xml:space="preserve">., to add, as section 4s(e) thereof, provisions concerning the setting of minimum capital requirements for swap dealers (“SDs”) and major swap participants (“MSPs”).</w:t>
      </w:r>
      <w:r>
        <w:rPr>
          <w:rFonts w:ascii="Times New Roman" w:hAnsi="Times New Roman" w:cs="Times New Roman" w:eastAsia="Times New Roman"/>
          <w:color w:val="auto"/>
          <w:spacing w:val="0"/>
          <w:position w:val="0"/>
          <w:sz w:val="20"/>
          <w:shd w:fill="auto" w:val="clear"/>
        </w:rPr>
        <w:t xml:space="preserve"> Accordingly, this collection is being amended to reflect the reporting and recordkeeping requirements associated with the Commission’s proposed capital and margin rules for SDs and MSPs, as well as with proposed conforming rules for FCMs that will operate as SDs.   The collections of information that are proposed by this rulemaking are necessary to implement Section 4s(e) of the CEA, which expressly requires the Commission to adopt rules governing capital requirements for SDs and MSPs. Also, the information and documentation requirements to make the capital comparability determinations would be necessary for the Commission to consider whether the requirements of the foreign rules are comparable to the applicable requirements of the Commission’s rules with respect to capital adequacy and financial reporting requirements for SDs or MSPs.</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tabs>
          <w:tab w:val="left" w:pos="16776496" w:leader="none"/>
        </w:tabs>
        <w:spacing w:before="0" w:after="240" w:line="240"/>
        <w:ind w:right="0" w:left="720" w:hanging="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w:t>
        <w:tab/>
        <w:t xml:space="preserve">Indicate how, by whom, and for what purpose the data would be used.  Except for a new collection, indicate the actual use the agency has made of the information received from the current collection.</w:t>
      </w:r>
    </w:p>
    <w:p>
      <w:pPr>
        <w:spacing w:before="0" w:after="0" w:line="240"/>
        <w:ind w:right="0" w:left="0" w:firstLine="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FCMs and IBs (and also SDs and MSPs after adoption of the proposed rules) file financial statements  with the Commission and the designated self-regulatory organizations (DSROs) of which they are members for the purpose of ensuring that filers are meeting their obligations as a CFTC registrant.   </w:t>
      </w:r>
    </w:p>
    <w:p>
      <w:pPr>
        <w:spacing w:before="0" w:after="0" w:line="240"/>
        <w:ind w:right="0" w:left="0" w:firstLine="72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72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Information surrounding various firm risk calculations and components will be submitted to the Commission by SDs and MSPs that wish to use models to compute certain market risk and credit risk charges when establishing minimum net capital in lieu of standard table-based capital calculations.  The information may be submitted electronically or by hard copy to the Commission.  The collection of information will be used by the Commission to evaluate whether the SDs and MSPs capital models satisfy the regulatory standards and other requirements established by the regulations.  </w:t>
      </w:r>
    </w:p>
    <w:p>
      <w:pPr>
        <w:spacing w:before="0" w:after="0" w:line="240"/>
        <w:ind w:right="0" w:left="0" w:firstLine="72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72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The substituted compliance documentation will be submitted to the Commission by SDs and MSPs that wish to seek a determination by the Commission.  The Commission will use this information to determine whether such entities operate in a foreign jurisdiction that has comparable regulatory requirements to the Commission for minimum capital and financial reporting requirements.  SDs and MSPs may submit the substituted compliance documentation electronically or by hard copy.  The substituted compliance documentation will provide an analysis and comparison of the foreign jurisdictions regulations to the Commission’s regulations for the purpose of providing the Commission with information necessary to make a determination that the Commission’s regulatory objectives would not be compromised if the Commission authorized the SDs and MSPs to satisfy its regulatory obligations under the Commission’s regulations by complying with the rules and regulations of the foreign jurisdiction.</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p>
    <w:p>
      <w:pPr>
        <w:keepNext w:val="true"/>
        <w:tabs>
          <w:tab w:val="left" w:pos="16776496" w:leader="none"/>
          <w:tab w:val="left" w:pos="0" w:leader="none"/>
        </w:tabs>
        <w:spacing w:before="0" w:after="240" w:line="240"/>
        <w:ind w:right="0" w:left="720" w:hanging="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w:t>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pPr>
        <w:spacing w:before="0" w:after="0" w:line="240"/>
        <w:ind w:right="0" w:left="0" w:firstLine="72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Commission’s procedures enable FCMs and IBs to comply with the Rule 1.10 filing requirement by submitting electronic filings to their DSRO, with copies provided to the Commission.  The same will be applicable for filing requirements being proposed for SDs and MSPs.  Much of the information required is included as schedules to such electronic filings.</w:t>
      </w:r>
    </w:p>
    <w:p>
      <w:pPr>
        <w:tabs>
          <w:tab w:val="left" w:pos="16776496" w:leader="none"/>
          <w:tab w:val="left" w:pos="0" w:leader="none"/>
        </w:tabs>
        <w:spacing w:before="0" w:after="240" w:line="240"/>
        <w:ind w:right="0" w:left="0" w:firstLine="0"/>
        <w:jc w:val="both"/>
        <w:rPr>
          <w:rFonts w:ascii="Times New Roman" w:hAnsi="Times New Roman" w:cs="Times New Roman" w:eastAsia="Times New Roman"/>
          <w:color w:val="auto"/>
          <w:spacing w:val="0"/>
          <w:position w:val="0"/>
          <w:sz w:val="20"/>
          <w:shd w:fill="auto" w:val="clear"/>
        </w:rPr>
      </w:pPr>
    </w:p>
    <w:p>
      <w:pPr>
        <w:tabs>
          <w:tab w:val="left" w:pos="16776496" w:leader="none"/>
          <w:tab w:val="left" w:pos="0" w:leader="none"/>
        </w:tabs>
        <w:spacing w:before="0" w:after="240" w:line="240"/>
        <w:ind w:right="0" w:left="720" w:hanging="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w:t>
        <w:tab/>
        <w:t xml:space="preserve">Describe efforts to identify duplication.  Show specifically why any similar information already available cannot be used or modified for use for the purposes described in Item 2 above.</w:t>
      </w:r>
    </w:p>
    <w:p>
      <w:pPr>
        <w:spacing w:before="0" w:after="0" w:line="240"/>
        <w:ind w:right="0" w:left="0" w:firstLine="72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collection of information includes the submission of information from new registrants, the SDs and MSPs that are engaged in activities that implicate new regulatory requirements.  These new registrants would not have previously submitted such information to the Commission.  Therefore, the required information is not already collected by the Commission for any other purpose, collected by any other agency, or available for public disclosure through any other source.  However, with respect to FCMs that will operate as SDs, the rules proposed by the Commission will not impose wholly new obligations on these FCM-SDs, but rather build upon the existing minimum financial capital requirements that are already in effect so as to avoid duplicative or inconsistent collections of information.</w:t>
      </w:r>
    </w:p>
    <w:p>
      <w:pPr>
        <w:tabs>
          <w:tab w:val="left" w:pos="16776496" w:leader="none"/>
        </w:tabs>
        <w:spacing w:before="0" w:after="24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16776496" w:leader="none"/>
          <w:tab w:val="left" w:pos="0" w:leader="none"/>
        </w:tabs>
        <w:spacing w:before="0" w:after="240" w:line="240"/>
        <w:ind w:right="0" w:left="720" w:hanging="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w:t>
        <w:tab/>
        <w:t xml:space="preserve">If the collection of information involves small business or other small entities (Item 5 of OMB From 83-I), describe the methods used to minimize burden.</w:t>
      </w:r>
    </w:p>
    <w:p>
      <w:pPr>
        <w:tabs>
          <w:tab w:val="left" w:pos="16776496" w:leader="none"/>
          <w:tab w:val="left" w:pos="0" w:leader="none"/>
        </w:tabs>
        <w:spacing w:before="0" w:after="24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Information required under the regulation does not involve any small business or small entities. The SDs and MSPs that will be subject to regulation by the Commission under the Dodd-Frank Act are expected comprise only the largest global financial firms, as the statute contemplates.  Accordingly, the collections of information in the proposed rules will not involve any small business or small entity.</w:t>
      </w:r>
    </w:p>
    <w:p>
      <w:pPr>
        <w:spacing w:before="0" w:after="0" w:line="240"/>
        <w:ind w:right="0" w:left="0" w:firstLine="720"/>
        <w:jc w:val="both"/>
        <w:rPr>
          <w:rFonts w:ascii="Times New Roman" w:hAnsi="Times New Roman" w:cs="Times New Roman" w:eastAsia="Times New Roman"/>
          <w:color w:val="auto"/>
          <w:spacing w:val="0"/>
          <w:position w:val="0"/>
          <w:sz w:val="20"/>
          <w:shd w:fill="auto" w:val="clear"/>
        </w:rPr>
      </w:pPr>
    </w:p>
    <w:p>
      <w:pPr>
        <w:tabs>
          <w:tab w:val="left" w:pos="16776496" w:leader="none"/>
        </w:tabs>
        <w:spacing w:before="0" w:after="24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6.</w:t>
        <w:tab/>
        <w:t xml:space="preserve">Describe the consequence to the Federal Program or policy activities if the collection were conducted less frequently as well as any technical or legal obstacles to reducing burden.</w:t>
      </w:r>
    </w:p>
    <w:p>
      <w:pPr>
        <w:tabs>
          <w:tab w:val="left" w:pos="916"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Without frequent reporting the Commodity Futures Trading Commission would be unable to adequately monitor FCM, IB, SD, and MSP compliance with financial standards or, as applicable, to provide timely customer protection which assures users of the financial integrity of the intermediaries that they employ in their  CFTC regulated trading activities.</w:t>
      </w:r>
    </w:p>
    <w:p>
      <w:pPr>
        <w:spacing w:before="0" w:after="0" w:line="240"/>
        <w:ind w:right="0" w:left="0" w:firstLine="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0" w:line="240"/>
        <w:ind w:right="0" w:left="0" w:firstLine="72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An SD or MSP is required to submit documentation in support of a substituted compliance determination only once.  </w:t>
      </w:r>
    </w:p>
    <w:p>
      <w:pPr>
        <w:spacing w:before="0" w:after="0" w:line="240"/>
        <w:ind w:right="0" w:left="0" w:firstLine="720"/>
        <w:jc w:val="both"/>
        <w:rPr>
          <w:rFonts w:ascii="Times New Roman" w:hAnsi="Times New Roman" w:cs="Times New Roman" w:eastAsia="Times New Roman"/>
          <w:color w:val="000000"/>
          <w:spacing w:val="0"/>
          <w:position w:val="0"/>
          <w:sz w:val="20"/>
          <w:shd w:fill="auto" w:val="clear"/>
        </w:rPr>
      </w:pPr>
    </w:p>
    <w:p>
      <w:pPr>
        <w:tabs>
          <w:tab w:val="left" w:pos="16776496" w:leader="none"/>
          <w:tab w:val="left" w:pos="0" w:leader="none"/>
        </w:tabs>
        <w:spacing w:before="0" w:after="240" w:line="240"/>
        <w:ind w:right="0" w:left="720" w:hanging="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7.</w:t>
        <w:tab/>
        <w:t xml:space="preserve">Explain any special circumstances that require the collection to be conducted in a manner:</w:t>
      </w:r>
    </w:p>
    <w:p>
      <w:pPr>
        <w:numPr>
          <w:ilvl w:val="0"/>
          <w:numId w:val="31"/>
        </w:numPr>
        <w:tabs>
          <w:tab w:val="left" w:pos="936" w:leader="none"/>
          <w:tab w:val="left" w:pos="16776496" w:leader="none"/>
          <w:tab w:val="left" w:pos="0" w:leader="none"/>
          <w:tab w:val="left" w:pos="720" w:leader="none"/>
        </w:tabs>
        <w:spacing w:before="0" w:after="240" w:line="240"/>
        <w:ind w:right="0" w:left="108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requiring respondents to report information to the agency more often than quarterly;</w:t>
      </w:r>
    </w:p>
    <w:p>
      <w:pPr>
        <w:spacing w:before="0" w:after="0" w:line="240"/>
        <w:ind w:right="0" w:left="0" w:firstLine="72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See responses to questions 1, 2 and 6.</w:t>
      </w:r>
    </w:p>
    <w:p>
      <w:pPr>
        <w:tabs>
          <w:tab w:val="left" w:pos="16776496" w:leader="none"/>
        </w:tabs>
        <w:spacing w:before="0" w:after="240" w:line="240"/>
        <w:ind w:right="0" w:left="0" w:firstLine="0"/>
        <w:jc w:val="both"/>
        <w:rPr>
          <w:rFonts w:ascii="Times New Roman" w:hAnsi="Times New Roman" w:cs="Times New Roman" w:eastAsia="Times New Roman"/>
          <w:color w:val="auto"/>
          <w:spacing w:val="0"/>
          <w:position w:val="0"/>
          <w:sz w:val="20"/>
          <w:shd w:fill="auto" w:val="clear"/>
        </w:rPr>
      </w:pPr>
    </w:p>
    <w:p>
      <w:pPr>
        <w:numPr>
          <w:ilvl w:val="0"/>
          <w:numId w:val="34"/>
        </w:numPr>
        <w:tabs>
          <w:tab w:val="left" w:pos="936" w:leader="none"/>
          <w:tab w:val="left" w:pos="16776496" w:leader="none"/>
          <w:tab w:val="left" w:pos="0" w:leader="none"/>
          <w:tab w:val="left" w:pos="720" w:leader="none"/>
        </w:tabs>
        <w:spacing w:before="0" w:after="240" w:line="240"/>
        <w:ind w:right="0" w:left="108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requiring respondents to prepare a written response to a collection of information in fewer than 30 days after receipt of it:</w:t>
      </w:r>
    </w:p>
    <w:p>
      <w:pPr>
        <w:tabs>
          <w:tab w:val="left" w:pos="16776496" w:leader="none"/>
          <w:tab w:val="left" w:pos="0" w:leader="none"/>
          <w:tab w:val="left" w:pos="720" w:leader="none"/>
        </w:tabs>
        <w:spacing w:before="0" w:after="24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The rules applicable to SDs, MSPs, and FCMs that will operate as SDs contain occasional reporting obligations that may require response in fewer than 30 days.  These occasional reporting obligations are limited to circumstances in which the SD, MSP, or FCM operating as an SD already have developed such reports, or circumstances in which the financial or operating condition of the SD, MSP, or FCM may be in question.</w:t>
      </w:r>
    </w:p>
    <w:p>
      <w:pPr>
        <w:numPr>
          <w:ilvl w:val="0"/>
          <w:numId w:val="36"/>
        </w:numPr>
        <w:tabs>
          <w:tab w:val="left" w:pos="936" w:leader="none"/>
          <w:tab w:val="left" w:pos="16776496" w:leader="none"/>
          <w:tab w:val="left" w:pos="0" w:leader="none"/>
          <w:tab w:val="left" w:pos="720" w:leader="none"/>
        </w:tabs>
        <w:spacing w:before="0" w:after="240" w:line="240"/>
        <w:ind w:right="0" w:left="108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requiring respondents to submit more than an original and two copies of any document;</w:t>
      </w:r>
    </w:p>
    <w:p>
      <w:pPr>
        <w:tabs>
          <w:tab w:val="left" w:pos="16776496" w:leader="none"/>
          <w:tab w:val="left" w:pos="0" w:leader="none"/>
          <w:tab w:val="left" w:pos="720" w:leader="none"/>
        </w:tabs>
        <w:spacing w:before="0" w:after="24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Respondents are not required to submit more than an original and two copies of any documents to the Commission or third parties.</w:t>
      </w:r>
    </w:p>
    <w:p>
      <w:pPr>
        <w:numPr>
          <w:ilvl w:val="0"/>
          <w:numId w:val="38"/>
        </w:numPr>
        <w:tabs>
          <w:tab w:val="left" w:pos="936" w:leader="none"/>
          <w:tab w:val="left" w:pos="16776496" w:leader="none"/>
          <w:tab w:val="left" w:pos="0" w:leader="none"/>
          <w:tab w:val="left" w:pos="720" w:leader="none"/>
        </w:tabs>
        <w:spacing w:before="0" w:after="240" w:line="240"/>
        <w:ind w:right="0" w:left="108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requiring respondents to retain records other than health, medical, government contract, grant-in-aid, or tax records, for more than three years;</w:t>
      </w:r>
    </w:p>
    <w:p>
      <w:pPr>
        <w:tabs>
          <w:tab w:val="left" w:pos="16776496" w:leader="none"/>
          <w:tab w:val="left" w:pos="0" w:leader="none"/>
          <w:tab w:val="left" w:pos="720" w:leader="none"/>
        </w:tabs>
        <w:spacing w:before="0" w:after="24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Not applicable.</w:t>
      </w:r>
    </w:p>
    <w:p>
      <w:pPr>
        <w:numPr>
          <w:ilvl w:val="0"/>
          <w:numId w:val="40"/>
        </w:numPr>
        <w:tabs>
          <w:tab w:val="left" w:pos="936" w:leader="none"/>
          <w:tab w:val="left" w:pos="16776496" w:leader="none"/>
          <w:tab w:val="left" w:pos="0" w:leader="none"/>
          <w:tab w:val="left" w:pos="720" w:leader="none"/>
        </w:tabs>
        <w:spacing w:before="0" w:after="240" w:line="240"/>
        <w:ind w:right="0" w:left="108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in connection with a statistical survey, that is not designed to produce valid and reliable results that can be generalized to the universe of study; </w:t>
      </w:r>
    </w:p>
    <w:p>
      <w:pPr>
        <w:tabs>
          <w:tab w:val="left" w:pos="16776496" w:leader="none"/>
          <w:tab w:val="left" w:pos="0" w:leader="none"/>
          <w:tab w:val="left" w:pos="720" w:leader="none"/>
        </w:tabs>
        <w:spacing w:before="0" w:after="240" w:line="240"/>
        <w:ind w:right="0" w:left="936" w:hanging="216"/>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Not applicable.</w:t>
      </w:r>
    </w:p>
    <w:p>
      <w:pPr>
        <w:tabs>
          <w:tab w:val="left" w:pos="16776496" w:leader="none"/>
          <w:tab w:val="left" w:pos="0" w:leader="none"/>
          <w:tab w:val="left" w:pos="720" w:leader="none"/>
        </w:tabs>
        <w:spacing w:before="0" w:after="240" w:line="240"/>
        <w:ind w:right="0" w:left="936" w:firstLine="0"/>
        <w:jc w:val="both"/>
        <w:rPr>
          <w:rFonts w:ascii="Times New Roman" w:hAnsi="Times New Roman" w:cs="Times New Roman" w:eastAsia="Times New Roman"/>
          <w:color w:val="auto"/>
          <w:spacing w:val="0"/>
          <w:position w:val="0"/>
          <w:sz w:val="20"/>
          <w:shd w:fill="auto" w:val="clear"/>
        </w:rPr>
      </w:pPr>
    </w:p>
    <w:p>
      <w:pPr>
        <w:numPr>
          <w:ilvl w:val="0"/>
          <w:numId w:val="43"/>
        </w:numPr>
        <w:tabs>
          <w:tab w:val="left" w:pos="16776496" w:leader="none"/>
          <w:tab w:val="left" w:pos="0" w:leader="none"/>
          <w:tab w:val="left" w:pos="720" w:leader="none"/>
          <w:tab w:val="left" w:pos="1080" w:leader="none"/>
        </w:tabs>
        <w:spacing w:before="0" w:after="240" w:line="240"/>
        <w:ind w:right="0" w:left="108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requiring the use of a statistical data classification that has not been reviewed and approved by OMB;</w:t>
      </w:r>
    </w:p>
    <w:p>
      <w:pPr>
        <w:tabs>
          <w:tab w:val="left" w:pos="16776496" w:leader="none"/>
          <w:tab w:val="left" w:pos="0" w:leader="none"/>
          <w:tab w:val="left" w:pos="720" w:leader="none"/>
        </w:tabs>
        <w:spacing w:before="0" w:after="24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Not applicable.</w:t>
      </w:r>
    </w:p>
    <w:p>
      <w:pPr>
        <w:numPr>
          <w:ilvl w:val="0"/>
          <w:numId w:val="45"/>
        </w:numPr>
        <w:tabs>
          <w:tab w:val="left" w:pos="936" w:leader="none"/>
          <w:tab w:val="left" w:pos="16776496" w:leader="none"/>
          <w:tab w:val="left" w:pos="0" w:leader="none"/>
          <w:tab w:val="left" w:pos="720" w:leader="none"/>
        </w:tabs>
        <w:spacing w:before="0" w:after="240" w:line="240"/>
        <w:ind w:right="0" w:left="108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pPr>
        <w:numPr>
          <w:ilvl w:val="0"/>
          <w:numId w:val="45"/>
        </w:numPr>
        <w:tabs>
          <w:tab w:val="left" w:pos="16776496" w:leader="none"/>
          <w:tab w:val="left" w:pos="0" w:leader="none"/>
          <w:tab w:val="left" w:pos="720" w:leader="none"/>
          <w:tab w:val="left" w:pos="1080" w:leader="none"/>
        </w:tabs>
        <w:spacing w:before="0" w:after="240" w:line="240"/>
        <w:ind w:right="0" w:left="108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b/>
          <w:color w:val="auto"/>
          <w:spacing w:val="0"/>
          <w:position w:val="0"/>
          <w:sz w:val="20"/>
          <w:shd w:fill="auto" w:val="clear"/>
        </w:rPr>
        <w:t xml:space="preserve">The collection does not involve any pledge of confidentiality, requiring respondents to submit proprietary trade secrets, or other confidential information unless the agency can demonstrate that it has instituted procedures to protect the information's confidentiality to the extent permitted by law.</w:t>
      </w:r>
    </w:p>
    <w:p>
      <w:pPr>
        <w:tabs>
          <w:tab w:val="left" w:pos="16776496" w:leader="none"/>
          <w:tab w:val="left" w:pos="0" w:leader="none"/>
          <w:tab w:val="left" w:pos="720" w:leader="none"/>
        </w:tabs>
        <w:spacing w:before="0" w:after="24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The Commission has procedures to protect the confidentiality of an applicant’s or registrant’s data.  These are set forth in the Commission’s regulations at parts 145 and 147 of title 17 of the Code of Federal Regulations.</w:t>
      </w:r>
    </w:p>
    <w:p>
      <w:pPr>
        <w:tabs>
          <w:tab w:val="left" w:pos="16776496" w:leader="none"/>
          <w:tab w:val="left" w:pos="0" w:leader="none"/>
        </w:tabs>
        <w:spacing w:before="0" w:after="240" w:line="240"/>
        <w:ind w:right="0" w:left="720" w:hanging="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8.</w:t>
        <w:tab/>
        <w:t xml:space="preserve">If applicable, provide a copy and identify the date and page number of publication in the </w:t>
      </w:r>
      <w:r>
        <w:rPr>
          <w:rFonts w:ascii="Times New Roman" w:hAnsi="Times New Roman" w:cs="Times New Roman" w:eastAsia="Times New Roman"/>
          <w:b/>
          <w:i/>
          <w:color w:val="auto"/>
          <w:spacing w:val="0"/>
          <w:position w:val="0"/>
          <w:sz w:val="20"/>
          <w:shd w:fill="auto" w:val="clear"/>
        </w:rPr>
        <w:t xml:space="preserve">Federal Register</w:t>
      </w:r>
      <w:r>
        <w:rPr>
          <w:rFonts w:ascii="Times New Roman" w:hAnsi="Times New Roman" w:cs="Times New Roman" w:eastAsia="Times New Roman"/>
          <w:b/>
          <w:color w:val="auto"/>
          <w:spacing w:val="0"/>
          <w:position w:val="0"/>
          <w:sz w:val="20"/>
          <w:shd w:fill="auto" w:val="clear"/>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pPr>
        <w:tabs>
          <w:tab w:val="left" w:pos="16776496" w:leader="none"/>
          <w:tab w:val="left" w:pos="0" w:leader="none"/>
        </w:tabs>
        <w:spacing w:before="0" w:after="24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In the proposing Federal Register release, the Commission seeks public comment on any aspect of the proposed collection of information. </w:t>
      </w:r>
    </w:p>
    <w:p>
      <w:pPr>
        <w:tabs>
          <w:tab w:val="left" w:pos="16776496" w:leader="none"/>
          <w:tab w:val="left" w:pos="0" w:leader="none"/>
        </w:tabs>
        <w:spacing w:before="0" w:after="240" w:line="240"/>
        <w:ind w:right="0" w:left="720" w:hanging="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9.</w:t>
        <w:tab/>
        <w:t xml:space="preserve">Explain any decision to provide any payment or gift to respondents, other than remuneration of contractors or grantees.</w:t>
      </w:r>
    </w:p>
    <w:p>
      <w:pPr>
        <w:tabs>
          <w:tab w:val="left" w:pos="16776496" w:leader="none"/>
        </w:tabs>
        <w:spacing w:before="0" w:after="24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Not applicable. The Commission has neither considered nor made any payment or gift to a respondent.</w:t>
      </w:r>
    </w:p>
    <w:p>
      <w:pPr>
        <w:tabs>
          <w:tab w:val="left" w:pos="16776496" w:leader="none"/>
        </w:tabs>
        <w:spacing w:before="0" w:after="240" w:line="240"/>
        <w:ind w:right="0" w:left="720" w:hanging="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10.</w:t>
        <w:tab/>
        <w:t xml:space="preserve">Describe any assurance of confidentiality provided to respondents and the basis for the assurance in statute, regulations, or agency policy.</w:t>
      </w:r>
    </w:p>
    <w:p>
      <w:pPr>
        <w:spacing w:before="0" w:after="0" w:line="240"/>
        <w:ind w:right="0" w:left="0" w:firstLine="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pPr>
        <w:tabs>
          <w:tab w:val="left" w:pos="16776496" w:leader="none"/>
        </w:tabs>
        <w:spacing w:before="0" w:after="240" w:line="240"/>
        <w:ind w:right="0" w:left="0" w:firstLine="0"/>
        <w:jc w:val="both"/>
        <w:rPr>
          <w:rFonts w:ascii="Times New Roman" w:hAnsi="Times New Roman" w:cs="Times New Roman" w:eastAsia="Times New Roman"/>
          <w:b/>
          <w:color w:val="auto"/>
          <w:spacing w:val="0"/>
          <w:position w:val="0"/>
          <w:sz w:val="20"/>
          <w:shd w:fill="auto" w:val="clear"/>
        </w:rPr>
      </w:pPr>
    </w:p>
    <w:p>
      <w:pPr>
        <w:tabs>
          <w:tab w:val="left" w:pos="16776496" w:leader="none"/>
        </w:tabs>
        <w:spacing w:before="0" w:after="240" w:line="240"/>
        <w:ind w:right="0" w:left="720" w:hanging="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11.</w:t>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pPr>
        <w:tabs>
          <w:tab w:val="left" w:pos="16776496"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regulations covered by this collection do not require the giving of sensitive information, as that term is used in Question 11.</w:t>
      </w:r>
    </w:p>
    <w:p>
      <w:pPr>
        <w:tabs>
          <w:tab w:val="left" w:pos="16776496"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0"/>
          <w:shd w:fill="auto" w:val="clear"/>
        </w:rPr>
      </w:pPr>
    </w:p>
    <w:p>
      <w:pPr>
        <w:tabs>
          <w:tab w:val="left" w:pos="16776496" w:leader="none"/>
          <w:tab w:val="left" w:pos="0" w:leader="none"/>
        </w:tabs>
        <w:spacing w:before="0" w:after="24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12.</w:t>
        <w:tab/>
        <w:t xml:space="preserve">Provide estimates of the hour burden of the collection of information.  The Statement should:</w:t>
      </w:r>
    </w:p>
    <w:p>
      <w:pPr>
        <w:numPr>
          <w:ilvl w:val="0"/>
          <w:numId w:val="58"/>
        </w:numPr>
        <w:tabs>
          <w:tab w:val="left" w:pos="936" w:leader="none"/>
          <w:tab w:val="left" w:pos="16776496" w:leader="none"/>
          <w:tab w:val="left" w:pos="0" w:leader="none"/>
          <w:tab w:val="left" w:pos="720" w:leader="none"/>
        </w:tabs>
        <w:spacing w:before="0" w:after="240" w:line="240"/>
        <w:ind w:right="0" w:left="108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pPr>
        <w:numPr>
          <w:ilvl w:val="0"/>
          <w:numId w:val="58"/>
        </w:numPr>
        <w:tabs>
          <w:tab w:val="left" w:pos="936" w:leader="none"/>
          <w:tab w:val="left" w:pos="16776496" w:leader="none"/>
          <w:tab w:val="left" w:pos="0" w:leader="none"/>
          <w:tab w:val="left" w:pos="720" w:leader="none"/>
        </w:tabs>
        <w:spacing w:before="0" w:after="240" w:line="240"/>
        <w:ind w:right="0" w:left="108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If the request for approval covers more than one form, provide separate hour burden estimates for each form and aggregate the hour burdens in Item 13 of OMB Form 83-I.</w:t>
      </w:r>
    </w:p>
    <w:p>
      <w:pPr>
        <w:numPr>
          <w:ilvl w:val="0"/>
          <w:numId w:val="58"/>
        </w:numPr>
        <w:tabs>
          <w:tab w:val="left" w:pos="936" w:leader="none"/>
          <w:tab w:val="left" w:pos="16776496" w:leader="none"/>
          <w:tab w:val="left" w:pos="0" w:leader="none"/>
          <w:tab w:val="left" w:pos="720" w:leader="none"/>
        </w:tabs>
        <w:spacing w:before="0" w:after="240" w:line="240"/>
        <w:ind w:right="0" w:left="108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pPr>
        <w:spacing w:before="0" w:after="0" w:line="240"/>
        <w:ind w:right="0" w:left="0" w:firstLine="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See Attachment A.</w:t>
      </w:r>
      <w:r>
        <w:rPr>
          <w:rFonts w:ascii="Times New Roman" w:hAnsi="Times New Roman" w:cs="Times New Roman" w:eastAsia="Times New Roman"/>
          <w:color w:val="auto"/>
          <w:spacing w:val="0"/>
          <w:position w:val="0"/>
          <w:sz w:val="20"/>
          <w:shd w:fill="auto" w:val="clear"/>
        </w:rPr>
        <w:t xml:space="preserve"> </w:t>
      </w:r>
    </w:p>
    <w:p>
      <w:pPr>
        <w:spacing w:before="0" w:after="0" w:line="240"/>
        <w:ind w:right="0" w:left="0" w:firstLine="720"/>
        <w:jc w:val="both"/>
        <w:rPr>
          <w:rFonts w:ascii="Times New Roman" w:hAnsi="Times New Roman" w:cs="Times New Roman" w:eastAsia="Times New Roman"/>
          <w:color w:val="000000"/>
          <w:spacing w:val="0"/>
          <w:position w:val="0"/>
          <w:sz w:val="20"/>
          <w:shd w:fill="auto" w:val="clear"/>
        </w:rPr>
      </w:pPr>
    </w:p>
    <w:p>
      <w:pPr>
        <w:keepNext w:val="true"/>
        <w:tabs>
          <w:tab w:val="left" w:pos="16776496" w:leader="none"/>
          <w:tab w:val="left" w:pos="0" w:leader="none"/>
        </w:tabs>
        <w:spacing w:before="0" w:after="240" w:line="240"/>
        <w:ind w:right="0" w:left="720" w:hanging="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13.</w:t>
        <w:tab/>
        <w:t xml:space="preserve">Provide an estimate of the total annual cost burden to respondents or recordkeepers resulting from the collection of information.  (Do not include the cost of any hour burden shown in Items 12 and 14).</w:t>
      </w:r>
    </w:p>
    <w:p>
      <w:pPr>
        <w:numPr>
          <w:ilvl w:val="0"/>
          <w:numId w:val="61"/>
        </w:numPr>
        <w:tabs>
          <w:tab w:val="left" w:pos="936" w:leader="none"/>
          <w:tab w:val="left" w:pos="16776496" w:leader="none"/>
          <w:tab w:val="left" w:pos="0" w:leader="none"/>
          <w:tab w:val="left" w:pos="720" w:leader="none"/>
        </w:tabs>
        <w:spacing w:before="0" w:after="240" w:line="240"/>
        <w:ind w:right="0" w:left="108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pPr>
        <w:numPr>
          <w:ilvl w:val="0"/>
          <w:numId w:val="61"/>
        </w:numPr>
        <w:tabs>
          <w:tab w:val="left" w:pos="936" w:leader="none"/>
          <w:tab w:val="left" w:pos="16776496" w:leader="none"/>
          <w:tab w:val="left" w:pos="0" w:leader="none"/>
          <w:tab w:val="left" w:pos="720" w:leader="none"/>
        </w:tabs>
        <w:spacing w:before="0" w:after="240" w:line="240"/>
        <w:ind w:right="0" w:left="108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pPr>
        <w:numPr>
          <w:ilvl w:val="0"/>
          <w:numId w:val="61"/>
        </w:numPr>
        <w:tabs>
          <w:tab w:val="left" w:pos="936" w:leader="none"/>
          <w:tab w:val="left" w:pos="16776496" w:leader="none"/>
          <w:tab w:val="left" w:pos="0" w:leader="none"/>
          <w:tab w:val="left" w:pos="720" w:leader="none"/>
        </w:tabs>
        <w:spacing w:before="0" w:after="240" w:line="240"/>
        <w:ind w:right="0" w:left="108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pPr>
        <w:spacing w:before="0" w:after="120" w:line="240"/>
        <w:ind w:right="0" w:left="0" w:firstLine="72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See Attachment A.  Most of the collections do not involve start-up costs.  The financial reporting requirements either are already applicable, as in the case of FCMs that will operate as SDs, or in the case of unaudited and audited financial statements, require the reporting of information that SDs and MSPs would already keep in the ordinary courses of their business.  The recordkeeping obligations are routine.  And the costs of filing applications and occasional notices with the Commission will be realized at the time the application will be prepared, and are included in the cost estimates that have been presented.  </w:t>
      </w:r>
    </w:p>
    <w:p>
      <w:pPr>
        <w:spacing w:before="0" w:after="120" w:line="240"/>
        <w:ind w:right="0" w:left="0" w:firstLine="72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However, the development of software in-house or in the alternative the purchase of software in order to comply with the capital model component of the collection will involve start-up costs.  In addition, the firms will be required to develop systems to process timely weekly margin and position reporting and comply with the recordkeeping and reporting obligations for capital.  As such, the initial costs are estimated to span only the initial year of compliance with the rule and have been summarized in the following table.  </w:t>
      </w:r>
    </w:p>
    <w:tbl>
      <w:tblPr/>
      <w:tblGrid>
        <w:gridCol w:w="2394"/>
        <w:gridCol w:w="2394"/>
        <w:gridCol w:w="2394"/>
      </w:tblGrid>
      <w:tr>
        <w:trPr>
          <w:trHeight w:val="1" w:hRule="atLeast"/>
          <w:jc w:val="left"/>
        </w:trPr>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72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Regulation</w:t>
            </w:r>
          </w:p>
        </w:tc>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72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Number of Respondents</w:t>
            </w:r>
          </w:p>
        </w:tc>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Total Annual Costs</w:t>
            </w:r>
          </w:p>
        </w:tc>
      </w:tr>
      <w:tr>
        <w:trPr>
          <w:trHeight w:val="1" w:hRule="atLeast"/>
          <w:jc w:val="left"/>
        </w:trPr>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23.102(a) &amp; 1.17(c)(6)(v)</w:t>
            </w:r>
          </w:p>
          <w:p>
            <w:pPr>
              <w:spacing w:before="0" w:after="12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w:t>
            </w:r>
            <w:r>
              <w:rPr>
                <w:rFonts w:ascii="Arial" w:hAnsi="Arial" w:cs="Arial" w:eastAsia="Arial"/>
                <w:b/>
                <w:i/>
                <w:color w:val="auto"/>
                <w:spacing w:val="0"/>
                <w:position w:val="0"/>
                <w:sz w:val="16"/>
                <w:shd w:fill="auto" w:val="clear"/>
              </w:rPr>
              <w:t xml:space="preserve">Application /Use of Use Models</w:t>
            </w:r>
            <w:r>
              <w:rPr>
                <w:rFonts w:ascii="Arial" w:hAnsi="Arial" w:cs="Arial" w:eastAsia="Arial"/>
                <w:b/>
                <w:color w:val="auto"/>
                <w:spacing w:val="0"/>
                <w:position w:val="0"/>
                <w:sz w:val="16"/>
                <w:shd w:fill="auto" w:val="clear"/>
              </w:rPr>
              <w:t xml:space="preserve"> (FCM/SD) </w:t>
            </w:r>
          </w:p>
        </w:tc>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32</w:t>
            </w:r>
          </w:p>
        </w:tc>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$3,200,000</w:t>
            </w:r>
          </w:p>
        </w:tc>
      </w:tr>
      <w:tr>
        <w:trPr>
          <w:trHeight w:val="1" w:hRule="atLeast"/>
          <w:jc w:val="left"/>
        </w:trPr>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23.104 (a) – </w:t>
            </w:r>
            <w:r>
              <w:rPr>
                <w:rFonts w:ascii="Arial" w:hAnsi="Arial" w:cs="Arial" w:eastAsia="Arial"/>
                <w:b/>
                <w:i/>
                <w:color w:val="auto"/>
                <w:spacing w:val="0"/>
                <w:position w:val="0"/>
                <w:sz w:val="16"/>
                <w:shd w:fill="auto" w:val="clear"/>
              </w:rPr>
              <w:t xml:space="preserve">Liquidity reporting requirements</w:t>
            </w:r>
            <w:r>
              <w:rPr>
                <w:rFonts w:ascii="Arial" w:hAnsi="Arial" w:cs="Arial" w:eastAsia="Arial"/>
                <w:b/>
                <w:color w:val="auto"/>
                <w:spacing w:val="0"/>
                <w:position w:val="0"/>
                <w:sz w:val="16"/>
                <w:shd w:fill="auto" w:val="clear"/>
              </w:rPr>
              <w:t xml:space="preserve"> (SD) </w:t>
            </w:r>
          </w:p>
        </w:tc>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16</w:t>
            </w:r>
          </w:p>
        </w:tc>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$320,000</w:t>
            </w:r>
          </w:p>
        </w:tc>
      </w:tr>
      <w:tr>
        <w:trPr>
          <w:trHeight w:val="1" w:hRule="atLeast"/>
          <w:jc w:val="left"/>
        </w:trPr>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23.104 (b)(1) – </w:t>
            </w:r>
            <w:r>
              <w:rPr>
                <w:rFonts w:ascii="Arial" w:hAnsi="Arial" w:cs="Arial" w:eastAsia="Arial"/>
                <w:b/>
                <w:i/>
                <w:color w:val="auto"/>
                <w:spacing w:val="0"/>
                <w:position w:val="0"/>
                <w:sz w:val="16"/>
                <w:shd w:fill="auto" w:val="clear"/>
              </w:rPr>
              <w:t xml:space="preserve">Liquidity Street Tests </w:t>
            </w:r>
            <w:r>
              <w:rPr>
                <w:rFonts w:ascii="Arial" w:hAnsi="Arial" w:cs="Arial" w:eastAsia="Arial"/>
                <w:b/>
                <w:color w:val="auto"/>
                <w:spacing w:val="0"/>
                <w:position w:val="0"/>
                <w:sz w:val="16"/>
                <w:shd w:fill="auto" w:val="clear"/>
              </w:rPr>
              <w:t xml:space="preserve">(SD) </w:t>
            </w:r>
          </w:p>
        </w:tc>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11</w:t>
            </w:r>
          </w:p>
        </w:tc>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$220,000</w:t>
            </w:r>
          </w:p>
        </w:tc>
      </w:tr>
      <w:tr>
        <w:trPr>
          <w:trHeight w:val="1" w:hRule="atLeast"/>
          <w:jc w:val="left"/>
        </w:trPr>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23.105 (q) – </w:t>
            </w:r>
            <w:r>
              <w:rPr>
                <w:rFonts w:ascii="Arial" w:hAnsi="Arial" w:cs="Arial" w:eastAsia="Arial"/>
                <w:b/>
                <w:i/>
                <w:color w:val="auto"/>
                <w:spacing w:val="0"/>
                <w:position w:val="0"/>
                <w:sz w:val="16"/>
                <w:shd w:fill="auto" w:val="clear"/>
              </w:rPr>
              <w:t xml:space="preserve">Position &amp; Margin Reporting </w:t>
            </w:r>
            <w:r>
              <w:rPr>
                <w:rFonts w:ascii="Arial" w:hAnsi="Arial" w:cs="Arial" w:eastAsia="Arial"/>
                <w:b/>
                <w:color w:val="auto"/>
                <w:spacing w:val="0"/>
                <w:position w:val="0"/>
                <w:sz w:val="16"/>
                <w:shd w:fill="auto" w:val="clear"/>
              </w:rPr>
              <w:t xml:space="preserve">(SD/MSP) </w:t>
            </w:r>
          </w:p>
        </w:tc>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104</w:t>
            </w:r>
          </w:p>
        </w:tc>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$1,040,000</w:t>
            </w:r>
          </w:p>
        </w:tc>
      </w:tr>
      <w:tr>
        <w:trPr>
          <w:trHeight w:val="1" w:hRule="atLeast"/>
          <w:jc w:val="left"/>
        </w:trPr>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       TOTAL INITIAL COSTS</w:t>
            </w:r>
          </w:p>
        </w:tc>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p>
        </w:tc>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$4,880,000</w:t>
            </w:r>
          </w:p>
        </w:tc>
      </w:tr>
    </w:tbl>
    <w:p>
      <w:pPr>
        <w:spacing w:before="0" w:after="120" w:line="240"/>
        <w:ind w:right="0" w:left="0" w:firstLine="720"/>
        <w:jc w:val="left"/>
        <w:rPr>
          <w:rFonts w:ascii="Times New Roman" w:hAnsi="Times New Roman" w:cs="Times New Roman" w:eastAsia="Times New Roman"/>
          <w:color w:val="000000"/>
          <w:spacing w:val="0"/>
          <w:position w:val="0"/>
          <w:sz w:val="20"/>
          <w:shd w:fill="auto" w:val="clear"/>
        </w:rPr>
      </w:pPr>
    </w:p>
    <w:p>
      <w:pPr>
        <w:spacing w:before="0" w:after="0" w:line="240"/>
        <w:ind w:right="0" w:left="0" w:firstLine="720"/>
        <w:jc w:val="both"/>
        <w:rPr>
          <w:rFonts w:ascii="Times New Roman" w:hAnsi="Times New Roman" w:cs="Times New Roman" w:eastAsia="Times New Roman"/>
          <w:color w:val="000000"/>
          <w:spacing w:val="0"/>
          <w:position w:val="0"/>
          <w:sz w:val="20"/>
          <w:shd w:fill="auto" w:val="clear"/>
        </w:rPr>
      </w:pPr>
    </w:p>
    <w:p>
      <w:pPr>
        <w:tabs>
          <w:tab w:val="left" w:pos="16776496" w:leader="none"/>
        </w:tabs>
        <w:spacing w:before="0" w:after="240" w:line="240"/>
        <w:ind w:right="0" w:left="720" w:hanging="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14.</w:t>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pPr>
        <w:tabs>
          <w:tab w:val="left" w:pos="720" w:leader="none"/>
        </w:tabs>
        <w:spacing w:before="0" w:after="0" w:line="240"/>
        <w:ind w:right="0" w:left="0" w:firstLine="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primary costs for requesting and reviewing documents under the existing OMB Collection 3038-024 and this amendment are the salaries and benefits for attorneys and auditors to analyze the information collected. The proposed amendment should not add materially to existing costs, as the information collected is of the same type and amount as the existing collection.     </w:t>
      </w:r>
    </w:p>
    <w:p>
      <w:pPr>
        <w:tabs>
          <w:tab w:val="left" w:pos="720" w:leader="none"/>
        </w:tabs>
        <w:spacing w:before="0" w:after="0" w:line="240"/>
        <w:ind w:right="0" w:left="0" w:firstLine="720"/>
        <w:jc w:val="both"/>
        <w:rPr>
          <w:rFonts w:ascii="Times New Roman" w:hAnsi="Times New Roman" w:cs="Times New Roman" w:eastAsia="Times New Roman"/>
          <w:color w:val="auto"/>
          <w:spacing w:val="0"/>
          <w:position w:val="0"/>
          <w:sz w:val="20"/>
          <w:shd w:fill="auto" w:val="clear"/>
        </w:rPr>
      </w:pPr>
    </w:p>
    <w:p>
      <w:pPr>
        <w:tabs>
          <w:tab w:val="left" w:pos="16776496" w:leader="none"/>
        </w:tabs>
        <w:spacing w:before="0" w:after="24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15.</w:t>
        <w:tab/>
        <w:t xml:space="preserve">Explain the reasons for any program changes or adjustments reported in Items 13 or 14 of the OMB Form 83-I.</w:t>
      </w:r>
    </w:p>
    <w:p>
      <w:pPr>
        <w:tabs>
          <w:tab w:val="left" w:pos="16776496" w:leader="none"/>
        </w:tabs>
        <w:spacing w:before="0" w:after="24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Section 731 of the Dodd-Frank Wall Street Reform and Consumer Protection Act ("Dodd-Frank Act"), P.L. 111-203, 124 stat. 1376, amended the Commodity Exchange Act ("CEA"), 7 U.S.C. §§ 1 et seq., to add, as section 4s(e) thereof, provisions concerning the setting of minimum capital requirements for swap dealers ("SDs") and major swap participants ("MSPs").  The regulations associated with Section 731 of Dodd Frank Act require collecting additional information from SDs and MSPs and are designed to enhance the safety and soundness of the markets which the Commission oversees and to enable the Commission to evaluate the soundness of the participants in those markets.  Collection 3038-0024 is being amended to reflect these additional information requirements.    </w:t>
      </w:r>
    </w:p>
    <w:p>
      <w:pPr>
        <w:tabs>
          <w:tab w:val="left" w:pos="16776496" w:leader="none"/>
          <w:tab w:val="left" w:pos="0" w:leader="none"/>
        </w:tabs>
        <w:spacing w:before="0" w:after="240" w:line="240"/>
        <w:ind w:right="0" w:left="720" w:hanging="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16.</w:t>
        <w:tab/>
        <w:t xml:space="preserve">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pPr>
        <w:tabs>
          <w:tab w:val="left" w:pos="16776496" w:leader="none"/>
        </w:tabs>
        <w:spacing w:before="0" w:after="24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This question does not apply.</w:t>
      </w:r>
    </w:p>
    <w:p>
      <w:pPr>
        <w:tabs>
          <w:tab w:val="left" w:pos="16776496" w:leader="none"/>
          <w:tab w:val="left" w:pos="0" w:leader="none"/>
        </w:tabs>
        <w:spacing w:before="0" w:after="240" w:line="240"/>
        <w:ind w:right="0" w:left="720" w:hanging="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17.</w:t>
        <w:tab/>
        <w:t xml:space="preserve">If seeking approval to not display the expiration date for OMB approval of the information collection, explain the reasons that display would be inappropriate.</w:t>
      </w:r>
    </w:p>
    <w:p>
      <w:pPr>
        <w:tabs>
          <w:tab w:val="left" w:pos="16776496" w:leader="none"/>
        </w:tabs>
        <w:spacing w:before="0" w:after="24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This question does not apply.</w:t>
      </w:r>
    </w:p>
    <w:p>
      <w:pPr>
        <w:keepNext w:val="true"/>
        <w:tabs>
          <w:tab w:val="left" w:pos="16776496" w:leader="none"/>
          <w:tab w:val="left" w:pos="0" w:leader="none"/>
        </w:tabs>
        <w:spacing w:before="0" w:after="240" w:line="240"/>
        <w:ind w:right="0" w:left="720" w:hanging="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18.</w:t>
        <w:tab/>
        <w:t xml:space="preserve">Explain each exception to the certification statement identified in Item 19, "Certification for Paperwork Reduction Act Submissions," of OMB Form 83-I.</w:t>
      </w:r>
    </w:p>
    <w:p>
      <w:pPr>
        <w:tabs>
          <w:tab w:val="left" w:pos="16776496" w:leader="none"/>
        </w:tabs>
        <w:spacing w:before="0" w:after="24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 xml:space="preserve">This question does not apply.</w:t>
      </w:r>
    </w:p>
    <w:p>
      <w:pPr>
        <w:tabs>
          <w:tab w:val="left" w:pos="16776496" w:leader="none"/>
        </w:tabs>
        <w:spacing w:before="0" w:after="24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0"/>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0"/>
          <w:shd w:fill="auto" w:val="clear"/>
        </w:rPr>
      </w:pPr>
    </w:p>
    <w:p>
      <w:pPr>
        <w:tabs>
          <w:tab w:val="left" w:pos="16776496" w:leader="none"/>
        </w:tabs>
        <w:spacing w:before="0" w:after="24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Attachment A</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OMB Control Number 3038-0024 – </w:t>
      </w:r>
      <w:r>
        <w:rPr>
          <w:rFonts w:ascii="Times New Roman" w:hAnsi="Times New Roman" w:cs="Times New Roman" w:eastAsia="Times New Roman"/>
          <w:color w:val="auto"/>
          <w:spacing w:val="0"/>
          <w:position w:val="0"/>
          <w:sz w:val="20"/>
          <w:shd w:fill="auto" w:val="clear"/>
        </w:rPr>
        <w:t xml:space="preserve">Regulations and Forms Pertaining to Financial Integrity of the Market Place; Margin Requirements for SDs/MSPs</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Reporting</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1261"/>
        <w:gridCol w:w="1261"/>
        <w:gridCol w:w="1173"/>
        <w:gridCol w:w="1175"/>
        <w:gridCol w:w="1170"/>
        <w:gridCol w:w="993"/>
        <w:gridCol w:w="1170"/>
        <w:gridCol w:w="1082"/>
        <w:gridCol w:w="894"/>
        <w:gridCol w:w="1161"/>
      </w:tblGrid>
      <w:tr>
        <w:trPr>
          <w:trHeight w:val="1538"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1.</w:t>
            </w:r>
          </w:p>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Regulation(s) – </w:t>
            </w:r>
            <w:r>
              <w:rPr>
                <w:rFonts w:ascii="Arial" w:hAnsi="Arial" w:cs="Arial" w:eastAsia="Arial"/>
                <w:b/>
                <w:i/>
                <w:color w:val="auto"/>
                <w:spacing w:val="0"/>
                <w:position w:val="0"/>
                <w:sz w:val="16"/>
                <w:shd w:fill="auto" w:val="clear"/>
              </w:rPr>
              <w:t xml:space="preserve">Description</w:t>
            </w:r>
            <w:r>
              <w:rPr>
                <w:rFonts w:ascii="Arial" w:hAnsi="Arial" w:cs="Arial" w:eastAsia="Arial"/>
                <w:b/>
                <w:color w:val="auto"/>
                <w:spacing w:val="0"/>
                <w:position w:val="0"/>
                <w:sz w:val="16"/>
                <w:shd w:fill="auto" w:val="clear"/>
              </w:rPr>
              <w:t xml:space="preserve"> (Applicable Registrant) – Rk, R, N</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2.</w:t>
            </w:r>
          </w:p>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Estimated Number of Respondents </w:t>
            </w:r>
          </w:p>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3.</w:t>
            </w:r>
          </w:p>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Estimated Number of Reports</w:t>
            </w:r>
          </w:p>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by Each Respondent</w:t>
            </w:r>
          </w:p>
        </w:tc>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4.</w:t>
            </w:r>
          </w:p>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Estimated Average Number of Burden Hours per Response</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5.</w:t>
            </w:r>
          </w:p>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Annual  Number of Burden Hours per Respondent</w:t>
            </w:r>
          </w:p>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(3 x 4)</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6. </w:t>
            </w:r>
          </w:p>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Estimated Average Burden Hour Cost</w:t>
            </w:r>
          </w:p>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7.</w:t>
            </w:r>
          </w:p>
          <w:p>
            <w:pPr>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Total Average Hour Burden Cost Per Respondent</w:t>
            </w:r>
          </w:p>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(5 x 6)</w:t>
            </w: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8.</w:t>
            </w:r>
          </w:p>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Total Annual</w:t>
            </w:r>
          </w:p>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Responses</w:t>
            </w:r>
          </w:p>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 x 3)</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9.</w:t>
            </w:r>
          </w:p>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Total Annual  Number of Burden Hours</w:t>
            </w:r>
          </w:p>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 x 5)</w:t>
            </w:r>
          </w:p>
        </w:tc>
        <w:tc>
          <w:tcPr>
            <w:tcW w:w="1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10.</w:t>
            </w:r>
          </w:p>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Total Annual Burden Hour Cost of All Responses</w:t>
            </w:r>
          </w:p>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 x 7)</w:t>
            </w:r>
          </w:p>
        </w:tc>
      </w:tr>
      <w:tr>
        <w:trPr>
          <w:trHeight w:val="977"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1.10(f) – Form SBS for dual registered (FCM/IB/SD)</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$100 </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$500</w:t>
            </w: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w:t>
            </w:r>
          </w:p>
        </w:tc>
        <w:tc>
          <w:tcPr>
            <w:tcW w:w="1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$500</w:t>
            </w:r>
          </w:p>
        </w:tc>
      </w:tr>
      <w:tr>
        <w:trPr>
          <w:trHeight w:val="1222"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1.12(a) &amp; (b) – </w:t>
            </w:r>
            <w:r>
              <w:rPr>
                <w:rFonts w:ascii="Arial" w:hAnsi="Arial" w:cs="Arial" w:eastAsia="Arial"/>
                <w:b/>
                <w:i/>
                <w:color w:val="auto"/>
                <w:spacing w:val="0"/>
                <w:position w:val="0"/>
                <w:sz w:val="16"/>
                <w:shd w:fill="auto" w:val="clear"/>
              </w:rPr>
              <w:t xml:space="preserve">Notice of Failure to Maintain Minimum</w:t>
            </w:r>
            <w:r>
              <w:rPr>
                <w:rFonts w:ascii="Arial" w:hAnsi="Arial" w:cs="Arial" w:eastAsia="Arial"/>
                <w:b/>
                <w:color w:val="auto"/>
                <w:spacing w:val="0"/>
                <w:position w:val="0"/>
                <w:sz w:val="16"/>
                <w:shd w:fill="auto" w:val="clear"/>
              </w:rPr>
              <w:t xml:space="preserve"> (FCM/IB/SD) </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10</w:t>
            </w: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$100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$500</w:t>
            </w: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10</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50</w:t>
            </w:r>
          </w:p>
        </w:tc>
        <w:tc>
          <w:tcPr>
            <w:tcW w:w="1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$5,000</w:t>
            </w:r>
          </w:p>
        </w:tc>
      </w:tr>
      <w:tr>
        <w:trPr>
          <w:trHeight w:val="1222"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1.16(f) – Request Extension to File Audited Financials (FCM/SD) </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$100 </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$500</w:t>
            </w: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w:t>
            </w:r>
          </w:p>
        </w:tc>
        <w:tc>
          <w:tcPr>
            <w:tcW w:w="1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$500</w:t>
            </w:r>
          </w:p>
        </w:tc>
      </w:tr>
      <w:tr>
        <w:trPr>
          <w:trHeight w:val="1222"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23.101 (a)(7) – </w:t>
            </w:r>
            <w:r>
              <w:rPr>
                <w:rFonts w:ascii="Arial" w:hAnsi="Arial" w:cs="Arial" w:eastAsia="Arial"/>
                <w:b/>
                <w:i/>
                <w:color w:val="auto"/>
                <w:spacing w:val="0"/>
                <w:position w:val="0"/>
                <w:sz w:val="16"/>
                <w:shd w:fill="auto" w:val="clear"/>
              </w:rPr>
              <w:t xml:space="preserve">Request to Change Capital Election – </w:t>
            </w:r>
            <w:r>
              <w:rPr>
                <w:rFonts w:ascii="Arial" w:hAnsi="Arial" w:cs="Arial" w:eastAsia="Arial"/>
                <w:b/>
                <w:color w:val="auto"/>
                <w:spacing w:val="0"/>
                <w:position w:val="0"/>
                <w:sz w:val="16"/>
                <w:shd w:fill="auto" w:val="clear"/>
              </w:rPr>
              <w:t xml:space="preserve">(SD/MSP) </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$100 </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$500</w:t>
            </w: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w:t>
            </w:r>
          </w:p>
        </w:tc>
        <w:tc>
          <w:tcPr>
            <w:tcW w:w="1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$500</w:t>
            </w:r>
          </w:p>
        </w:tc>
      </w:tr>
      <w:tr>
        <w:trPr>
          <w:trHeight w:val="1367"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23.102(a) &amp; 1.17(c)(6)(v)</w:t>
            </w:r>
          </w:p>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w:t>
            </w:r>
            <w:r>
              <w:rPr>
                <w:rFonts w:ascii="Arial" w:hAnsi="Arial" w:cs="Arial" w:eastAsia="Arial"/>
                <w:b/>
                <w:i/>
                <w:color w:val="auto"/>
                <w:spacing w:val="0"/>
                <w:position w:val="0"/>
                <w:sz w:val="16"/>
                <w:shd w:fill="auto" w:val="clear"/>
              </w:rPr>
              <w:t xml:space="preserve">Application /Use of Use Models</w:t>
            </w:r>
            <w:r>
              <w:rPr>
                <w:rFonts w:ascii="Arial" w:hAnsi="Arial" w:cs="Arial" w:eastAsia="Arial"/>
                <w:b/>
                <w:color w:val="auto"/>
                <w:spacing w:val="0"/>
                <w:position w:val="0"/>
                <w:sz w:val="16"/>
                <w:shd w:fill="auto" w:val="clear"/>
              </w:rPr>
              <w:t xml:space="preserve"> (FCM/SD)</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32</w:t>
            </w: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4,680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4,680</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$100 </w:t>
            </w:r>
          </w:p>
        </w:tc>
        <w:tc>
          <w:tcPr>
            <w:tcW w:w="11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$468,000</w:t>
            </w: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32</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149,760</w:t>
            </w:r>
          </w:p>
        </w:tc>
        <w:tc>
          <w:tcPr>
            <w:tcW w:w="1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$14,976,000</w:t>
            </w:r>
          </w:p>
        </w:tc>
      </w:tr>
      <w:tr>
        <w:trPr>
          <w:trHeight w:val="1222"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23.104 (a) – </w:t>
            </w:r>
            <w:r>
              <w:rPr>
                <w:rFonts w:ascii="Arial" w:hAnsi="Arial" w:cs="Arial" w:eastAsia="Arial"/>
                <w:b/>
                <w:i/>
                <w:color w:val="auto"/>
                <w:spacing w:val="0"/>
                <w:position w:val="0"/>
                <w:sz w:val="16"/>
                <w:shd w:fill="auto" w:val="clear"/>
              </w:rPr>
              <w:t xml:space="preserve">Liquidity reporting requirements</w:t>
            </w:r>
            <w:r>
              <w:rPr>
                <w:rFonts w:ascii="Arial" w:hAnsi="Arial" w:cs="Arial" w:eastAsia="Arial"/>
                <w:b/>
                <w:color w:val="auto"/>
                <w:spacing w:val="0"/>
                <w:position w:val="0"/>
                <w:sz w:val="16"/>
                <w:shd w:fill="auto" w:val="clear"/>
              </w:rPr>
              <w:t xml:space="preserve"> (SD)</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16</w:t>
            </w: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600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600</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$100 </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$60,000</w:t>
            </w: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16</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9,600</w:t>
            </w:r>
          </w:p>
        </w:tc>
        <w:tc>
          <w:tcPr>
            <w:tcW w:w="1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$960,000</w:t>
            </w:r>
          </w:p>
        </w:tc>
      </w:tr>
      <w:tr>
        <w:trPr>
          <w:trHeight w:val="1222"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23.104 (c)- </w:t>
            </w:r>
            <w:r>
              <w:rPr>
                <w:rFonts w:ascii="Arial" w:hAnsi="Arial" w:cs="Arial" w:eastAsia="Arial"/>
                <w:b/>
                <w:i/>
                <w:color w:val="auto"/>
                <w:spacing w:val="0"/>
                <w:position w:val="0"/>
                <w:sz w:val="16"/>
                <w:shd w:fill="auto" w:val="clear"/>
              </w:rPr>
              <w:t xml:space="preserve">Equity withdrawal Relief </w:t>
            </w:r>
            <w:r>
              <w:rPr>
                <w:rFonts w:ascii="Arial" w:hAnsi="Arial" w:cs="Arial" w:eastAsia="Arial"/>
                <w:b/>
                <w:color w:val="auto"/>
                <w:spacing w:val="0"/>
                <w:position w:val="0"/>
                <w:sz w:val="16"/>
                <w:shd w:fill="auto" w:val="clear"/>
              </w:rPr>
              <w:t xml:space="preserve">(SD)</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28</w:t>
            </w: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2</w:t>
            </w:r>
          </w:p>
        </w:tc>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$100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$100</w:t>
            </w: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56</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28</w:t>
            </w:r>
          </w:p>
        </w:tc>
        <w:tc>
          <w:tcPr>
            <w:tcW w:w="1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$2,800</w:t>
            </w:r>
          </w:p>
        </w:tc>
      </w:tr>
      <w:tr>
        <w:trPr>
          <w:trHeight w:val="1286"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23.105 (a) - (n) – </w:t>
            </w:r>
            <w:r>
              <w:rPr>
                <w:rFonts w:ascii="Arial" w:hAnsi="Arial" w:cs="Arial" w:eastAsia="Arial"/>
                <w:b/>
                <w:i/>
                <w:color w:val="auto"/>
                <w:spacing w:val="0"/>
                <w:position w:val="0"/>
                <w:sz w:val="16"/>
                <w:shd w:fill="auto" w:val="clear"/>
              </w:rPr>
              <w:t xml:space="preserve">Financial Reporting</w:t>
            </w:r>
            <w:r>
              <w:rPr>
                <w:rFonts w:ascii="Arial" w:hAnsi="Arial" w:cs="Arial" w:eastAsia="Arial"/>
                <w:b/>
                <w:color w:val="auto"/>
                <w:spacing w:val="0"/>
                <w:position w:val="0"/>
                <w:sz w:val="16"/>
                <w:shd w:fill="auto" w:val="clear"/>
              </w:rPr>
              <w:t xml:space="preserve"> – (SD/MSP) </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28</w:t>
            </w: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15</w:t>
            </w:r>
          </w:p>
        </w:tc>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12.5</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187.5</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$18,750</w:t>
            </w: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420</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5,250</w:t>
            </w:r>
          </w:p>
        </w:tc>
        <w:tc>
          <w:tcPr>
            <w:tcW w:w="1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$8,925,000</w:t>
            </w:r>
          </w:p>
        </w:tc>
      </w:tr>
      <w:tr>
        <w:trPr>
          <w:trHeight w:val="1222"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23.105 (p) – </w:t>
            </w:r>
            <w:r>
              <w:rPr>
                <w:rFonts w:ascii="Arial" w:hAnsi="Arial" w:cs="Arial" w:eastAsia="Arial"/>
                <w:b/>
                <w:i/>
                <w:color w:val="auto"/>
                <w:spacing w:val="0"/>
                <w:position w:val="0"/>
                <w:sz w:val="16"/>
                <w:shd w:fill="auto" w:val="clear"/>
              </w:rPr>
              <w:t xml:space="preserve">Financial Reporting for Bank SD/MSP </w:t>
            </w:r>
            <w:r>
              <w:rPr>
                <w:rFonts w:ascii="Arial" w:hAnsi="Arial" w:cs="Arial" w:eastAsia="Arial"/>
                <w:b/>
                <w:color w:val="auto"/>
                <w:spacing w:val="0"/>
                <w:position w:val="0"/>
                <w:sz w:val="16"/>
                <w:shd w:fill="auto" w:val="clear"/>
              </w:rPr>
              <w:t xml:space="preserve">(Bank SD/MSP) </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51</w:t>
            </w: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6</w:t>
            </w:r>
          </w:p>
        </w:tc>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5.5</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33</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$3,300</w:t>
            </w: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306</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1,683</w:t>
            </w:r>
          </w:p>
        </w:tc>
        <w:tc>
          <w:tcPr>
            <w:tcW w:w="1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$168,300</w:t>
            </w:r>
          </w:p>
        </w:tc>
      </w:tr>
      <w:tr>
        <w:trPr>
          <w:trHeight w:val="1222"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23.105 (q) – </w:t>
            </w:r>
            <w:r>
              <w:rPr>
                <w:rFonts w:ascii="Arial" w:hAnsi="Arial" w:cs="Arial" w:eastAsia="Arial"/>
                <w:b/>
                <w:i/>
                <w:color w:val="auto"/>
                <w:spacing w:val="0"/>
                <w:position w:val="0"/>
                <w:sz w:val="16"/>
                <w:shd w:fill="auto" w:val="clear"/>
              </w:rPr>
              <w:t xml:space="preserve">Position &amp; Margin Reporting </w:t>
            </w:r>
            <w:r>
              <w:rPr>
                <w:rFonts w:ascii="Arial" w:hAnsi="Arial" w:cs="Arial" w:eastAsia="Arial"/>
                <w:b/>
                <w:color w:val="auto"/>
                <w:spacing w:val="0"/>
                <w:position w:val="0"/>
                <w:sz w:val="16"/>
                <w:shd w:fill="auto" w:val="clear"/>
              </w:rPr>
              <w:t xml:space="preserve">(SD/MSP)</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104</w:t>
            </w: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52</w:t>
            </w:r>
          </w:p>
        </w:tc>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520</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$52,000</w:t>
            </w: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5,408</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54,080</w:t>
            </w:r>
          </w:p>
        </w:tc>
        <w:tc>
          <w:tcPr>
            <w:tcW w:w="1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$5,408,000</w:t>
            </w:r>
          </w:p>
        </w:tc>
      </w:tr>
      <w:tr>
        <w:trPr>
          <w:trHeight w:val="1222"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23.106  - </w:t>
            </w:r>
            <w:r>
              <w:rPr>
                <w:rFonts w:ascii="Arial" w:hAnsi="Arial" w:cs="Arial" w:eastAsia="Arial"/>
                <w:b/>
                <w:i/>
                <w:color w:val="auto"/>
                <w:spacing w:val="0"/>
                <w:position w:val="0"/>
                <w:sz w:val="16"/>
                <w:shd w:fill="auto" w:val="clear"/>
              </w:rPr>
              <w:t xml:space="preserve">Capital Compare Determination  </w:t>
            </w:r>
            <w:r>
              <w:rPr>
                <w:rFonts w:ascii="Arial" w:hAnsi="Arial" w:cs="Arial" w:eastAsia="Arial"/>
                <w:b/>
                <w:color w:val="auto"/>
                <w:spacing w:val="0"/>
                <w:position w:val="0"/>
                <w:sz w:val="16"/>
                <w:shd w:fill="auto" w:val="clear"/>
              </w:rPr>
              <w:t xml:space="preserve">(SD/MSP)</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17</w:t>
            </w: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$1,000</w:t>
            </w: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17</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170</w:t>
            </w:r>
          </w:p>
        </w:tc>
        <w:tc>
          <w:tcPr>
            <w:tcW w:w="1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$17,000</w:t>
            </w:r>
          </w:p>
        </w:tc>
      </w:tr>
      <w:tr>
        <w:trPr>
          <w:trHeight w:val="377"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Totals</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220,609</w:t>
            </w:r>
          </w:p>
        </w:tc>
        <w:tc>
          <w:tcPr>
            <w:tcW w:w="1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$30,463,600</w:t>
            </w:r>
          </w:p>
        </w:tc>
      </w:tr>
    </w:tbl>
    <w:p>
      <w:pPr>
        <w:tabs>
          <w:tab w:val="left" w:pos="16776496" w:leader="none"/>
          <w:tab w:val="left" w:pos="0" w:leader="none"/>
        </w:tabs>
        <w:suppressAutoHyphens w:val="true"/>
        <w:spacing w:before="0" w:after="0" w:line="240"/>
        <w:ind w:right="0" w:left="720" w:hanging="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tabs>
          <w:tab w:val="left" w:pos="16776496" w:leader="none"/>
          <w:tab w:val="left" w:pos="0" w:leader="none"/>
        </w:tabs>
        <w:suppressAutoHyphens w:val="true"/>
        <w:spacing w:before="0" w:after="0" w:line="240"/>
        <w:ind w:right="0" w:left="720" w:hanging="72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Recordkeeping</w:t>
      </w:r>
    </w:p>
    <w:p>
      <w:pPr>
        <w:tabs>
          <w:tab w:val="left" w:pos="16776496" w:leader="none"/>
          <w:tab w:val="left" w:pos="0" w:leader="none"/>
        </w:tabs>
        <w:suppressAutoHyphens w:val="true"/>
        <w:spacing w:before="0" w:after="0" w:line="240"/>
        <w:ind w:right="0" w:left="720" w:hanging="720"/>
        <w:jc w:val="both"/>
        <w:rPr>
          <w:rFonts w:ascii="Times New Roman" w:hAnsi="Times New Roman" w:cs="Times New Roman" w:eastAsia="Times New Roman"/>
          <w:color w:val="auto"/>
          <w:spacing w:val="0"/>
          <w:position w:val="0"/>
          <w:sz w:val="20"/>
          <w:shd w:fill="auto" w:val="clear"/>
        </w:rPr>
      </w:pPr>
    </w:p>
    <w:tbl>
      <w:tblPr/>
      <w:tblGrid>
        <w:gridCol w:w="1261"/>
        <w:gridCol w:w="1261"/>
        <w:gridCol w:w="1173"/>
        <w:gridCol w:w="1170"/>
        <w:gridCol w:w="1170"/>
        <w:gridCol w:w="991"/>
        <w:gridCol w:w="1170"/>
        <w:gridCol w:w="1082"/>
        <w:gridCol w:w="894"/>
        <w:gridCol w:w="1168"/>
      </w:tblGrid>
      <w:tr>
        <w:trPr>
          <w:trHeight w:val="1367"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23.102(a) &amp; 1.17(c)(6)(v)</w:t>
            </w:r>
          </w:p>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w:t>
            </w:r>
            <w:r>
              <w:rPr>
                <w:rFonts w:ascii="Arial" w:hAnsi="Arial" w:cs="Arial" w:eastAsia="Arial"/>
                <w:b/>
                <w:i/>
                <w:color w:val="auto"/>
                <w:spacing w:val="0"/>
                <w:position w:val="0"/>
                <w:sz w:val="16"/>
                <w:shd w:fill="auto" w:val="clear"/>
              </w:rPr>
              <w:t xml:space="preserve">Application /Use of Use Models</w:t>
            </w:r>
            <w:r>
              <w:rPr>
                <w:rFonts w:ascii="Arial" w:hAnsi="Arial" w:cs="Arial" w:eastAsia="Arial"/>
                <w:b/>
                <w:color w:val="auto"/>
                <w:spacing w:val="0"/>
                <w:position w:val="0"/>
                <w:sz w:val="16"/>
                <w:shd w:fill="auto" w:val="clear"/>
              </w:rPr>
              <w:t xml:space="preserve"> (FCM/SD)</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32</w:t>
            </w: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1,560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1,560</w:t>
            </w:r>
          </w:p>
        </w:tc>
        <w:tc>
          <w:tcPr>
            <w:tcW w:w="9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$100 </w:t>
            </w:r>
          </w:p>
        </w:tc>
        <w:tc>
          <w:tcPr>
            <w:tcW w:w="11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$156,000</w:t>
            </w: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32</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49,920</w:t>
            </w: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$4,992,000</w:t>
            </w:r>
          </w:p>
        </w:tc>
      </w:tr>
      <w:tr>
        <w:trPr>
          <w:trHeight w:val="1367"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23.104 (b)(1) – </w:t>
            </w:r>
            <w:r>
              <w:rPr>
                <w:rFonts w:ascii="Arial" w:hAnsi="Arial" w:cs="Arial" w:eastAsia="Arial"/>
                <w:b/>
                <w:i/>
                <w:color w:val="auto"/>
                <w:spacing w:val="0"/>
                <w:position w:val="0"/>
                <w:sz w:val="16"/>
                <w:shd w:fill="auto" w:val="clear"/>
              </w:rPr>
              <w:t xml:space="preserve">Liquidity Stress Tests </w:t>
            </w:r>
            <w:r>
              <w:rPr>
                <w:rFonts w:ascii="Arial" w:hAnsi="Arial" w:cs="Arial" w:eastAsia="Arial"/>
                <w:b/>
                <w:color w:val="auto"/>
                <w:spacing w:val="0"/>
                <w:position w:val="0"/>
                <w:sz w:val="16"/>
                <w:shd w:fill="auto" w:val="clear"/>
              </w:rPr>
              <w:t xml:space="preserve">(SD) </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11</w:t>
            </w: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600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600</w:t>
            </w:r>
          </w:p>
        </w:tc>
        <w:tc>
          <w:tcPr>
            <w:tcW w:w="9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$100 </w:t>
            </w:r>
          </w:p>
        </w:tc>
        <w:tc>
          <w:tcPr>
            <w:tcW w:w="11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$600,000</w:t>
            </w: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12</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6,600</w:t>
            </w: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$660,000</w:t>
            </w:r>
          </w:p>
        </w:tc>
      </w:tr>
      <w:tr>
        <w:trPr>
          <w:trHeight w:val="1367"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23.105 (a) - (n) – </w:t>
            </w:r>
            <w:r>
              <w:rPr>
                <w:rFonts w:ascii="Arial" w:hAnsi="Arial" w:cs="Arial" w:eastAsia="Arial"/>
                <w:b/>
                <w:i/>
                <w:color w:val="auto"/>
                <w:spacing w:val="0"/>
                <w:position w:val="0"/>
                <w:sz w:val="16"/>
                <w:shd w:fill="auto" w:val="clear"/>
              </w:rPr>
              <w:t xml:space="preserve">Financial Reporting</w:t>
            </w:r>
            <w:r>
              <w:rPr>
                <w:rFonts w:ascii="Arial" w:hAnsi="Arial" w:cs="Arial" w:eastAsia="Arial"/>
                <w:b/>
                <w:color w:val="auto"/>
                <w:spacing w:val="0"/>
                <w:position w:val="0"/>
                <w:sz w:val="16"/>
                <w:shd w:fill="auto" w:val="clear"/>
              </w:rPr>
              <w:t xml:space="preserve"> – (SD/MSP)</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28</w:t>
            </w: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15</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4.2</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63</w:t>
            </w:r>
          </w:p>
        </w:tc>
        <w:tc>
          <w:tcPr>
            <w:tcW w:w="9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$100</w:t>
            </w:r>
          </w:p>
        </w:tc>
        <w:tc>
          <w:tcPr>
            <w:tcW w:w="11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$6,250</w:t>
            </w: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435</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1,750</w:t>
            </w: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$175,000</w:t>
            </w:r>
          </w:p>
        </w:tc>
      </w:tr>
      <w:tr>
        <w:trPr>
          <w:trHeight w:val="296" w:hRule="auto"/>
          <w:jc w:val="left"/>
        </w:trPr>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Total</w:t>
            </w:r>
          </w:p>
        </w:tc>
        <w:tc>
          <w:tcPr>
            <w:tcW w:w="12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1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9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58,270</w:t>
            </w: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 w:val="left" w:pos="0" w:leader="none"/>
              </w:tabs>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6"/>
                <w:shd w:fill="auto" w:val="clear"/>
              </w:rPr>
              <w:t xml:space="preserve">$5,827,000</w:t>
            </w:r>
          </w:p>
        </w:tc>
      </w:tr>
    </w:tbl>
    <w:p>
      <w:pPr>
        <w:tabs>
          <w:tab w:val="left" w:pos="16776496" w:leader="none"/>
          <w:tab w:val="left" w:pos="0" w:leader="none"/>
        </w:tabs>
        <w:suppressAutoHyphens w:val="true"/>
        <w:spacing w:before="0" w:after="0" w:line="240"/>
        <w:ind w:right="0" w:left="720" w:hanging="720"/>
        <w:jc w:val="both"/>
        <w:rPr>
          <w:rFonts w:ascii="Times New Roman" w:hAnsi="Times New Roman" w:cs="Times New Roman" w:eastAsia="Times New Roman"/>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31">
    <w:abstractNumId w:val="48"/>
  </w:num>
  <w:num w:numId="34">
    <w:abstractNumId w:val="42"/>
  </w:num>
  <w:num w:numId="36">
    <w:abstractNumId w:val="36"/>
  </w:num>
  <w:num w:numId="38">
    <w:abstractNumId w:val="30"/>
  </w:num>
  <w:num w:numId="40">
    <w:abstractNumId w:val="24"/>
  </w:num>
  <w:num w:numId="43">
    <w:abstractNumId w:val="18"/>
  </w:num>
  <w:num w:numId="45">
    <w:abstractNumId w:val="12"/>
  </w:num>
  <w:num w:numId="58">
    <w:abstractNumId w:val="6"/>
  </w:num>
  <w:num w:numId="6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