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C7" w:rsidRDefault="004419C7" w:rsidP="004419C7">
      <w:pPr>
        <w:autoSpaceDE w:val="0"/>
        <w:autoSpaceDN w:val="0"/>
        <w:adjustRightInd w:val="0"/>
        <w:ind w:left="360"/>
        <w:jc w:val="center"/>
        <w:rPr>
          <w:rFonts w:ascii="Times New Roman" w:hAnsi="Times New Roman"/>
          <w:sz w:val="24"/>
          <w:szCs w:val="24"/>
        </w:rPr>
      </w:pPr>
      <w:r>
        <w:rPr>
          <w:rFonts w:ascii="Times New Roman" w:hAnsi="Times New Roman"/>
          <w:sz w:val="24"/>
          <w:szCs w:val="24"/>
        </w:rPr>
        <w:t>OMB 2900-0</w:t>
      </w:r>
      <w:r w:rsidR="00086A69">
        <w:rPr>
          <w:rFonts w:ascii="Times New Roman" w:hAnsi="Times New Roman"/>
          <w:sz w:val="24"/>
          <w:szCs w:val="24"/>
        </w:rPr>
        <w:t>809</w:t>
      </w:r>
    </w:p>
    <w:p w:rsidR="004419C7" w:rsidRDefault="004419C7" w:rsidP="004419C7">
      <w:pPr>
        <w:autoSpaceDE w:val="0"/>
        <w:autoSpaceDN w:val="0"/>
        <w:adjustRightInd w:val="0"/>
        <w:ind w:left="360"/>
        <w:jc w:val="center"/>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038"/>
      </w:tblGrid>
      <w:tr w:rsidR="004419C7" w:rsidRPr="00AB34FE" w:rsidTr="001504A9">
        <w:tc>
          <w:tcPr>
            <w:tcW w:w="2160" w:type="dxa"/>
            <w:shd w:val="clear" w:color="auto" w:fill="auto"/>
          </w:tcPr>
          <w:p w:rsidR="004419C7" w:rsidRPr="00AB34FE" w:rsidRDefault="001504A9" w:rsidP="001504A9">
            <w:pPr>
              <w:autoSpaceDE w:val="0"/>
              <w:autoSpaceDN w:val="0"/>
              <w:adjustRightInd w:val="0"/>
              <w:jc w:val="center"/>
              <w:rPr>
                <w:rFonts w:ascii="Times New Roman" w:hAnsi="Times New Roman"/>
                <w:sz w:val="24"/>
                <w:szCs w:val="24"/>
              </w:rPr>
            </w:pPr>
            <w:r>
              <w:rPr>
                <w:rFonts w:ascii="Times New Roman" w:hAnsi="Times New Roman"/>
                <w:sz w:val="24"/>
                <w:szCs w:val="24"/>
              </w:rPr>
              <w:t>VAF 21-0960M-</w:t>
            </w:r>
            <w:r w:rsidR="00086A69">
              <w:rPr>
                <w:rFonts w:ascii="Times New Roman" w:hAnsi="Times New Roman"/>
                <w:sz w:val="24"/>
                <w:szCs w:val="24"/>
              </w:rPr>
              <w:t>7</w:t>
            </w:r>
          </w:p>
        </w:tc>
        <w:tc>
          <w:tcPr>
            <w:tcW w:w="7038" w:type="dxa"/>
            <w:shd w:val="clear" w:color="auto" w:fill="auto"/>
          </w:tcPr>
          <w:p w:rsidR="004419C7" w:rsidRPr="00AB34FE" w:rsidRDefault="00086A69" w:rsidP="00AB34FE">
            <w:pPr>
              <w:autoSpaceDE w:val="0"/>
              <w:autoSpaceDN w:val="0"/>
              <w:adjustRightInd w:val="0"/>
              <w:ind w:left="72"/>
              <w:rPr>
                <w:rFonts w:ascii="Times New Roman" w:hAnsi="Times New Roman"/>
                <w:sz w:val="24"/>
                <w:szCs w:val="24"/>
              </w:rPr>
            </w:pPr>
            <w:r>
              <w:rPr>
                <w:rFonts w:ascii="Times New Roman" w:hAnsi="Times New Roman"/>
                <w:sz w:val="24"/>
                <w:szCs w:val="24"/>
              </w:rPr>
              <w:t>Hand and Finger Conditions</w:t>
            </w:r>
            <w:r w:rsidRPr="00760020">
              <w:rPr>
                <w:rFonts w:ascii="Times New Roman" w:hAnsi="Times New Roman"/>
                <w:sz w:val="24"/>
                <w:szCs w:val="24"/>
              </w:rPr>
              <w:t xml:space="preserve"> Disability Benefits </w:t>
            </w:r>
            <w:r>
              <w:rPr>
                <w:rFonts w:ascii="Times New Roman" w:hAnsi="Times New Roman"/>
                <w:sz w:val="24"/>
                <w:szCs w:val="24"/>
              </w:rPr>
              <w:t>Q</w:t>
            </w:r>
            <w:r w:rsidRPr="00760020">
              <w:rPr>
                <w:rFonts w:ascii="Times New Roman" w:hAnsi="Times New Roman"/>
                <w:sz w:val="24"/>
                <w:szCs w:val="24"/>
              </w:rPr>
              <w:t>uestionnaire</w:t>
            </w:r>
          </w:p>
        </w:tc>
      </w:tr>
    </w:tbl>
    <w:p w:rsidR="004419C7" w:rsidRDefault="004419C7" w:rsidP="004419C7">
      <w:pPr>
        <w:autoSpaceDE w:val="0"/>
        <w:autoSpaceDN w:val="0"/>
        <w:adjustRightInd w:val="0"/>
        <w:ind w:left="360"/>
        <w:jc w:val="center"/>
        <w:rPr>
          <w:rFonts w:ascii="Times New Roman" w:hAnsi="Times New Roman"/>
          <w:sz w:val="24"/>
          <w:szCs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4419C7" w:rsidRDefault="00A73F4B" w:rsidP="004419C7">
      <w:pPr>
        <w:autoSpaceDE w:val="0"/>
        <w:autoSpaceDN w:val="0"/>
        <w:adjustRightInd w:val="0"/>
        <w:ind w:left="360"/>
        <w:rPr>
          <w:rFonts w:ascii="Times New Roman" w:hAnsi="Times New Roman"/>
          <w:sz w:val="24"/>
          <w:szCs w:val="24"/>
        </w:rPr>
      </w:pPr>
      <w:r>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w:t>
      </w:r>
      <w:r w:rsidR="00086A69">
        <w:rPr>
          <w:rFonts w:ascii="Times New Roman" w:hAnsi="Times New Roman"/>
          <w:sz w:val="24"/>
          <w:szCs w:val="24"/>
        </w:rPr>
        <w:t xml:space="preserve">The VA Form 21-0960M-7, </w:t>
      </w:r>
      <w:r w:rsidR="00086A69">
        <w:rPr>
          <w:rFonts w:ascii="Times New Roman" w:hAnsi="Times New Roman"/>
          <w:i/>
          <w:sz w:val="24"/>
          <w:szCs w:val="24"/>
        </w:rPr>
        <w:t>Hand and Finger</w:t>
      </w:r>
      <w:r w:rsidR="00086A69" w:rsidRPr="007E07D0">
        <w:rPr>
          <w:rFonts w:ascii="Times New Roman" w:hAnsi="Times New Roman"/>
          <w:i/>
          <w:sz w:val="24"/>
          <w:szCs w:val="24"/>
        </w:rPr>
        <w:t xml:space="preserve"> Conditions Disability Benefits Questionnaire</w:t>
      </w:r>
      <w:r w:rsidR="00086A69">
        <w:rPr>
          <w:rFonts w:ascii="Times New Roman" w:hAnsi="Times New Roman"/>
          <w:sz w:val="24"/>
          <w:szCs w:val="24"/>
        </w:rPr>
        <w:t xml:space="preserve"> will be used for disability compensation or pension claims which require an examination and/or receiving private medical evidence that may potentially be sufficient for rating purposes.</w:t>
      </w:r>
    </w:p>
    <w:p w:rsidR="006A335D" w:rsidRDefault="006A335D" w:rsidP="004419C7">
      <w:pPr>
        <w:autoSpaceDE w:val="0"/>
        <w:autoSpaceDN w:val="0"/>
        <w:adjustRightInd w:val="0"/>
        <w:ind w:left="360"/>
        <w:rPr>
          <w:rFonts w:ascii="Times New Roman" w:hAnsi="Times New Roman"/>
          <w:sz w:val="24"/>
          <w:szCs w:val="24"/>
        </w:rPr>
      </w:pPr>
    </w:p>
    <w:p w:rsidR="006A335D" w:rsidRDefault="00086A69" w:rsidP="004419C7">
      <w:pPr>
        <w:autoSpaceDE w:val="0"/>
        <w:autoSpaceDN w:val="0"/>
        <w:adjustRightInd w:val="0"/>
        <w:ind w:left="360"/>
        <w:rPr>
          <w:rFonts w:ascii="Times New Roman" w:hAnsi="Times New Roman"/>
          <w:sz w:val="24"/>
          <w:szCs w:val="24"/>
        </w:rPr>
      </w:pPr>
      <w:r>
        <w:rPr>
          <w:rFonts w:ascii="Times New Roman" w:hAnsi="Times New Roman"/>
          <w:sz w:val="24"/>
        </w:rPr>
        <w:t>VA Form 21-0960M-7</w:t>
      </w:r>
      <w:r w:rsidR="006A335D">
        <w:rPr>
          <w:rFonts w:ascii="Times New Roman" w:hAnsi="Times New Roman"/>
          <w:sz w:val="24"/>
        </w:rPr>
        <w:t xml:space="preserve"> is being revised to include new standardization data points; to include optical character recognition boxes.  </w:t>
      </w:r>
      <w:r w:rsidR="00C85419">
        <w:rPr>
          <w:rFonts w:ascii="Times New Roman" w:hAnsi="Times New Roman"/>
          <w:sz w:val="24"/>
        </w:rPr>
        <w:t>This is a non-substantive change.</w:t>
      </w:r>
    </w:p>
    <w:p w:rsidR="001666F8" w:rsidRDefault="001666F8"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A73F4B" w:rsidRDefault="008B3D9A" w:rsidP="00A73F4B">
      <w:pPr>
        <w:autoSpaceDE w:val="0"/>
        <w:autoSpaceDN w:val="0"/>
        <w:adjustRightInd w:val="0"/>
        <w:ind w:left="360"/>
        <w:rPr>
          <w:rFonts w:ascii="Times New Roman" w:hAnsi="Times New Roman"/>
          <w:sz w:val="24"/>
          <w:szCs w:val="24"/>
        </w:rPr>
      </w:pPr>
      <w:r w:rsidRPr="00DE13A6">
        <w:rPr>
          <w:rFonts w:ascii="Times New Roman" w:hAnsi="Times New Roman"/>
          <w:sz w:val="24"/>
          <w:szCs w:val="24"/>
        </w:rPr>
        <w:t xml:space="preserve">VA Form 21-0960 series </w:t>
      </w:r>
      <w:r w:rsidR="00DA0948">
        <w:rPr>
          <w:rFonts w:ascii="Times New Roman" w:hAnsi="Times New Roman"/>
          <w:sz w:val="24"/>
          <w:szCs w:val="24"/>
        </w:rPr>
        <w:t xml:space="preserve">is </w:t>
      </w:r>
      <w:r w:rsidRPr="00DE13A6">
        <w:rPr>
          <w:rFonts w:ascii="Times New Roman" w:hAnsi="Times New Roman"/>
          <w:sz w:val="24"/>
          <w:szCs w:val="24"/>
        </w:rPr>
        <w:t>used to gather necessary information from a claimant’s treating physician regarding the results of medical examinations.  VA gather</w:t>
      </w:r>
      <w:r w:rsidR="00DA0948">
        <w:rPr>
          <w:rFonts w:ascii="Times New Roman" w:hAnsi="Times New Roman"/>
          <w:sz w:val="24"/>
          <w:szCs w:val="24"/>
        </w:rPr>
        <w:t>s</w:t>
      </w:r>
      <w:r w:rsidRPr="00DE13A6">
        <w:rPr>
          <w:rFonts w:ascii="Times New Roman" w:hAnsi="Times New Roman"/>
          <w:sz w:val="24"/>
          <w:szCs w:val="24"/>
        </w:rPr>
        <w:t xml:space="preserve"> medical information related to the claimant that is necessary to adjudicate t</w:t>
      </w:r>
      <w:r w:rsidR="00A73F4B">
        <w:rPr>
          <w:rFonts w:ascii="Times New Roman" w:hAnsi="Times New Roman"/>
          <w:sz w:val="24"/>
          <w:szCs w:val="24"/>
        </w:rPr>
        <w:t>he claim for VA disability bene</w:t>
      </w:r>
      <w:r w:rsidRPr="00DE13A6">
        <w:rPr>
          <w:rFonts w:ascii="Times New Roman" w:hAnsi="Times New Roman"/>
          <w:sz w:val="24"/>
          <w:szCs w:val="24"/>
        </w:rPr>
        <w:t>fits.</w:t>
      </w:r>
      <w:r>
        <w:rPr>
          <w:rFonts w:ascii="Times New Roman" w:hAnsi="Times New Roman"/>
          <w:sz w:val="24"/>
          <w:szCs w:val="24"/>
        </w:rPr>
        <w:t xml:space="preserve"> </w:t>
      </w:r>
      <w:r w:rsidR="00A73F4B">
        <w:rPr>
          <w:rFonts w:ascii="Times New Roman" w:hAnsi="Times New Roman"/>
          <w:sz w:val="24"/>
          <w:szCs w:val="24"/>
        </w:rPr>
        <w:t xml:space="preserve"> </w:t>
      </w:r>
      <w:r w:rsidRPr="00DE13A6">
        <w:rPr>
          <w:rFonts w:ascii="Times New Roman" w:hAnsi="Times New Roman"/>
          <w:sz w:val="24"/>
          <w:szCs w:val="24"/>
        </w:rPr>
        <w:t xml:space="preserve">The Disability Benefit Questionnaire title will include the name of the specific disability for which it will gather information.  </w:t>
      </w:r>
      <w:r w:rsidR="00086A69" w:rsidRPr="00FB2120">
        <w:rPr>
          <w:rFonts w:ascii="Times New Roman" w:hAnsi="Times New Roman"/>
          <w:sz w:val="24"/>
          <w:szCs w:val="24"/>
        </w:rPr>
        <w:t>VAF 21-0960M-</w:t>
      </w:r>
      <w:r w:rsidR="00086A69">
        <w:rPr>
          <w:rFonts w:ascii="Times New Roman" w:hAnsi="Times New Roman"/>
          <w:sz w:val="24"/>
          <w:szCs w:val="24"/>
        </w:rPr>
        <w:t>7,</w:t>
      </w:r>
      <w:r w:rsidR="00086A69" w:rsidRPr="00FB2120">
        <w:rPr>
          <w:rFonts w:ascii="Times New Roman" w:hAnsi="Times New Roman"/>
          <w:sz w:val="24"/>
          <w:szCs w:val="24"/>
        </w:rPr>
        <w:t xml:space="preserve"> </w:t>
      </w:r>
      <w:r w:rsidR="00086A69">
        <w:rPr>
          <w:rFonts w:ascii="Times New Roman" w:hAnsi="Times New Roman"/>
          <w:i/>
          <w:sz w:val="24"/>
          <w:szCs w:val="24"/>
        </w:rPr>
        <w:t xml:space="preserve">Hand and Finger Conditions </w:t>
      </w:r>
      <w:r w:rsidR="00086A69" w:rsidRPr="00E7635E">
        <w:rPr>
          <w:rFonts w:ascii="Times New Roman" w:hAnsi="Times New Roman"/>
          <w:i/>
          <w:sz w:val="24"/>
          <w:szCs w:val="24"/>
        </w:rPr>
        <w:t xml:space="preserve">Disability </w:t>
      </w:r>
      <w:proofErr w:type="spellStart"/>
      <w:r w:rsidR="00086A69" w:rsidRPr="00E7635E">
        <w:rPr>
          <w:rFonts w:ascii="Times New Roman" w:hAnsi="Times New Roman"/>
          <w:i/>
          <w:sz w:val="24"/>
          <w:szCs w:val="24"/>
        </w:rPr>
        <w:t>BenefitsQuestionnaire</w:t>
      </w:r>
      <w:proofErr w:type="spellEnd"/>
      <w:r w:rsidR="00086A69">
        <w:rPr>
          <w:rFonts w:ascii="Times New Roman" w:hAnsi="Times New Roman"/>
          <w:i/>
          <w:sz w:val="24"/>
          <w:szCs w:val="24"/>
        </w:rPr>
        <w:t>,</w:t>
      </w:r>
      <w:r w:rsidR="00086A69" w:rsidRPr="00FB2120">
        <w:rPr>
          <w:rFonts w:ascii="Times New Roman" w:hAnsi="Times New Roman"/>
          <w:sz w:val="24"/>
          <w:szCs w:val="24"/>
        </w:rPr>
        <w:t xml:space="preserve"> will gather information related to the claimant’s diagnosis of</w:t>
      </w:r>
      <w:r w:rsidR="00086A69">
        <w:rPr>
          <w:rFonts w:ascii="Times New Roman" w:hAnsi="Times New Roman"/>
          <w:sz w:val="24"/>
          <w:szCs w:val="24"/>
        </w:rPr>
        <w:t xml:space="preserve"> a hand or finger condition.  </w:t>
      </w:r>
    </w:p>
    <w:p w:rsidR="00086A69" w:rsidRPr="00FB5C85" w:rsidRDefault="00086A69"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DA0948" w:rsidP="00DA0948">
      <w:pPr>
        <w:pStyle w:val="NoSpacing"/>
        <w:ind w:left="360"/>
      </w:pPr>
      <w:r w:rsidRPr="00DE13A6">
        <w:t>VA Form</w:t>
      </w:r>
      <w:r>
        <w:t>s</w:t>
      </w:r>
      <w:r w:rsidRPr="00DE13A6">
        <w:t xml:space="preserve"> 21-0960</w:t>
      </w:r>
      <w:r w:rsidR="00A73F4B">
        <w:t>M-</w:t>
      </w:r>
      <w:r w:rsidR="00086A69">
        <w:t>7</w:t>
      </w:r>
      <w:r>
        <w:t xml:space="preserve">, </w:t>
      </w:r>
      <w:r w:rsidR="00A73F4B">
        <w:t>is</w:t>
      </w:r>
      <w:r>
        <w:t xml:space="preserve"> available on the One-VA web site in a fillable electronic format.  </w:t>
      </w:r>
      <w:r w:rsidRPr="00DE674E">
        <w:t xml:space="preserve">VBA is currently hosting this form on a secure server and does not currently have the </w:t>
      </w:r>
      <w:r w:rsidRPr="00DE674E">
        <w:lastRenderedPageBreak/>
        <w:t>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8D7CBE" w:rsidP="008D7CBE">
      <w:pPr>
        <w:pStyle w:val="NoSpacing"/>
        <w:ind w:left="360"/>
        <w:rPr>
          <w:szCs w:val="24"/>
        </w:rPr>
      </w:pPr>
      <w:r w:rsidRPr="00BD50D6">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Pr="00BD50D6">
        <w:rPr>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Pr>
          <w:szCs w:val="24"/>
        </w:rPr>
        <w:t xml:space="preserve">have replaced the current VA examination process in order </w:t>
      </w:r>
      <w:r w:rsidRPr="00BD50D6">
        <w:rPr>
          <w:szCs w:val="24"/>
        </w:rPr>
        <w:t xml:space="preserve">to obtain the essential medical evidence needed to rate the claim.  The forms being used publicly </w:t>
      </w:r>
      <w:r>
        <w:rPr>
          <w:szCs w:val="24"/>
        </w:rPr>
        <w:t xml:space="preserve">also </w:t>
      </w:r>
      <w:r w:rsidRPr="00BD50D6">
        <w:rPr>
          <w:szCs w:val="24"/>
        </w:rPr>
        <w:t>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w:t>
      </w:r>
      <w:r>
        <w:rPr>
          <w:szCs w:val="24"/>
        </w:rPr>
        <w:t xml:space="preserve"> </w:t>
      </w:r>
      <w:r w:rsidRPr="00BD50D6">
        <w:rPr>
          <w:szCs w:val="24"/>
        </w:rPr>
        <w:t>duplication; if a DBQ is received then a VA examination will not be required.</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8D7CBE" w:rsidRPr="00DE674E" w:rsidRDefault="008D7CBE" w:rsidP="008D7CBE">
      <w:pPr>
        <w:pStyle w:val="NoSpacing"/>
        <w:ind w:left="360"/>
        <w:rPr>
          <w:szCs w:val="24"/>
        </w:rPr>
      </w:pPr>
      <w:r w:rsidRPr="00DE674E">
        <w:t xml:space="preserve">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DE674E">
        <w:rPr>
          <w:szCs w:val="24"/>
        </w:rPr>
        <w:t xml:space="preserve">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w:t>
      </w:r>
      <w:r w:rsidRPr="00DE674E">
        <w:rPr>
          <w:szCs w:val="24"/>
        </w:rPr>
        <w:lastRenderedPageBreak/>
        <w:t>sufficient competent medical evidence to decide the claim. If the Veteran chooses to have his or her private physician complete a DBQ in lieu of a VA examination, the DBQ will solicit the information needed, per rating schedule criteria, to determine the level of disability without the need to schedule a VA medical examination.</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A73F4B" w:rsidRPr="00981B90" w:rsidRDefault="00A73F4B" w:rsidP="00860DF9">
      <w:pPr>
        <w:tabs>
          <w:tab w:val="right" w:pos="9360"/>
        </w:tabs>
        <w:ind w:left="360"/>
        <w:rPr>
          <w:rFonts w:ascii="Times New Roman" w:hAnsi="Times New Roman"/>
          <w:sz w:val="24"/>
          <w:szCs w:val="24"/>
        </w:rPr>
      </w:pPr>
      <w:r w:rsidRPr="00A73F4B">
        <w:rPr>
          <w:rFonts w:ascii="Times New Roman" w:hAnsi="Times New Roman"/>
          <w:sz w:val="24"/>
          <w:szCs w:val="24"/>
        </w:rPr>
        <w:t xml:space="preserve">The Department notice was published in the Federal Register on </w:t>
      </w:r>
      <w:r w:rsidR="005F3EEE">
        <w:rPr>
          <w:rFonts w:ascii="Times New Roman" w:hAnsi="Times New Roman"/>
          <w:sz w:val="24"/>
          <w:szCs w:val="24"/>
        </w:rPr>
        <w:t>March 7, 2012, V</w:t>
      </w:r>
      <w:r w:rsidRPr="00A73F4B">
        <w:rPr>
          <w:rFonts w:ascii="Times New Roman" w:hAnsi="Times New Roman"/>
          <w:sz w:val="24"/>
          <w:szCs w:val="24"/>
        </w:rPr>
        <w:t>olume</w:t>
      </w:r>
      <w:r w:rsidR="005F3EEE">
        <w:rPr>
          <w:rFonts w:ascii="Times New Roman" w:hAnsi="Times New Roman"/>
          <w:sz w:val="24"/>
          <w:szCs w:val="24"/>
        </w:rPr>
        <w:t xml:space="preserve"> 82</w:t>
      </w:r>
      <w:r w:rsidRPr="00A73F4B">
        <w:rPr>
          <w:rFonts w:ascii="Times New Roman" w:hAnsi="Times New Roman"/>
          <w:sz w:val="24"/>
          <w:szCs w:val="24"/>
        </w:rPr>
        <w:t xml:space="preserve">, No. </w:t>
      </w:r>
      <w:r w:rsidR="005F3EEE" w:rsidRPr="005F3EEE">
        <w:rPr>
          <w:rFonts w:ascii="Times New Roman" w:hAnsi="Times New Roman"/>
          <w:sz w:val="24"/>
          <w:szCs w:val="24"/>
        </w:rPr>
        <w:t xml:space="preserve">43, </w:t>
      </w:r>
      <w:r w:rsidRPr="005F3EEE">
        <w:rPr>
          <w:rFonts w:ascii="Times New Roman" w:hAnsi="Times New Roman"/>
          <w:sz w:val="24"/>
          <w:szCs w:val="24"/>
        </w:rPr>
        <w:t>page</w:t>
      </w:r>
      <w:r w:rsidR="005F3EEE" w:rsidRPr="005F3EEE">
        <w:rPr>
          <w:rFonts w:ascii="Times New Roman" w:hAnsi="Times New Roman"/>
          <w:sz w:val="24"/>
          <w:szCs w:val="24"/>
        </w:rPr>
        <w:t xml:space="preserve"> 12912</w:t>
      </w:r>
      <w:r w:rsidRPr="005F3EEE">
        <w:rPr>
          <w:rFonts w:ascii="Times New Roman" w:hAnsi="Times New Roman"/>
          <w:sz w:val="24"/>
          <w:szCs w:val="24"/>
        </w:rPr>
        <w:t>.</w:t>
      </w:r>
      <w:r w:rsidRPr="00A73F4B">
        <w:rPr>
          <w:rFonts w:ascii="Times New Roman" w:hAnsi="Times New Roman"/>
          <w:sz w:val="24"/>
          <w:szCs w:val="24"/>
        </w:rPr>
        <w:t xml:space="preserve">  </w:t>
      </w:r>
      <w:r w:rsidR="005F3EEE">
        <w:rPr>
          <w:rFonts w:ascii="Times New Roman" w:hAnsi="Times New Roman"/>
          <w:sz w:val="24"/>
          <w:szCs w:val="24"/>
        </w:rPr>
        <w:t xml:space="preserve">One </w:t>
      </w:r>
      <w:r w:rsidRPr="00A73F4B">
        <w:rPr>
          <w:rFonts w:ascii="Times New Roman" w:hAnsi="Times New Roman"/>
          <w:sz w:val="24"/>
          <w:szCs w:val="24"/>
        </w:rPr>
        <w:t>comment w</w:t>
      </w:r>
      <w:r w:rsidR="005F3EEE">
        <w:rPr>
          <w:rFonts w:ascii="Times New Roman" w:hAnsi="Times New Roman"/>
          <w:sz w:val="24"/>
          <w:szCs w:val="24"/>
        </w:rPr>
        <w:t>as</w:t>
      </w:r>
      <w:r w:rsidRPr="00A73F4B">
        <w:rPr>
          <w:rFonts w:ascii="Times New Roman" w:hAnsi="Times New Roman"/>
          <w:sz w:val="24"/>
          <w:szCs w:val="24"/>
        </w:rPr>
        <w:t xml:space="preserve"> received in response to this notice.</w:t>
      </w:r>
      <w:r w:rsidR="005F3EEE">
        <w:rPr>
          <w:rFonts w:ascii="Times New Roman" w:hAnsi="Times New Roman"/>
          <w:sz w:val="24"/>
          <w:szCs w:val="24"/>
        </w:rPr>
        <w:t xml:space="preserve">  The anonymous commenter left a compliment on the data collection.  </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lastRenderedPageBreak/>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086A69">
        <w:rPr>
          <w:rFonts w:ascii="Times New Roman" w:hAnsi="Times New Roman"/>
          <w:sz w:val="24"/>
        </w:rPr>
        <w:t>3</w:t>
      </w:r>
      <w:r w:rsidR="00A73F4B">
        <w:rPr>
          <w:rFonts w:ascii="Times New Roman" w:hAnsi="Times New Roman"/>
          <w:sz w:val="24"/>
        </w:rPr>
        <w:t>0</w:t>
      </w:r>
      <w:r w:rsidRPr="00285A7C">
        <w:rPr>
          <w:rFonts w:ascii="Times New Roman" w:hAnsi="Times New Roman"/>
          <w:sz w:val="24"/>
        </w:rPr>
        <w:t>,</w:t>
      </w:r>
      <w:r w:rsidR="0081029E" w:rsidRPr="00285A7C">
        <w:rPr>
          <w:rFonts w:ascii="Times New Roman" w:hAnsi="Times New Roman"/>
          <w:sz w:val="24"/>
        </w:rPr>
        <w:t>0</w:t>
      </w:r>
      <w:r w:rsidRPr="00285A7C">
        <w:rPr>
          <w:rFonts w:ascii="Times New Roman" w:hAnsi="Times New Roman"/>
          <w:sz w:val="24"/>
        </w:rPr>
        <w:t>00 per</w:t>
      </w:r>
      <w:r w:rsidRPr="00981B90">
        <w:rPr>
          <w:rFonts w:ascii="Times New Roman" w:hAnsi="Times New Roman"/>
          <w:sz w:val="24"/>
        </w:rPr>
        <w:t xml:space="preserve"> year.</w:t>
      </w:r>
    </w:p>
    <w:p w:rsidR="0081029E" w:rsidRPr="0081029E"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Frequency of Response is once.  </w:t>
      </w:r>
    </w:p>
    <w:p w:rsidR="0081029E" w:rsidRPr="00634344" w:rsidRDefault="0081029E" w:rsidP="0081029E">
      <w:pPr>
        <w:tabs>
          <w:tab w:val="left" w:pos="480"/>
          <w:tab w:val="right" w:pos="720"/>
        </w:tabs>
        <w:ind w:left="720" w:right="684"/>
        <w:rPr>
          <w:rFonts w:ascii="Times New Roman" w:hAnsi="Times New Roman"/>
          <w:sz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Annual burden </w:t>
      </w:r>
      <w:r w:rsidRPr="00285A7C">
        <w:rPr>
          <w:rFonts w:ascii="Times New Roman" w:hAnsi="Times New Roman"/>
          <w:sz w:val="24"/>
        </w:rPr>
        <w:t xml:space="preserve">is </w:t>
      </w:r>
      <w:r w:rsidR="00086A69">
        <w:rPr>
          <w:rFonts w:ascii="Times New Roman" w:hAnsi="Times New Roman"/>
          <w:sz w:val="24"/>
        </w:rPr>
        <w:t>1</w:t>
      </w:r>
      <w:r w:rsidR="00A73F4B">
        <w:rPr>
          <w:rFonts w:ascii="Times New Roman" w:hAnsi="Times New Roman"/>
          <w:sz w:val="24"/>
        </w:rPr>
        <w:t>5,000</w:t>
      </w:r>
      <w:r w:rsidRPr="00981B90">
        <w:rPr>
          <w:rFonts w:ascii="Times New Roman" w:hAnsi="Times New Roman"/>
          <w:sz w:val="24"/>
        </w:rPr>
        <w:t xml:space="preserve"> hours.</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Pr="0081029E">
        <w:rPr>
          <w:rFonts w:ascii="Times New Roman" w:hAnsi="Times New Roman"/>
          <w:sz w:val="24"/>
        </w:rPr>
        <w:t xml:space="preserve">is </w:t>
      </w:r>
      <w:r w:rsidR="001666F8">
        <w:rPr>
          <w:rFonts w:ascii="Times New Roman" w:hAnsi="Times New Roman"/>
          <w:sz w:val="24"/>
        </w:rPr>
        <w:t>30</w:t>
      </w:r>
      <w:r w:rsidRPr="00634344">
        <w:rPr>
          <w:rFonts w:ascii="Times New Roman" w:hAnsi="Times New Roman"/>
          <w:sz w:val="24"/>
        </w:rPr>
        <w:t xml:space="preserve"> minutes.</w:t>
      </w:r>
    </w:p>
    <w:p w:rsidR="0081029E" w:rsidRPr="00634344" w:rsidRDefault="0081029E" w:rsidP="0081029E">
      <w:pPr>
        <w:tabs>
          <w:tab w:val="left" w:pos="480"/>
          <w:tab w:val="right" w:pos="720"/>
        </w:tabs>
        <w:ind w:left="720" w:right="684"/>
        <w:rPr>
          <w:rFonts w:ascii="Times New Roman" w:hAnsi="Times New Roman"/>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The respondent population for VA Form</w:t>
      </w:r>
      <w:r w:rsidR="00F515C3" w:rsidRPr="00F515C3">
        <w:rPr>
          <w:rFonts w:ascii="Times New Roman" w:hAnsi="Times New Roman"/>
          <w:sz w:val="24"/>
          <w:szCs w:val="24"/>
        </w:rPr>
        <w:t>s</w:t>
      </w:r>
      <w:r w:rsidRPr="00F515C3">
        <w:rPr>
          <w:rFonts w:ascii="Times New Roman" w:hAnsi="Times New Roman"/>
          <w:sz w:val="24"/>
          <w:szCs w:val="24"/>
        </w:rPr>
        <w:t xml:space="preserve"> 21-</w:t>
      </w:r>
      <w:r w:rsidR="00086A69">
        <w:rPr>
          <w:rFonts w:ascii="Times New Roman" w:hAnsi="Times New Roman"/>
          <w:sz w:val="24"/>
          <w:szCs w:val="24"/>
        </w:rPr>
        <w:t>0960M-7</w:t>
      </w:r>
      <w:r w:rsidR="00A73F4B">
        <w:rPr>
          <w:rFonts w:ascii="Times New Roman" w:hAnsi="Times New Roman"/>
          <w:sz w:val="24"/>
          <w:szCs w:val="24"/>
        </w:rPr>
        <w:t>,</w:t>
      </w:r>
      <w:r w:rsidR="00F515C3" w:rsidRPr="00F515C3">
        <w:rPr>
          <w:rFonts w:ascii="Times New Roman" w:hAnsi="Times New Roman"/>
          <w:sz w:val="24"/>
          <w:szCs w:val="24"/>
        </w:rPr>
        <w:t xml:space="preserve"> </w:t>
      </w:r>
      <w:r w:rsidRPr="00F515C3">
        <w:rPr>
          <w:rFonts w:ascii="Times New Roman" w:hAnsi="Times New Roman"/>
          <w:sz w:val="24"/>
          <w:szCs w:val="24"/>
        </w:rPr>
        <w:t xml:space="preserve">is composed of individuals </w:t>
      </w:r>
      <w:r w:rsidR="00F515C3" w:rsidRPr="00F515C3">
        <w:rPr>
          <w:rFonts w:ascii="Times New Roman" w:hAnsi="Times New Roman"/>
          <w:sz w:val="24"/>
          <w:szCs w:val="24"/>
        </w:rPr>
        <w:t>gathering the necessary information from a claimant’s treating physician regarding the results of medical examinations.</w:t>
      </w:r>
      <w:r w:rsidR="001504A9">
        <w:rPr>
          <w:rFonts w:ascii="Times New Roman" w:hAnsi="Times New Roman"/>
          <w:sz w:val="24"/>
          <w:szCs w:val="24"/>
        </w:rPr>
        <w:t xml:space="preserve">  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A615CF" w:rsidRDefault="00A615CF" w:rsidP="00A615CF">
      <w:pPr>
        <w:ind w:left="720"/>
        <w:rPr>
          <w:rFonts w:ascii="Times New Roman" w:hAnsi="Times New Roman"/>
          <w:sz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6D6F6E" w:rsidRDefault="006D6F6E"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A615CF">
        <w:t>357,900</w:t>
      </w:r>
      <w:r w:rsidRPr="00F515C3">
        <w:t xml:space="preserve"> (</w:t>
      </w:r>
      <w:r w:rsidR="00086A69">
        <w:t>1</w:t>
      </w:r>
      <w:r w:rsidR="00A73F4B">
        <w:t>5,000</w:t>
      </w:r>
      <w:r w:rsidRPr="00F515C3">
        <w:t xml:space="preserve"> burden hours x $23.</w:t>
      </w:r>
      <w:r w:rsidR="00A615CF">
        <w:t>86</w:t>
      </w:r>
      <w:r w:rsidRPr="00F515C3">
        <w:t xml:space="preserve"> per hour).</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1666F8" w:rsidP="004419C7">
      <w:pPr>
        <w:tabs>
          <w:tab w:val="left" w:pos="480"/>
          <w:tab w:val="right" w:pos="8640"/>
        </w:tabs>
        <w:ind w:left="360" w:right="684"/>
        <w:rPr>
          <w:rFonts w:ascii="Times New Roman" w:hAnsi="Times New Roman"/>
          <w:sz w:val="24"/>
        </w:rPr>
      </w:pPr>
      <w:r>
        <w:rPr>
          <w:rFonts w:ascii="Times New Roman" w:hAnsi="Times New Roman"/>
          <w:sz w:val="24"/>
        </w:rPr>
        <w:br w:type="page"/>
      </w:r>
      <w:r w:rsidR="00DD22FC" w:rsidRPr="00FB5C85">
        <w:rPr>
          <w:rFonts w:ascii="Times New Roman" w:hAnsi="Times New Roman"/>
          <w:sz w:val="24"/>
        </w:rPr>
        <w:lastRenderedPageBreak/>
        <w:t>Estimated Costs to the Federal Government:</w:t>
      </w:r>
    </w:p>
    <w:p w:rsidR="00860DF9" w:rsidRDefault="00860DF9" w:rsidP="004419C7">
      <w:pPr>
        <w:tabs>
          <w:tab w:val="left" w:pos="480"/>
          <w:tab w:val="right" w:pos="8640"/>
        </w:tabs>
        <w:ind w:left="360" w:right="684"/>
        <w:rPr>
          <w:rFonts w:ascii="Times New Roman" w:hAnsi="Times New Roman"/>
          <w:sz w:val="24"/>
        </w:rPr>
      </w:pPr>
    </w:p>
    <w:tbl>
      <w:tblPr>
        <w:tblW w:w="8100" w:type="dxa"/>
        <w:tblInd w:w="738" w:type="dxa"/>
        <w:tblLook w:val="04A0" w:firstRow="1" w:lastRow="0" w:firstColumn="1" w:lastColumn="0" w:noHBand="0" w:noVBand="1"/>
      </w:tblPr>
      <w:tblGrid>
        <w:gridCol w:w="720"/>
        <w:gridCol w:w="540"/>
        <w:gridCol w:w="793"/>
        <w:gridCol w:w="816"/>
        <w:gridCol w:w="821"/>
        <w:gridCol w:w="1080"/>
        <w:gridCol w:w="1260"/>
        <w:gridCol w:w="2070"/>
      </w:tblGrid>
      <w:tr w:rsidR="00860DF9" w:rsidRPr="00860DF9" w:rsidTr="00860DF9">
        <w:trPr>
          <w:trHeight w:val="492"/>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Grade</w:t>
            </w:r>
          </w:p>
        </w:tc>
        <w:tc>
          <w:tcPr>
            <w:tcW w:w="540" w:type="dxa"/>
            <w:tcBorders>
              <w:top w:val="single" w:sz="8" w:space="0" w:color="auto"/>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Step</w:t>
            </w:r>
          </w:p>
        </w:tc>
        <w:tc>
          <w:tcPr>
            <w:tcW w:w="793" w:type="dxa"/>
            <w:tcBorders>
              <w:top w:val="single" w:sz="8" w:space="0" w:color="auto"/>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Fraction of Hour</w:t>
            </w:r>
          </w:p>
        </w:tc>
        <w:tc>
          <w:tcPr>
            <w:tcW w:w="821" w:type="dxa"/>
            <w:tcBorders>
              <w:top w:val="single" w:sz="8" w:space="0" w:color="auto"/>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Hourly Rate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Cost Per Response</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Total Responses</w:t>
            </w:r>
          </w:p>
        </w:tc>
        <w:tc>
          <w:tcPr>
            <w:tcW w:w="2070" w:type="dxa"/>
            <w:tcBorders>
              <w:top w:val="single" w:sz="8" w:space="0" w:color="auto"/>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18"/>
                <w:szCs w:val="18"/>
              </w:rPr>
            </w:pPr>
            <w:r w:rsidRPr="00860DF9">
              <w:rPr>
                <w:rFonts w:ascii="Times New Roman" w:hAnsi="Times New Roman"/>
                <w:color w:val="000000"/>
                <w:sz w:val="18"/>
                <w:szCs w:val="18"/>
              </w:rPr>
              <w:t>Total</w:t>
            </w:r>
          </w:p>
        </w:tc>
      </w:tr>
      <w:tr w:rsidR="00860DF9" w:rsidRPr="00860DF9" w:rsidTr="00860DF9">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9</w:t>
            </w:r>
          </w:p>
        </w:tc>
        <w:tc>
          <w:tcPr>
            <w:tcW w:w="54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3</w:t>
            </w:r>
          </w:p>
        </w:tc>
        <w:tc>
          <w:tcPr>
            <w:tcW w:w="793"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60</w:t>
            </w:r>
          </w:p>
        </w:tc>
        <w:tc>
          <w:tcPr>
            <w:tcW w:w="816"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1.00</w:t>
            </w:r>
          </w:p>
        </w:tc>
        <w:tc>
          <w:tcPr>
            <w:tcW w:w="821"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$22.11 </w:t>
            </w:r>
          </w:p>
        </w:tc>
        <w:tc>
          <w:tcPr>
            <w:tcW w:w="108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22.110</w:t>
            </w:r>
          </w:p>
        </w:tc>
        <w:tc>
          <w:tcPr>
            <w:tcW w:w="126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30,000 </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   663,300.00 </w:t>
            </w:r>
          </w:p>
        </w:tc>
      </w:tr>
      <w:tr w:rsidR="00860DF9" w:rsidRPr="00860DF9" w:rsidTr="00860DF9">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60DF9" w:rsidRPr="00860DF9" w:rsidRDefault="00860DF9" w:rsidP="00860DF9">
            <w:pPr>
              <w:rPr>
                <w:rFonts w:ascii="Times New Roman" w:hAnsi="Times New Roman"/>
                <w:color w:val="000000"/>
                <w:sz w:val="22"/>
                <w:szCs w:val="22"/>
              </w:rPr>
            </w:pPr>
            <w:r w:rsidRPr="00860DF9">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   663,300.00 </w:t>
            </w:r>
          </w:p>
        </w:tc>
      </w:tr>
      <w:tr w:rsidR="00860DF9" w:rsidRPr="00860DF9" w:rsidTr="00860DF9">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11</w:t>
            </w:r>
          </w:p>
        </w:tc>
        <w:tc>
          <w:tcPr>
            <w:tcW w:w="54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3</w:t>
            </w:r>
          </w:p>
        </w:tc>
        <w:tc>
          <w:tcPr>
            <w:tcW w:w="793"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0.50</w:t>
            </w:r>
          </w:p>
        </w:tc>
        <w:tc>
          <w:tcPr>
            <w:tcW w:w="821"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$26.75 </w:t>
            </w:r>
          </w:p>
        </w:tc>
        <w:tc>
          <w:tcPr>
            <w:tcW w:w="108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13.375</w:t>
            </w:r>
          </w:p>
        </w:tc>
        <w:tc>
          <w:tcPr>
            <w:tcW w:w="126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30,000 </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   401,250.00 </w:t>
            </w:r>
          </w:p>
        </w:tc>
      </w:tr>
      <w:tr w:rsidR="00860DF9" w:rsidRPr="00860DF9" w:rsidTr="00860DF9">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60DF9" w:rsidRPr="00860DF9" w:rsidRDefault="00860DF9" w:rsidP="00860DF9">
            <w:pPr>
              <w:rPr>
                <w:rFonts w:ascii="Times New Roman" w:hAnsi="Times New Roman"/>
                <w:color w:val="000000"/>
                <w:sz w:val="22"/>
                <w:szCs w:val="22"/>
              </w:rPr>
            </w:pPr>
            <w:r w:rsidRPr="00860DF9">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   401,250.00 </w:t>
            </w:r>
          </w:p>
        </w:tc>
      </w:tr>
      <w:tr w:rsidR="00860DF9" w:rsidRPr="00860DF9" w:rsidTr="00860DF9">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12</w:t>
            </w:r>
          </w:p>
        </w:tc>
        <w:tc>
          <w:tcPr>
            <w:tcW w:w="54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3</w:t>
            </w:r>
          </w:p>
        </w:tc>
        <w:tc>
          <w:tcPr>
            <w:tcW w:w="793"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15</w:t>
            </w:r>
          </w:p>
        </w:tc>
        <w:tc>
          <w:tcPr>
            <w:tcW w:w="816"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0.25</w:t>
            </w:r>
          </w:p>
        </w:tc>
        <w:tc>
          <w:tcPr>
            <w:tcW w:w="821"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$32.06 </w:t>
            </w:r>
          </w:p>
        </w:tc>
        <w:tc>
          <w:tcPr>
            <w:tcW w:w="108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8.015</w:t>
            </w:r>
          </w:p>
        </w:tc>
        <w:tc>
          <w:tcPr>
            <w:tcW w:w="1260" w:type="dxa"/>
            <w:tcBorders>
              <w:top w:val="nil"/>
              <w:left w:val="nil"/>
              <w:bottom w:val="single" w:sz="4" w:space="0" w:color="auto"/>
              <w:right w:val="single" w:sz="4"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30,000 </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   240,450.00 </w:t>
            </w:r>
          </w:p>
        </w:tc>
      </w:tr>
      <w:tr w:rsidR="00860DF9" w:rsidRPr="00860DF9" w:rsidTr="00860DF9">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60DF9" w:rsidRPr="00860DF9" w:rsidRDefault="00860DF9" w:rsidP="00860DF9">
            <w:pPr>
              <w:rPr>
                <w:rFonts w:ascii="Times New Roman" w:hAnsi="Times New Roman"/>
                <w:color w:val="000000"/>
                <w:sz w:val="22"/>
                <w:szCs w:val="22"/>
              </w:rPr>
            </w:pPr>
            <w:r w:rsidRPr="00860DF9">
              <w:rPr>
                <w:rFonts w:ascii="Times New Roman" w:hAnsi="Times New Roman"/>
                <w:color w:val="000000"/>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   240,450.00 </w:t>
            </w:r>
          </w:p>
        </w:tc>
      </w:tr>
      <w:tr w:rsidR="00860DF9" w:rsidRPr="00860DF9" w:rsidTr="00860DF9">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w:t>
            </w:r>
          </w:p>
        </w:tc>
      </w:tr>
      <w:tr w:rsidR="00860DF9" w:rsidRPr="00860DF9" w:rsidTr="00860DF9">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60DF9" w:rsidRPr="00860DF9" w:rsidRDefault="00860DF9" w:rsidP="00860DF9">
            <w:pPr>
              <w:rPr>
                <w:rFonts w:ascii="Times New Roman" w:hAnsi="Times New Roman"/>
                <w:color w:val="000000"/>
                <w:sz w:val="22"/>
                <w:szCs w:val="22"/>
              </w:rPr>
            </w:pPr>
            <w:r w:rsidRPr="00860DF9">
              <w:rPr>
                <w:rFonts w:ascii="Times New Roman" w:hAnsi="Times New Roman"/>
                <w:color w:val="000000"/>
                <w:sz w:val="22"/>
                <w:szCs w:val="22"/>
              </w:rPr>
              <w:t>Processing / Analyzing Costs</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$2,610,000.00 </w:t>
            </w:r>
          </w:p>
        </w:tc>
      </w:tr>
      <w:tr w:rsidR="00860DF9" w:rsidRPr="00860DF9" w:rsidTr="00860DF9">
        <w:trPr>
          <w:trHeight w:val="288"/>
        </w:trPr>
        <w:tc>
          <w:tcPr>
            <w:tcW w:w="60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860DF9" w:rsidRPr="00860DF9" w:rsidRDefault="00860DF9" w:rsidP="00860DF9">
            <w:pPr>
              <w:rPr>
                <w:rFonts w:ascii="Times New Roman" w:hAnsi="Times New Roman"/>
                <w:color w:val="000000"/>
                <w:sz w:val="22"/>
                <w:szCs w:val="22"/>
              </w:rPr>
            </w:pPr>
            <w:r w:rsidRPr="00860DF9">
              <w:rPr>
                <w:rFonts w:ascii="Times New Roman" w:hAnsi="Times New Roman"/>
                <w:color w:val="000000"/>
                <w:sz w:val="22"/>
                <w:szCs w:val="22"/>
              </w:rPr>
              <w:t>Printing and Production Cost</w:t>
            </w:r>
          </w:p>
        </w:tc>
        <w:tc>
          <w:tcPr>
            <w:tcW w:w="2070" w:type="dxa"/>
            <w:tcBorders>
              <w:top w:val="nil"/>
              <w:left w:val="nil"/>
              <w:bottom w:val="single" w:sz="4"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     29,000.00 </w:t>
            </w:r>
          </w:p>
        </w:tc>
      </w:tr>
      <w:tr w:rsidR="00860DF9" w:rsidRPr="00860DF9" w:rsidTr="00860DF9">
        <w:trPr>
          <w:trHeight w:val="300"/>
        </w:trPr>
        <w:tc>
          <w:tcPr>
            <w:tcW w:w="603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860DF9" w:rsidRPr="00860DF9" w:rsidRDefault="00860DF9" w:rsidP="00860DF9">
            <w:pPr>
              <w:rPr>
                <w:rFonts w:ascii="Times New Roman" w:hAnsi="Times New Roman"/>
                <w:color w:val="000000"/>
                <w:sz w:val="22"/>
                <w:szCs w:val="22"/>
              </w:rPr>
            </w:pPr>
            <w:r w:rsidRPr="00860DF9">
              <w:rPr>
                <w:rFonts w:ascii="Times New Roman" w:hAnsi="Times New Roman"/>
                <w:color w:val="000000"/>
                <w:sz w:val="22"/>
                <w:szCs w:val="22"/>
              </w:rPr>
              <w:t>Total Cost to Government</w:t>
            </w:r>
          </w:p>
        </w:tc>
        <w:tc>
          <w:tcPr>
            <w:tcW w:w="2070" w:type="dxa"/>
            <w:tcBorders>
              <w:top w:val="nil"/>
              <w:left w:val="nil"/>
              <w:bottom w:val="single" w:sz="8" w:space="0" w:color="auto"/>
              <w:right w:val="single" w:sz="8" w:space="0" w:color="auto"/>
            </w:tcBorders>
            <w:shd w:val="clear" w:color="auto" w:fill="auto"/>
            <w:vAlign w:val="bottom"/>
            <w:hideMark/>
          </w:tcPr>
          <w:p w:rsidR="00860DF9" w:rsidRPr="00860DF9" w:rsidRDefault="00860DF9" w:rsidP="00860DF9">
            <w:pPr>
              <w:jc w:val="center"/>
              <w:rPr>
                <w:rFonts w:ascii="Times New Roman" w:hAnsi="Times New Roman"/>
                <w:color w:val="000000"/>
                <w:sz w:val="22"/>
                <w:szCs w:val="22"/>
              </w:rPr>
            </w:pPr>
            <w:r w:rsidRPr="00860DF9">
              <w:rPr>
                <w:rFonts w:ascii="Times New Roman" w:hAnsi="Times New Roman"/>
                <w:color w:val="000000"/>
                <w:sz w:val="22"/>
                <w:szCs w:val="22"/>
              </w:rPr>
              <w:t xml:space="preserve"> $2,639,000.00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DA0948" w:rsidRDefault="00A615CF" w:rsidP="00DA0948">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This rate does not include any locality adjustment as applicable.</w:t>
      </w:r>
    </w:p>
    <w:p w:rsidR="00A615CF" w:rsidRDefault="00A615CF"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bookmarkStart w:id="0" w:name="_GoBack"/>
      <w:bookmarkEnd w:id="0"/>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6A335D" w:rsidRDefault="008D7CBE" w:rsidP="006A335D">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6A335D">
        <w:rPr>
          <w:rFonts w:ascii="Times New Roman" w:hAnsi="Times New Roman"/>
          <w:sz w:val="24"/>
        </w:rPr>
        <w:t xml:space="preserve">  VA Form 21-0960M-</w:t>
      </w:r>
      <w:r w:rsidR="00860DF9">
        <w:rPr>
          <w:rFonts w:ascii="Times New Roman" w:hAnsi="Times New Roman"/>
          <w:sz w:val="24"/>
        </w:rPr>
        <w:t>7</w:t>
      </w:r>
      <w:r w:rsidR="006A335D">
        <w:rPr>
          <w:rFonts w:ascii="Times New Roman" w:hAnsi="Times New Roman"/>
          <w:sz w:val="24"/>
        </w:rPr>
        <w:t xml:space="preserve"> is being revised to include new standardization data points; to include optical character recognition boxes.  </w:t>
      </w:r>
      <w:r w:rsidR="00C85419">
        <w:rPr>
          <w:rFonts w:ascii="Times New Roman" w:hAnsi="Times New Roman"/>
          <w:sz w:val="24"/>
        </w:rPr>
        <w:t>This is a non-substantive change.</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860DF9">
      <w:pPr>
        <w:pStyle w:val="NoSpacing"/>
        <w:numPr>
          <w:ilvl w:val="0"/>
          <w:numId w:val="15"/>
        </w:numPr>
        <w:rPr>
          <w:b/>
        </w:rPr>
      </w:pPr>
      <w:r w:rsidRPr="004D09F8">
        <w:rPr>
          <w:b/>
        </w:rPr>
        <w:lastRenderedPageBreak/>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3C" w:rsidRDefault="00313D3C" w:rsidP="004419C7">
      <w:r>
        <w:separator/>
      </w:r>
    </w:p>
  </w:endnote>
  <w:endnote w:type="continuationSeparator" w:id="0">
    <w:p w:rsidR="00313D3C" w:rsidRDefault="00313D3C"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3C" w:rsidRDefault="00313D3C" w:rsidP="004419C7">
      <w:r>
        <w:separator/>
      </w:r>
    </w:p>
  </w:footnote>
  <w:footnote w:type="continuationSeparator" w:id="0">
    <w:p w:rsidR="00313D3C" w:rsidRDefault="00313D3C"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C7" w:rsidRDefault="004419C7" w:rsidP="004419C7">
    <w:pPr>
      <w:pStyle w:val="Heading2"/>
      <w:jc w:val="center"/>
    </w:pPr>
    <w:r>
      <w:t xml:space="preserve">Disability Benefits Questionnaire </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0"/>
  </w:num>
  <w:num w:numId="6">
    <w:abstractNumId w:val="4"/>
  </w:num>
  <w:num w:numId="7">
    <w:abstractNumId w:val="11"/>
  </w:num>
  <w:num w:numId="8">
    <w:abstractNumId w:val="7"/>
  </w:num>
  <w:num w:numId="9">
    <w:abstractNumId w:val="15"/>
  </w:num>
  <w:num w:numId="10">
    <w:abstractNumId w:val="6"/>
  </w:num>
  <w:num w:numId="11">
    <w:abstractNumId w:val="1"/>
  </w:num>
  <w:num w:numId="12">
    <w:abstractNumId w:val="12"/>
  </w:num>
  <w:num w:numId="13">
    <w:abstractNumId w:val="9"/>
  </w:num>
  <w:num w:numId="14">
    <w:abstractNumId w:val="13"/>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7321F"/>
    <w:rsid w:val="00086A69"/>
    <w:rsid w:val="000A30AD"/>
    <w:rsid w:val="000D1007"/>
    <w:rsid w:val="000E314C"/>
    <w:rsid w:val="001361D2"/>
    <w:rsid w:val="001504A9"/>
    <w:rsid w:val="00161980"/>
    <w:rsid w:val="001666F8"/>
    <w:rsid w:val="00166CC5"/>
    <w:rsid w:val="0017741F"/>
    <w:rsid w:val="00190D1A"/>
    <w:rsid w:val="00254443"/>
    <w:rsid w:val="00273D83"/>
    <w:rsid w:val="00285A7C"/>
    <w:rsid w:val="003075D1"/>
    <w:rsid w:val="00313D3C"/>
    <w:rsid w:val="003E4BFC"/>
    <w:rsid w:val="003F667D"/>
    <w:rsid w:val="00403B98"/>
    <w:rsid w:val="0042579D"/>
    <w:rsid w:val="004419C7"/>
    <w:rsid w:val="00476040"/>
    <w:rsid w:val="00477806"/>
    <w:rsid w:val="004D09F8"/>
    <w:rsid w:val="00504A78"/>
    <w:rsid w:val="00506AA3"/>
    <w:rsid w:val="0051735E"/>
    <w:rsid w:val="00534FB8"/>
    <w:rsid w:val="00560B8B"/>
    <w:rsid w:val="00561A7D"/>
    <w:rsid w:val="005703C7"/>
    <w:rsid w:val="005F3EEE"/>
    <w:rsid w:val="00634344"/>
    <w:rsid w:val="00652546"/>
    <w:rsid w:val="006606CC"/>
    <w:rsid w:val="006735B4"/>
    <w:rsid w:val="006A335D"/>
    <w:rsid w:val="006D6F6E"/>
    <w:rsid w:val="0073796B"/>
    <w:rsid w:val="0081029E"/>
    <w:rsid w:val="00860DF9"/>
    <w:rsid w:val="00864171"/>
    <w:rsid w:val="008B3D9A"/>
    <w:rsid w:val="008D7CBE"/>
    <w:rsid w:val="00951257"/>
    <w:rsid w:val="00997CEB"/>
    <w:rsid w:val="009C4C5A"/>
    <w:rsid w:val="009E5BBA"/>
    <w:rsid w:val="00A615CF"/>
    <w:rsid w:val="00A73F4B"/>
    <w:rsid w:val="00AB34FE"/>
    <w:rsid w:val="00BC4A02"/>
    <w:rsid w:val="00C148C9"/>
    <w:rsid w:val="00C4304A"/>
    <w:rsid w:val="00C85419"/>
    <w:rsid w:val="00C973B3"/>
    <w:rsid w:val="00CC226A"/>
    <w:rsid w:val="00D74CA7"/>
    <w:rsid w:val="00DA0948"/>
    <w:rsid w:val="00DB0ED3"/>
    <w:rsid w:val="00DC6296"/>
    <w:rsid w:val="00DD22FC"/>
    <w:rsid w:val="00E17A20"/>
    <w:rsid w:val="00E47160"/>
    <w:rsid w:val="00F06E1F"/>
    <w:rsid w:val="00F10742"/>
    <w:rsid w:val="00F515C3"/>
    <w:rsid w:val="00FB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3059">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2189</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14643</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Kayce White </cp:lastModifiedBy>
  <cp:revision>2</cp:revision>
  <cp:lastPrinted>2010-06-09T15:21:00Z</cp:lastPrinted>
  <dcterms:created xsi:type="dcterms:W3CDTF">2017-06-26T21:26:00Z</dcterms:created>
  <dcterms:modified xsi:type="dcterms:W3CDTF">2017-06-26T21:26:00Z</dcterms:modified>
</cp:coreProperties>
</file>