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66" w:rsidRDefault="003F6D66" w:rsidP="003F6D66">
      <w:pPr>
        <w:rPr>
          <w:rFonts w:ascii="Garamond" w:hAnsi="Garamond" w:cs="Arial"/>
          <w:color w:val="191917"/>
        </w:rPr>
      </w:pPr>
      <w:bookmarkStart w:id="0" w:name="_GoBack"/>
      <w:bookmarkEnd w:id="0"/>
    </w:p>
    <w:p w:rsidR="003F6D66" w:rsidRDefault="003F6D66" w:rsidP="003F6D66">
      <w:pPr>
        <w:jc w:val="center"/>
        <w:rPr>
          <w:rFonts w:ascii="Garamond" w:hAnsi="Garamond" w:cs="Arial"/>
          <w:b/>
          <w:color w:val="191917"/>
        </w:rPr>
      </w:pPr>
      <w:r w:rsidRPr="008A0659">
        <w:rPr>
          <w:rFonts w:ascii="Garamond" w:hAnsi="Garamond" w:cs="Arial"/>
          <w:b/>
          <w:color w:val="191917"/>
        </w:rPr>
        <w:t xml:space="preserve">Emergency Processing Request for Information Collected in </w:t>
      </w:r>
    </w:p>
    <w:p w:rsidR="003F6D66" w:rsidRDefault="003F6D66" w:rsidP="003F6D66">
      <w:pPr>
        <w:jc w:val="center"/>
        <w:rPr>
          <w:rFonts w:ascii="Garamond" w:hAnsi="Garamond" w:cs="Arial"/>
          <w:b/>
          <w:color w:val="191917"/>
        </w:rPr>
      </w:pPr>
      <w:r w:rsidRPr="008A0659">
        <w:rPr>
          <w:rFonts w:ascii="Garamond" w:hAnsi="Garamond" w:cs="Arial"/>
          <w:b/>
          <w:color w:val="191917"/>
        </w:rPr>
        <w:t xml:space="preserve">ITDS Pilot for Pesticide Notice of Arrival </w:t>
      </w:r>
    </w:p>
    <w:p w:rsidR="003F6D66" w:rsidRDefault="003F6D66" w:rsidP="003F6D66">
      <w:pPr>
        <w:jc w:val="center"/>
        <w:rPr>
          <w:rFonts w:ascii="Garamond" w:hAnsi="Garamond" w:cs="Arial"/>
          <w:b/>
          <w:color w:val="191917"/>
        </w:rPr>
      </w:pPr>
    </w:p>
    <w:p w:rsidR="003F6D66" w:rsidRDefault="003F6D66" w:rsidP="003F6D66">
      <w:pPr>
        <w:jc w:val="center"/>
        <w:rPr>
          <w:rFonts w:ascii="Garamond" w:hAnsi="Garamond" w:cs="Arial"/>
          <w:b/>
          <w:color w:val="191917"/>
        </w:rPr>
      </w:pPr>
      <w:r>
        <w:rPr>
          <w:rFonts w:ascii="Garamond" w:hAnsi="Garamond" w:cs="Arial"/>
          <w:b/>
          <w:color w:val="191917"/>
        </w:rPr>
        <w:t>6/23/2016</w:t>
      </w:r>
    </w:p>
    <w:p w:rsidR="003F6D66" w:rsidRDefault="003F6D66" w:rsidP="003F6D66">
      <w:pPr>
        <w:jc w:val="center"/>
        <w:rPr>
          <w:rFonts w:ascii="Garamond" w:hAnsi="Garamond" w:cs="Arial"/>
          <w:b/>
          <w:color w:val="191917"/>
        </w:rPr>
      </w:pPr>
      <w:r>
        <w:rPr>
          <w:rFonts w:ascii="Garamond" w:hAnsi="Garamond" w:cs="Arial"/>
          <w:b/>
          <w:color w:val="191917"/>
        </w:rPr>
        <w:t>EPA ICR No. 0152.11</w:t>
      </w:r>
    </w:p>
    <w:p w:rsidR="003F6D66" w:rsidRPr="00EC525E" w:rsidRDefault="003F6D66" w:rsidP="003F6D66">
      <w:pPr>
        <w:jc w:val="center"/>
        <w:rPr>
          <w:rFonts w:ascii="Garamond" w:hAnsi="Garamond" w:cs="Arial"/>
          <w:color w:val="191917"/>
        </w:rPr>
      </w:pPr>
      <w:r>
        <w:rPr>
          <w:rFonts w:ascii="Garamond" w:hAnsi="Garamond" w:cs="Arial"/>
          <w:b/>
          <w:color w:val="191917"/>
        </w:rPr>
        <w:t>OMB Control No. 2070-0020</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8A0659">
        <w:rPr>
          <w:rFonts w:ascii="Garamond" w:hAnsi="Garamond" w:cs="Arial"/>
          <w:b/>
          <w:color w:val="191917"/>
        </w:rPr>
        <w:t>Summary:</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Pursuant to section 3507(j) of the Paperwork Reduction Act (PRA) (44 U.S.C.</w:t>
      </w:r>
      <w:r>
        <w:rPr>
          <w:rFonts w:ascii="Garamond" w:hAnsi="Garamond" w:cs="Arial"/>
          <w:color w:val="191917"/>
        </w:rPr>
        <w:t xml:space="preserve"> </w:t>
      </w:r>
      <w:r w:rsidRPr="00EC525E">
        <w:rPr>
          <w:rFonts w:ascii="Garamond" w:hAnsi="Garamond" w:cs="Arial"/>
          <w:color w:val="191917"/>
        </w:rPr>
        <w:t xml:space="preserve">3501 et seq.), as implemented in </w:t>
      </w:r>
      <w:r>
        <w:rPr>
          <w:rFonts w:ascii="Garamond" w:hAnsi="Garamond" w:cs="Arial"/>
          <w:color w:val="191917"/>
        </w:rPr>
        <w:t>the Office of Management and Budget (</w:t>
      </w:r>
      <w:r w:rsidRPr="00EC525E">
        <w:rPr>
          <w:rFonts w:ascii="Garamond" w:hAnsi="Garamond" w:cs="Arial"/>
          <w:color w:val="191917"/>
        </w:rPr>
        <w:t>OMB</w:t>
      </w:r>
      <w:r>
        <w:rPr>
          <w:rFonts w:ascii="Garamond" w:hAnsi="Garamond" w:cs="Arial"/>
          <w:color w:val="191917"/>
        </w:rPr>
        <w:t>)</w:t>
      </w:r>
      <w:r w:rsidRPr="00EC525E">
        <w:rPr>
          <w:rFonts w:ascii="Garamond" w:hAnsi="Garamond" w:cs="Arial"/>
          <w:color w:val="191917"/>
        </w:rPr>
        <w:t xml:space="preserve"> regulations at 5 CFR §1320.13, the Environmental Protection Agency (EPA) is hereby requesting emergency processing of the collection of information necessary for successful testing of the International Trade Data System (ITDS) before the December 31, 2016 deadline established in Executive Order (EO) 13659, Streamlining the Export/Import P</w:t>
      </w:r>
      <w:r>
        <w:rPr>
          <w:rFonts w:ascii="Garamond" w:hAnsi="Garamond" w:cs="Arial"/>
          <w:color w:val="191917"/>
        </w:rPr>
        <w:t>rocess for America’s Businesses. More specifically, the EPA is requesting emergency processing of the collection of a few additional data elements in the ITDS pilot for pesticides and devices that are not covered by currently approved information collection request (ICR). The vast majority of the information collected in the ITDS pilot is approved in the existing ICR (see below).</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Under the PRA, an agency may ask OMB to authorize a collection of information if the Agency has determined that the collection is needed prior to the expiration of time periods established under the PRA if the agency determines that the agency cannot reasonably comply with the normal clearance procedures under the PRA because public harm is reasonably likely to result if normal clearance procedures are followed, an unanticipated event has occurred, or the use of normal clearance procedures is reasonably likely to prevent or disrupt the collection of information or is reasonably likely to cause a statutory or court ordered deadline to be missed.</w:t>
      </w:r>
    </w:p>
    <w:p w:rsidR="003F6D66" w:rsidRPr="00EC525E" w:rsidRDefault="003F6D66" w:rsidP="003F6D66">
      <w:pPr>
        <w:rPr>
          <w:rFonts w:ascii="Garamond" w:hAnsi="Garamond" w:cs="Arial"/>
          <w:color w:val="191917"/>
        </w:rPr>
      </w:pPr>
    </w:p>
    <w:p w:rsidR="003F6D66" w:rsidRPr="00EC525E" w:rsidRDefault="003F6D66" w:rsidP="003F6D66">
      <w:pPr>
        <w:rPr>
          <w:rFonts w:ascii="Garamond" w:hAnsi="Garamond" w:cs="Arial"/>
          <w:color w:val="191917"/>
        </w:rPr>
      </w:pPr>
      <w:r w:rsidRPr="00EC525E">
        <w:rPr>
          <w:rFonts w:ascii="Garamond" w:hAnsi="Garamond" w:cs="Arial"/>
          <w:color w:val="191917"/>
        </w:rPr>
        <w:t>In submitting an emergency processing request pursuant to section 3507</w:t>
      </w:r>
      <w:r>
        <w:rPr>
          <w:rFonts w:ascii="Garamond" w:hAnsi="Garamond" w:cs="Arial"/>
          <w:color w:val="191917"/>
        </w:rPr>
        <w:t>(j</w:t>
      </w:r>
      <w:r w:rsidRPr="00EC525E">
        <w:rPr>
          <w:rFonts w:ascii="Garamond" w:hAnsi="Garamond" w:cs="Arial"/>
          <w:color w:val="191917"/>
        </w:rPr>
        <w:t>), the Agency must submit a request that includes a "written determination" describing the collection activity (5 CFR §1320.13(a)), identifying the time period within which OMB should act on the request (5 CFR §1320.13(c)), and specifying that the Agency has taken all practicable steps to consult with affected parties in order to minimize burden</w:t>
      </w:r>
      <w:r>
        <w:rPr>
          <w:rFonts w:ascii="Garamond" w:hAnsi="Garamond" w:cs="Arial"/>
          <w:color w:val="191917"/>
        </w:rPr>
        <w:t xml:space="preserve"> </w:t>
      </w:r>
      <w:r w:rsidRPr="00EC525E">
        <w:rPr>
          <w:rFonts w:ascii="Garamond" w:hAnsi="Garamond" w:cs="Arial"/>
          <w:color w:val="191917"/>
        </w:rPr>
        <w:t>related to the emergency collection (5 CFR §1320.13(d)).</w:t>
      </w:r>
    </w:p>
    <w:p w:rsidR="003F6D66" w:rsidRPr="00EC525E" w:rsidRDefault="003F6D66" w:rsidP="003F6D66">
      <w:pPr>
        <w:rPr>
          <w:rFonts w:ascii="Garamond" w:hAnsi="Garamond" w:cs="Arial"/>
          <w:color w:val="191917"/>
        </w:rPr>
      </w:pPr>
    </w:p>
    <w:p w:rsidR="003F6D66" w:rsidRDefault="003F6D66" w:rsidP="003F6D66">
      <w:pPr>
        <w:rPr>
          <w:rFonts w:ascii="Garamond" w:hAnsi="Garamond" w:cs="Arial"/>
          <w:color w:val="191917"/>
        </w:rPr>
      </w:pPr>
      <w:r w:rsidRPr="00EC525E">
        <w:rPr>
          <w:rFonts w:ascii="Garamond" w:hAnsi="Garamond" w:cs="Arial"/>
          <w:color w:val="191917"/>
        </w:rPr>
        <w:t xml:space="preserve">This document, along with the accompanying </w:t>
      </w:r>
      <w:r w:rsidRPr="008A0659">
        <w:rPr>
          <w:rFonts w:ascii="Garamond" w:hAnsi="Garamond" w:cs="Arial"/>
          <w:color w:val="191917"/>
        </w:rPr>
        <w:t>ROCIS form</w:t>
      </w:r>
      <w:r w:rsidRPr="00F438EE">
        <w:rPr>
          <w:rFonts w:ascii="Garamond" w:hAnsi="Garamond" w:cs="Arial"/>
          <w:color w:val="191917"/>
        </w:rPr>
        <w:t>s</w:t>
      </w:r>
      <w:r w:rsidRPr="00EC525E">
        <w:rPr>
          <w:rFonts w:ascii="Garamond" w:hAnsi="Garamond" w:cs="Arial"/>
          <w:color w:val="31322F"/>
        </w:rPr>
        <w:t xml:space="preserve">, </w:t>
      </w:r>
      <w:r w:rsidRPr="00EC525E">
        <w:rPr>
          <w:rFonts w:ascii="Garamond" w:hAnsi="Garamond" w:cs="Arial"/>
          <w:color w:val="191917"/>
        </w:rPr>
        <w:t>provides the required written determination to request emergency processing and approval of the collection activity described.</w:t>
      </w:r>
    </w:p>
    <w:p w:rsidR="003F6D66" w:rsidRPr="0029750B"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What Information Collection Activities are Involved in this Emergency Request?</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 xml:space="preserve">The current ICR for the pesticide Notice of Arrival (NOA) is OMB Control Number 2070-0020, ICR Number </w:t>
      </w:r>
      <w:r w:rsidRPr="00F935D2">
        <w:rPr>
          <w:rFonts w:ascii="Garamond" w:hAnsi="Garamond" w:cs="Arial"/>
          <w:color w:val="191917"/>
        </w:rPr>
        <w:t>EPA ICR No. 0152.10</w:t>
      </w:r>
      <w:r>
        <w:rPr>
          <w:rFonts w:ascii="Garamond" w:hAnsi="Garamond" w:cs="Arial"/>
          <w:color w:val="191917"/>
        </w:rPr>
        <w:t>.</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The following table summarizes the additional information being collected as part of the pesticides ITDS pilot. As the table demonstrates, most of the “new” data elements are already being provided voluntarily by Trade, and in many instances the burden of providing the information is already contained in the current ICR.</w:t>
      </w:r>
    </w:p>
    <w:p w:rsidR="003F6D66" w:rsidRPr="00B00C79" w:rsidRDefault="003F6D66" w:rsidP="003F6D66">
      <w:pPr>
        <w:rPr>
          <w:rFonts w:ascii="Garamond" w:hAnsi="Garamond" w:cs="Arial"/>
          <w:b/>
          <w:color w:val="191917"/>
        </w:rPr>
      </w:pPr>
    </w:p>
    <w:p w:rsidR="003F6D66" w:rsidRPr="00B00C79" w:rsidRDefault="003F6D66" w:rsidP="003F6D66">
      <w:pPr>
        <w:keepNext/>
        <w:keepLines/>
        <w:rPr>
          <w:rFonts w:ascii="Garamond" w:hAnsi="Garamond" w:cs="Arial"/>
          <w:b/>
          <w:color w:val="191917"/>
        </w:rPr>
      </w:pPr>
      <w:r>
        <w:rPr>
          <w:rFonts w:ascii="Garamond" w:hAnsi="Garamond" w:cs="Arial"/>
          <w:b/>
          <w:color w:val="191917"/>
        </w:rPr>
        <w:lastRenderedPageBreak/>
        <w:t xml:space="preserve">Summary of </w:t>
      </w:r>
      <w:r w:rsidRPr="00B00C79">
        <w:rPr>
          <w:rFonts w:ascii="Garamond" w:hAnsi="Garamond" w:cs="Arial"/>
          <w:b/>
          <w:color w:val="191917"/>
        </w:rPr>
        <w:t>“New” Data Elements to</w:t>
      </w:r>
      <w:r>
        <w:rPr>
          <w:rFonts w:ascii="Garamond" w:hAnsi="Garamond" w:cs="Arial"/>
          <w:b/>
          <w:color w:val="191917"/>
        </w:rPr>
        <w:t xml:space="preserve"> Be Collected in EPA ITDS Pilot</w:t>
      </w:r>
      <w:r w:rsidRPr="00B00C79">
        <w:rPr>
          <w:rFonts w:ascii="Garamond" w:hAnsi="Garamond" w:cs="Arial"/>
          <w:b/>
          <w:color w:val="191917"/>
        </w:rPr>
        <w:t xml:space="preserve"> </w:t>
      </w:r>
      <w:r>
        <w:rPr>
          <w:rFonts w:ascii="Garamond" w:hAnsi="Garamond" w:cs="Arial"/>
          <w:b/>
          <w:color w:val="191917"/>
        </w:rPr>
        <w:t xml:space="preserve">for Pesticides </w:t>
      </w:r>
    </w:p>
    <w:tbl>
      <w:tblPr>
        <w:tblW w:w="10165" w:type="dxa"/>
        <w:tblLayout w:type="fixed"/>
        <w:tblCellMar>
          <w:top w:w="29" w:type="dxa"/>
          <w:left w:w="29" w:type="dxa"/>
          <w:bottom w:w="29" w:type="dxa"/>
          <w:right w:w="29" w:type="dxa"/>
        </w:tblCellMar>
        <w:tblLook w:val="04A0" w:firstRow="1" w:lastRow="0" w:firstColumn="1" w:lastColumn="0" w:noHBand="0" w:noVBand="1"/>
      </w:tblPr>
      <w:tblGrid>
        <w:gridCol w:w="1525"/>
        <w:gridCol w:w="2160"/>
        <w:gridCol w:w="2340"/>
        <w:gridCol w:w="1800"/>
        <w:gridCol w:w="2340"/>
      </w:tblGrid>
      <w:tr w:rsidR="003F6D66" w:rsidRPr="00B9047B" w:rsidTr="00291297">
        <w:trPr>
          <w:tblHeader/>
        </w:trPr>
        <w:tc>
          <w:tcPr>
            <w:tcW w:w="1525"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Commodity</w:t>
            </w:r>
          </w:p>
        </w:tc>
        <w:tc>
          <w:tcPr>
            <w:tcW w:w="216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New Data Element</w:t>
            </w:r>
          </w:p>
        </w:tc>
        <w:tc>
          <w:tcPr>
            <w:tcW w:w="2340" w:type="dxa"/>
            <w:tcBorders>
              <w:top w:val="single" w:sz="4" w:space="0" w:color="auto"/>
              <w:left w:val="single" w:sz="4" w:space="0" w:color="auto"/>
              <w:bottom w:val="double" w:sz="4" w:space="0" w:color="auto"/>
              <w:right w:val="single" w:sz="4" w:space="0" w:color="auto"/>
            </w:tcBorders>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Is the information currently collected on</w:t>
            </w:r>
            <w:r>
              <w:rPr>
                <w:rFonts w:ascii="Garamond" w:hAnsi="Garamond"/>
                <w:b/>
                <w:bCs/>
                <w:iCs/>
              </w:rPr>
              <w:t xml:space="preserve"> a</w:t>
            </w:r>
            <w:r w:rsidRPr="001F0ACF">
              <w:rPr>
                <w:rFonts w:ascii="Garamond" w:hAnsi="Garamond"/>
                <w:b/>
                <w:bCs/>
                <w:iCs/>
              </w:rPr>
              <w:t xml:space="preserve"> voluntary </w:t>
            </w:r>
            <w:r>
              <w:rPr>
                <w:rFonts w:ascii="Garamond" w:hAnsi="Garamond"/>
                <w:b/>
                <w:bCs/>
                <w:iCs/>
              </w:rPr>
              <w:t xml:space="preserve">and/or “as requested” </w:t>
            </w:r>
            <w:r w:rsidRPr="001F0ACF">
              <w:rPr>
                <w:rFonts w:ascii="Garamond" w:hAnsi="Garamond"/>
                <w:b/>
                <w:bCs/>
                <w:iCs/>
              </w:rPr>
              <w:t>basis</w:t>
            </w:r>
            <w:r>
              <w:rPr>
                <w:rFonts w:ascii="Garamond" w:hAnsi="Garamond"/>
                <w:b/>
                <w:bCs/>
                <w:iCs/>
              </w:rPr>
              <w:t xml:space="preserve"> as part of import process</w:t>
            </w:r>
            <w:r w:rsidRPr="001F0ACF">
              <w:rPr>
                <w:rFonts w:ascii="Garamond" w:hAnsi="Garamond"/>
                <w:b/>
                <w:bCs/>
                <w:iCs/>
              </w:rPr>
              <w:t>?</w:t>
            </w:r>
          </w:p>
        </w:tc>
        <w:tc>
          <w:tcPr>
            <w:tcW w:w="1800" w:type="dxa"/>
            <w:tcBorders>
              <w:top w:val="single" w:sz="4" w:space="0" w:color="auto"/>
              <w:left w:val="single" w:sz="4" w:space="0" w:color="auto"/>
              <w:bottom w:val="double" w:sz="4" w:space="0" w:color="auto"/>
              <w:right w:val="single" w:sz="4" w:space="0" w:color="auto"/>
            </w:tcBorders>
          </w:tcPr>
          <w:p w:rsidR="003F6D66" w:rsidRPr="0081339A" w:rsidRDefault="003F6D66" w:rsidP="00291297">
            <w:pPr>
              <w:keepNext/>
              <w:keepLines/>
              <w:spacing w:after="120"/>
              <w:rPr>
                <w:rFonts w:ascii="Garamond" w:hAnsi="Garamond"/>
                <w:b/>
                <w:bCs/>
                <w:iCs/>
              </w:rPr>
            </w:pPr>
            <w:r w:rsidRPr="0081339A">
              <w:rPr>
                <w:rFonts w:ascii="Garamond" w:hAnsi="Garamond"/>
                <w:b/>
                <w:bCs/>
                <w:iCs/>
              </w:rPr>
              <w:t>Why are we collecting the new data element</w:t>
            </w:r>
            <w:r>
              <w:rPr>
                <w:rFonts w:ascii="Garamond" w:hAnsi="Garamond"/>
                <w:b/>
                <w:bCs/>
                <w:iCs/>
              </w:rPr>
              <w:t xml:space="preserve"> (e.g., making mandatory vs voluntary)?</w:t>
            </w:r>
          </w:p>
        </w:tc>
        <w:tc>
          <w:tcPr>
            <w:tcW w:w="2340" w:type="dxa"/>
            <w:tcBorders>
              <w:top w:val="single" w:sz="4" w:space="0" w:color="auto"/>
              <w:left w:val="single" w:sz="4" w:space="0" w:color="auto"/>
              <w:bottom w:val="double" w:sz="4" w:space="0" w:color="auto"/>
              <w:right w:val="single" w:sz="4" w:space="0" w:color="auto"/>
            </w:tcBorders>
            <w:hideMark/>
          </w:tcPr>
          <w:p w:rsidR="003F6D66" w:rsidRPr="001F0ACF" w:rsidRDefault="003F6D66" w:rsidP="00291297">
            <w:pPr>
              <w:keepNext/>
              <w:keepLines/>
              <w:spacing w:after="120"/>
              <w:rPr>
                <w:rFonts w:ascii="Garamond" w:hAnsi="Garamond"/>
                <w:b/>
                <w:bCs/>
                <w:iCs/>
              </w:rPr>
            </w:pPr>
            <w:r w:rsidRPr="001F0ACF">
              <w:rPr>
                <w:rFonts w:ascii="Garamond" w:hAnsi="Garamond"/>
                <w:b/>
                <w:bCs/>
                <w:iCs/>
              </w:rPr>
              <w:t xml:space="preserve">Does the current approved ICR include </w:t>
            </w:r>
            <w:r w:rsidRPr="003F7C55">
              <w:rPr>
                <w:rFonts w:ascii="Garamond" w:hAnsi="Garamond"/>
                <w:b/>
                <w:bCs/>
                <w:iCs/>
              </w:rPr>
              <w:t>the burden of providing</w:t>
            </w:r>
            <w:r>
              <w:rPr>
                <w:rFonts w:ascii="Garamond" w:hAnsi="Garamond"/>
                <w:b/>
                <w:bCs/>
                <w:iCs/>
              </w:rPr>
              <w:t xml:space="preserve"> </w:t>
            </w:r>
            <w:r w:rsidRPr="001F0ACF">
              <w:rPr>
                <w:rFonts w:ascii="Garamond" w:hAnsi="Garamond"/>
                <w:b/>
                <w:bCs/>
                <w:iCs/>
              </w:rPr>
              <w:t>this data</w:t>
            </w:r>
            <w:r>
              <w:rPr>
                <w:rFonts w:ascii="Garamond" w:hAnsi="Garamond"/>
                <w:b/>
                <w:bCs/>
                <w:iCs/>
              </w:rPr>
              <w:t>?</w:t>
            </w:r>
          </w:p>
        </w:tc>
      </w:tr>
      <w:tr w:rsidR="003F6D66" w:rsidRPr="00B9047B" w:rsidTr="00291297">
        <w:trPr>
          <w:cantSplit/>
        </w:trPr>
        <w:tc>
          <w:tcPr>
            <w:tcW w:w="152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F6D66" w:rsidRPr="00414739" w:rsidRDefault="003F6D66" w:rsidP="00291297">
            <w:pPr>
              <w:spacing w:after="40"/>
              <w:rPr>
                <w:rFonts w:ascii="Garamond" w:hAnsi="Garamond"/>
              </w:rPr>
            </w:pPr>
            <w:r w:rsidRPr="00414739">
              <w:rPr>
                <w:rFonts w:ascii="Garamond" w:hAnsi="Garamond"/>
              </w:rPr>
              <w:t>Pesticide Notice of Arrival (NOA) Imports</w:t>
            </w:r>
            <w:r>
              <w:rPr>
                <w:rFonts w:ascii="Garamond" w:hAnsi="Garamond"/>
              </w:rPr>
              <w:t xml:space="preserve"> </w:t>
            </w:r>
          </w:p>
          <w:p w:rsidR="003F6D66" w:rsidRPr="00414739" w:rsidRDefault="003F6D66" w:rsidP="00291297">
            <w:pPr>
              <w:spacing w:after="40"/>
              <w:rPr>
                <w:rFonts w:ascii="Garamond" w:hAnsi="Garamond"/>
              </w:rPr>
            </w:pPr>
          </w:p>
          <w:p w:rsidR="003F6D66" w:rsidRPr="00414739" w:rsidRDefault="003F6D66" w:rsidP="00291297">
            <w:pPr>
              <w:spacing w:after="40"/>
              <w:rPr>
                <w:rFonts w:ascii="Garamond" w:hAnsi="Garamond"/>
              </w:rPr>
            </w:pPr>
            <w:r w:rsidRPr="00414739">
              <w:rPr>
                <w:rFonts w:ascii="Garamond" w:hAnsi="Garamond"/>
              </w:rPr>
              <w:t>(We are making some previously voluntary items mandatory)</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414739" w:rsidRDefault="003F6D66" w:rsidP="00291297">
            <w:pPr>
              <w:rPr>
                <w:rFonts w:ascii="Garamond" w:hAnsi="Garamond"/>
              </w:rPr>
            </w:pPr>
            <w:r w:rsidRPr="00414739">
              <w:rPr>
                <w:rFonts w:ascii="Garamond" w:hAnsi="Garamond"/>
              </w:rPr>
              <w:t>Block 18 on the NOA form collects information for unregistered pesticides, pursuant to 40 CFR 152.30</w:t>
            </w:r>
            <w:r>
              <w:rPr>
                <w:rFonts w:ascii="Garamond" w:hAnsi="Garamond"/>
              </w:rPr>
              <w:t xml:space="preserve"> and 172.2</w:t>
            </w:r>
            <w:r w:rsidRPr="00414739">
              <w:rPr>
                <w:rFonts w:ascii="Garamond" w:hAnsi="Garamond"/>
              </w:rPr>
              <w:t xml:space="preserve">, which allow for the transfer, selling or distributing of </w:t>
            </w:r>
            <w:r>
              <w:rPr>
                <w:rFonts w:ascii="Garamond" w:hAnsi="Garamond"/>
              </w:rPr>
              <w:t xml:space="preserve">certain </w:t>
            </w:r>
            <w:r w:rsidRPr="00414739">
              <w:rPr>
                <w:rFonts w:ascii="Garamond" w:hAnsi="Garamond"/>
              </w:rPr>
              <w:t>pesticides without a registration to the extent described by this section. Box 18 allows the importer to specif</w:t>
            </w:r>
            <w:r>
              <w:rPr>
                <w:rFonts w:ascii="Garamond" w:hAnsi="Garamond"/>
              </w:rPr>
              <w:t>y</w:t>
            </w:r>
            <w:r w:rsidRPr="00414739">
              <w:rPr>
                <w:rFonts w:ascii="Garamond" w:hAnsi="Garamond"/>
              </w:rPr>
              <w:t xml:space="preserve"> under which exemption the unregistered pesticide is being imported into the U.S. </w:t>
            </w:r>
          </w:p>
        </w:tc>
        <w:tc>
          <w:tcPr>
            <w:tcW w:w="2340" w:type="dxa"/>
            <w:tcBorders>
              <w:top w:val="nil"/>
              <w:left w:val="nil"/>
              <w:bottom w:val="single" w:sz="8" w:space="0" w:color="auto"/>
              <w:right w:val="single" w:sz="4" w:space="0" w:color="auto"/>
            </w:tcBorders>
            <w:hideMark/>
          </w:tcPr>
          <w:p w:rsidR="003F6D66" w:rsidRPr="00B9047B" w:rsidRDefault="003F6D66" w:rsidP="00291297">
            <w:pPr>
              <w:spacing w:after="40"/>
              <w:rPr>
                <w:rFonts w:ascii="Garamond" w:hAnsi="Garamond"/>
              </w:rPr>
            </w:pPr>
            <w:r w:rsidRPr="00B9047B">
              <w:rPr>
                <w:rFonts w:ascii="Garamond" w:hAnsi="Garamond"/>
              </w:rPr>
              <w:t>Y</w:t>
            </w:r>
            <w:r>
              <w:rPr>
                <w:rFonts w:ascii="Garamond" w:hAnsi="Garamond"/>
              </w:rPr>
              <w:t>es, it is currently collected on a voluntary basis.</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rPr>
            </w:pPr>
            <w:r w:rsidRPr="00EC1D15">
              <w:rPr>
                <w:rFonts w:ascii="Garamond" w:hAnsi="Garamond"/>
              </w:rPr>
              <w:t>19 CFR 12.111 states that all imported pesticides must be registered under FIFRA § 3; however, unregistered pesticides can be imported as provided under 40 CFR 152.30. This new information will allow EPA to determine whether an unregistered pesticide offered for import meets one of the</w:t>
            </w:r>
            <w:r>
              <w:rPr>
                <w:rFonts w:ascii="Garamond" w:hAnsi="Garamond"/>
              </w:rPr>
              <w:t>se</w:t>
            </w:r>
            <w:r w:rsidRPr="00EC1D15">
              <w:rPr>
                <w:rFonts w:ascii="Garamond" w:hAnsi="Garamond"/>
              </w:rPr>
              <w:t xml:space="preserve"> exemptions from registration</w:t>
            </w:r>
            <w:r>
              <w:rPr>
                <w:rFonts w:ascii="Garamond" w:hAnsi="Garamond"/>
              </w:rPr>
              <w:t xml:space="preserve">. </w:t>
            </w:r>
            <w:r w:rsidRPr="00EC1D15">
              <w:rPr>
                <w:rFonts w:ascii="Garamond" w:hAnsi="Garamond"/>
              </w:rPr>
              <w:t>When EPA reviews NOAs for unregistered pesticides, this information should provide for a streamline process with minimal/reduced delays for approvals.</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sidRPr="00EC1D15">
              <w:rPr>
                <w:rFonts w:ascii="Garamond" w:hAnsi="Garamond"/>
              </w:rPr>
              <w:t>Yes. The initial NOA form was missing information collection for unregistered pesticides. OMB approved the amended form in 2013 knowing EPA is undergoing regulatory changes for 19 CFR 12.111 with the intention of making the new data element mandatory.</w:t>
            </w:r>
          </w:p>
        </w:tc>
      </w:tr>
      <w:tr w:rsidR="003F6D66" w:rsidRPr="00B9047B" w:rsidTr="00291297">
        <w:trPr>
          <w:cantSplit/>
        </w:trPr>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F6D66" w:rsidRPr="00EC1D15" w:rsidRDefault="003F6D66" w:rsidP="00291297">
            <w:pPr>
              <w:spacing w:after="40"/>
              <w:rPr>
                <w:rFonts w:ascii="Garamond" w:hAnsi="Garamond"/>
              </w:rPr>
            </w:pPr>
            <w:r w:rsidRPr="00EC1D15">
              <w:rPr>
                <w:rFonts w:ascii="Garamond" w:hAnsi="Garamond"/>
              </w:rPr>
              <w:t>In Box 7, when importing an unregistered pesticide, the importer must provide the CAS# or PC code for the active ingredients. We are also seeking comment on whether to require the CAS number for registered products as well. Collection of CAS # is not currently approved in the ICR.</w:t>
            </w:r>
          </w:p>
        </w:tc>
        <w:tc>
          <w:tcPr>
            <w:tcW w:w="2340" w:type="dxa"/>
            <w:tcBorders>
              <w:top w:val="nil"/>
              <w:left w:val="nil"/>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Generally n</w:t>
            </w:r>
            <w:r w:rsidRPr="00EC1D15">
              <w:rPr>
                <w:rFonts w:ascii="Garamond" w:hAnsi="Garamond"/>
              </w:rPr>
              <w:t xml:space="preserve">o. </w:t>
            </w:r>
            <w:r>
              <w:rPr>
                <w:rFonts w:ascii="Garamond" w:hAnsi="Garamond"/>
              </w:rPr>
              <w:t xml:space="preserve">While </w:t>
            </w:r>
            <w:r w:rsidRPr="00EC1D15">
              <w:rPr>
                <w:rFonts w:ascii="Garamond" w:hAnsi="Garamond"/>
              </w:rPr>
              <w:t>the importer of an unregistered pesticide must specify the active ingredients and percentage of each</w:t>
            </w:r>
            <w:r>
              <w:rPr>
                <w:rFonts w:ascii="Garamond" w:hAnsi="Garamond"/>
              </w:rPr>
              <w:t xml:space="preserve">, it would be a </w:t>
            </w:r>
            <w:r w:rsidRPr="00EC1D15">
              <w:rPr>
                <w:rFonts w:ascii="Garamond" w:hAnsi="Garamond"/>
              </w:rPr>
              <w:t>new requirement to provide the CAS #.</w:t>
            </w:r>
            <w:r>
              <w:rPr>
                <w:rFonts w:ascii="Garamond" w:hAnsi="Garamond"/>
              </w:rPr>
              <w:t xml:space="preserve"> </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rPr>
            </w:pPr>
            <w:r w:rsidRPr="00EC1D15">
              <w:rPr>
                <w:rFonts w:ascii="Garamond" w:hAnsi="Garamond"/>
              </w:rPr>
              <w:t>The CAS # and PC code is a unique identifier of the chemical ingredient</w:t>
            </w:r>
            <w:r>
              <w:rPr>
                <w:rFonts w:ascii="Garamond" w:hAnsi="Garamond"/>
              </w:rPr>
              <w:t xml:space="preserve"> or </w:t>
            </w:r>
            <w:r w:rsidRPr="00EC1D15">
              <w:rPr>
                <w:rFonts w:ascii="Garamond" w:hAnsi="Garamond"/>
              </w:rPr>
              <w:t>substance</w:t>
            </w:r>
            <w:r>
              <w:rPr>
                <w:rFonts w:ascii="Garamond" w:hAnsi="Garamond"/>
              </w:rPr>
              <w:t>. B</w:t>
            </w:r>
            <w:r w:rsidRPr="00EC1D15">
              <w:rPr>
                <w:rFonts w:ascii="Garamond" w:hAnsi="Garamond"/>
              </w:rPr>
              <w:t xml:space="preserve">rokers and importers </w:t>
            </w:r>
            <w:r>
              <w:rPr>
                <w:rFonts w:ascii="Garamond" w:hAnsi="Garamond"/>
              </w:rPr>
              <w:t xml:space="preserve">sometimes </w:t>
            </w:r>
            <w:r w:rsidRPr="00EC1D15">
              <w:rPr>
                <w:rFonts w:ascii="Garamond" w:hAnsi="Garamond"/>
              </w:rPr>
              <w:t xml:space="preserve">provide CAS # or PC code because it’s faster and more reliable than the chemical name. If the chemical name of the active ingredient </w:t>
            </w:r>
            <w:r>
              <w:rPr>
                <w:rFonts w:ascii="Garamond" w:hAnsi="Garamond"/>
              </w:rPr>
              <w:t xml:space="preserve">for an unregistered pesticide </w:t>
            </w:r>
            <w:r w:rsidRPr="00EC1D15">
              <w:rPr>
                <w:rFonts w:ascii="Garamond" w:hAnsi="Garamond"/>
              </w:rPr>
              <w:t>is unknown, it can delay the NOA approval processing.</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 xml:space="preserve">No. While the </w:t>
            </w:r>
            <w:r w:rsidRPr="00EC1D15">
              <w:rPr>
                <w:rFonts w:ascii="Garamond" w:hAnsi="Garamond"/>
              </w:rPr>
              <w:t>current ICR includes the collection of the identification of the active ingredients, and the percentage of each, in unregistered pesticides imported into the US</w:t>
            </w:r>
            <w:r>
              <w:rPr>
                <w:rFonts w:ascii="Garamond" w:hAnsi="Garamond"/>
              </w:rPr>
              <w:t xml:space="preserve">, it </w:t>
            </w:r>
            <w:r w:rsidRPr="00EC1D15">
              <w:rPr>
                <w:rFonts w:ascii="Garamond" w:hAnsi="Garamond"/>
              </w:rPr>
              <w:t xml:space="preserve">does not include the requirements that the active ingredient be identified by the CAS #. </w:t>
            </w:r>
            <w:r>
              <w:rPr>
                <w:rFonts w:ascii="Garamond" w:hAnsi="Garamond"/>
              </w:rPr>
              <w:t>T</w:t>
            </w:r>
            <w:r w:rsidRPr="00EC1D15">
              <w:rPr>
                <w:rFonts w:ascii="Garamond" w:hAnsi="Garamond"/>
              </w:rPr>
              <w:t xml:space="preserve">he PGA message set and updated NOA form </w:t>
            </w:r>
            <w:r>
              <w:rPr>
                <w:rFonts w:ascii="Garamond" w:hAnsi="Garamond"/>
              </w:rPr>
              <w:t xml:space="preserve">should </w:t>
            </w:r>
            <w:r w:rsidRPr="00EC1D15">
              <w:rPr>
                <w:rFonts w:ascii="Garamond" w:hAnsi="Garamond"/>
              </w:rPr>
              <w:t xml:space="preserve">include the new data elements once the rule becomes final. </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EC1D15" w:rsidRDefault="003F6D66" w:rsidP="00291297">
            <w:pPr>
              <w:spacing w:after="40"/>
              <w:rPr>
                <w:rFonts w:ascii="Garamond" w:hAnsi="Garamond"/>
              </w:rPr>
            </w:pPr>
            <w:r w:rsidRPr="00EC1D15">
              <w:rPr>
                <w:rFonts w:ascii="Garamond" w:hAnsi="Garamond"/>
              </w:rPr>
              <w:t xml:space="preserve">We are clarifying that the </w:t>
            </w:r>
            <w:r>
              <w:rPr>
                <w:rFonts w:ascii="Garamond" w:hAnsi="Garamond"/>
              </w:rPr>
              <w:t xml:space="preserve">“Name and Complete Address” currently required for the broker, importer, shipper and carrier (Boxes 1, 2, 3 and 13 respectively) includes the requirement to provide </w:t>
            </w:r>
            <w:r w:rsidRPr="00EC1D15">
              <w:rPr>
                <w:rFonts w:ascii="Garamond" w:hAnsi="Garamond"/>
              </w:rPr>
              <w:t>a name/individual as well as the company info</w:t>
            </w:r>
            <w:r>
              <w:rPr>
                <w:rFonts w:ascii="Garamond" w:hAnsi="Garamond"/>
              </w:rPr>
              <w:t>rmation</w:t>
            </w:r>
            <w:r w:rsidRPr="00EC1D15">
              <w:rPr>
                <w:rFonts w:ascii="Garamond" w:hAnsi="Garamond"/>
              </w:rPr>
              <w:t xml:space="preserve">. </w:t>
            </w:r>
            <w:r>
              <w:rPr>
                <w:rFonts w:ascii="Garamond" w:hAnsi="Garamond"/>
              </w:rPr>
              <w:t xml:space="preserve">However, we are also </w:t>
            </w:r>
            <w:r w:rsidRPr="00EC1D15">
              <w:rPr>
                <w:rFonts w:ascii="Garamond" w:hAnsi="Garamond"/>
              </w:rPr>
              <w:t xml:space="preserve">seeking comment on </w:t>
            </w:r>
            <w:r w:rsidRPr="00EC1D15">
              <w:rPr>
                <w:rFonts w:ascii="Garamond" w:hAnsi="Garamond"/>
              </w:rPr>
              <w:lastRenderedPageBreak/>
              <w:t xml:space="preserve">whether to </w:t>
            </w:r>
            <w:r>
              <w:rPr>
                <w:rFonts w:ascii="Garamond" w:hAnsi="Garamond"/>
              </w:rPr>
              <w:t xml:space="preserve">continue to </w:t>
            </w:r>
            <w:r w:rsidRPr="00EC1D15">
              <w:rPr>
                <w:rFonts w:ascii="Garamond" w:hAnsi="Garamond"/>
              </w:rPr>
              <w:t xml:space="preserve">require </w:t>
            </w:r>
            <w:r>
              <w:rPr>
                <w:rFonts w:ascii="Garamond" w:hAnsi="Garamond"/>
              </w:rPr>
              <w:t xml:space="preserve">any </w:t>
            </w:r>
            <w:r w:rsidRPr="00EC1D15">
              <w:rPr>
                <w:rFonts w:ascii="Garamond" w:hAnsi="Garamond"/>
              </w:rPr>
              <w:t>contact info</w:t>
            </w:r>
            <w:r>
              <w:rPr>
                <w:rFonts w:ascii="Garamond" w:hAnsi="Garamond"/>
              </w:rPr>
              <w:t>rmation</w:t>
            </w:r>
            <w:r w:rsidRPr="00EC1D15">
              <w:rPr>
                <w:rFonts w:ascii="Garamond" w:hAnsi="Garamond"/>
              </w:rPr>
              <w:t xml:space="preserve"> for </w:t>
            </w:r>
            <w:r>
              <w:rPr>
                <w:rFonts w:ascii="Garamond" w:hAnsi="Garamond"/>
              </w:rPr>
              <w:t xml:space="preserve">the </w:t>
            </w:r>
            <w:r w:rsidRPr="00EC1D15">
              <w:rPr>
                <w:rFonts w:ascii="Garamond" w:hAnsi="Garamond"/>
              </w:rPr>
              <w:t>shipper and carrier</w:t>
            </w:r>
            <w:r>
              <w:rPr>
                <w:rFonts w:ascii="Garamond" w:hAnsi="Garamond"/>
              </w:rPr>
              <w:t>.</w:t>
            </w:r>
          </w:p>
        </w:tc>
        <w:tc>
          <w:tcPr>
            <w:tcW w:w="2340" w:type="dxa"/>
            <w:tcBorders>
              <w:top w:val="nil"/>
              <w:left w:val="nil"/>
              <w:bottom w:val="single" w:sz="8" w:space="0" w:color="auto"/>
              <w:right w:val="single" w:sz="4" w:space="0" w:color="auto"/>
            </w:tcBorders>
            <w:hideMark/>
          </w:tcPr>
          <w:p w:rsidR="003F6D66" w:rsidRPr="00EC1D15" w:rsidRDefault="003F6D66" w:rsidP="00291297">
            <w:pPr>
              <w:spacing w:after="40"/>
              <w:rPr>
                <w:rFonts w:ascii="Garamond" w:hAnsi="Garamond"/>
              </w:rPr>
            </w:pPr>
            <w:r w:rsidRPr="00D63AD1">
              <w:rPr>
                <w:rFonts w:ascii="Garamond" w:hAnsi="Garamond"/>
              </w:rPr>
              <w:lastRenderedPageBreak/>
              <w:t xml:space="preserve">N/A – </w:t>
            </w:r>
            <w:r>
              <w:rPr>
                <w:rFonts w:ascii="Garamond" w:hAnsi="Garamond"/>
              </w:rPr>
              <w:t>Contact</w:t>
            </w:r>
            <w:r w:rsidRPr="00D63AD1">
              <w:rPr>
                <w:rFonts w:ascii="Garamond" w:hAnsi="Garamond"/>
              </w:rPr>
              <w:t xml:space="preserve"> information is currently collected</w:t>
            </w:r>
            <w:r>
              <w:rPr>
                <w:rFonts w:ascii="Garamond" w:hAnsi="Garamond"/>
              </w:rPr>
              <w:t>;</w:t>
            </w:r>
            <w:r w:rsidRPr="00D63AD1">
              <w:rPr>
                <w:rFonts w:ascii="Garamond" w:hAnsi="Garamond"/>
              </w:rPr>
              <w:t xml:space="preserve"> we are just clarifying what we mean by the required data element</w:t>
            </w:r>
            <w:r>
              <w:rPr>
                <w:rFonts w:ascii="Garamond" w:hAnsi="Garamond"/>
              </w:rPr>
              <w:t xml:space="preserve"> by adding that both the company name and a contact name be provided.</w:t>
            </w:r>
          </w:p>
        </w:tc>
        <w:tc>
          <w:tcPr>
            <w:tcW w:w="1800" w:type="dxa"/>
            <w:tcBorders>
              <w:top w:val="single" w:sz="4" w:space="0" w:color="auto"/>
              <w:left w:val="single" w:sz="4" w:space="0" w:color="auto"/>
              <w:bottom w:val="single" w:sz="4" w:space="0" w:color="auto"/>
              <w:right w:val="single" w:sz="4" w:space="0" w:color="auto"/>
            </w:tcBorders>
          </w:tcPr>
          <w:p w:rsidR="003F6D66" w:rsidRPr="00EC1D15" w:rsidRDefault="003F6D66" w:rsidP="00291297">
            <w:pPr>
              <w:spacing w:after="40"/>
              <w:rPr>
                <w:rFonts w:ascii="Garamond" w:hAnsi="Garamond"/>
                <w:highlight w:val="yellow"/>
              </w:rPr>
            </w:pPr>
            <w:r>
              <w:rPr>
                <w:rFonts w:ascii="Garamond" w:hAnsi="Garamond"/>
                <w:lang w:bidi="en-US"/>
              </w:rPr>
              <w:t xml:space="preserve">Contact information for an individual </w:t>
            </w:r>
            <w:r w:rsidRPr="00EC1D15">
              <w:rPr>
                <w:rFonts w:ascii="Garamond" w:hAnsi="Garamond"/>
                <w:lang w:bidi="en-US"/>
              </w:rPr>
              <w:t xml:space="preserve">is valuable because </w:t>
            </w:r>
            <w:r>
              <w:rPr>
                <w:rFonts w:ascii="Garamond" w:hAnsi="Garamond"/>
                <w:lang w:bidi="en-US"/>
              </w:rPr>
              <w:t>it will facilitate communications with appropriate contact person in the event of questions or errors on an NOA.</w:t>
            </w:r>
          </w:p>
        </w:tc>
        <w:tc>
          <w:tcPr>
            <w:tcW w:w="2340" w:type="dxa"/>
            <w:tcBorders>
              <w:top w:val="nil"/>
              <w:left w:val="single" w:sz="4" w:space="0" w:color="auto"/>
              <w:bottom w:val="single" w:sz="8" w:space="0" w:color="auto"/>
              <w:right w:val="single" w:sz="4" w:space="0" w:color="auto"/>
            </w:tcBorders>
            <w:hideMark/>
          </w:tcPr>
          <w:p w:rsidR="003F6D66" w:rsidRPr="00EC1D15" w:rsidRDefault="003F6D66" w:rsidP="00291297">
            <w:pPr>
              <w:spacing w:after="40"/>
              <w:rPr>
                <w:rFonts w:ascii="Garamond" w:hAnsi="Garamond"/>
              </w:rPr>
            </w:pPr>
            <w:r>
              <w:rPr>
                <w:rFonts w:ascii="Garamond" w:hAnsi="Garamond"/>
              </w:rPr>
              <w:t>No, the current NOA does not require that both the name of the company and a contact name be provided. The additional burden is a de-minimus change.</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3F6D66" w:rsidRPr="007C3F34" w:rsidRDefault="003F6D66" w:rsidP="00291297">
            <w:pPr>
              <w:rPr>
                <w:rFonts w:ascii="Garamond" w:hAnsi="Garamond"/>
              </w:rPr>
            </w:pPr>
            <w:r w:rsidRPr="007C3F34">
              <w:rPr>
                <w:rFonts w:ascii="Garamond" w:hAnsi="Garamond"/>
              </w:rPr>
              <w:t>Box 17, location of good for examination after importation, requests the physical address and in the case of unregistered pesticides, the EPA establishment number where the shipment will be released. We are clarifying that the location is a physical location after CBP release.</w:t>
            </w:r>
          </w:p>
          <w:p w:rsidR="003F6D66" w:rsidRPr="007C3F34" w:rsidRDefault="003F6D66" w:rsidP="00291297">
            <w:pPr>
              <w:spacing w:after="40"/>
              <w:rPr>
                <w:rFonts w:ascii="Garamond" w:hAnsi="Garamond"/>
              </w:rPr>
            </w:pPr>
          </w:p>
        </w:tc>
        <w:tc>
          <w:tcPr>
            <w:tcW w:w="2340" w:type="dxa"/>
            <w:tcBorders>
              <w:top w:val="nil"/>
              <w:left w:val="nil"/>
              <w:bottom w:val="single" w:sz="8" w:space="0" w:color="auto"/>
              <w:right w:val="single" w:sz="4" w:space="0" w:color="auto"/>
            </w:tcBorders>
            <w:hideMark/>
          </w:tcPr>
          <w:p w:rsidR="003F6D66" w:rsidRPr="007C3F34" w:rsidRDefault="003F6D66" w:rsidP="00291297">
            <w:pPr>
              <w:spacing w:after="40"/>
              <w:rPr>
                <w:rFonts w:ascii="Garamond" w:hAnsi="Garamond"/>
              </w:rPr>
            </w:pPr>
            <w:r w:rsidRPr="00D63AD1">
              <w:rPr>
                <w:rFonts w:ascii="Garamond" w:hAnsi="Garamond"/>
              </w:rPr>
              <w:t>N/A – the information is currently collected, we are just clarifying what we mean by the required data element.</w:t>
            </w:r>
          </w:p>
        </w:tc>
        <w:tc>
          <w:tcPr>
            <w:tcW w:w="1800" w:type="dxa"/>
            <w:tcBorders>
              <w:top w:val="single" w:sz="4" w:space="0" w:color="auto"/>
              <w:left w:val="single" w:sz="4" w:space="0" w:color="auto"/>
              <w:bottom w:val="single" w:sz="4" w:space="0" w:color="auto"/>
              <w:right w:val="single" w:sz="4" w:space="0" w:color="auto"/>
            </w:tcBorders>
          </w:tcPr>
          <w:p w:rsidR="003F6D66" w:rsidRPr="007C3F34" w:rsidRDefault="003F6D66" w:rsidP="00291297">
            <w:pPr>
              <w:spacing w:after="40"/>
              <w:rPr>
                <w:rFonts w:ascii="Garamond" w:hAnsi="Garamond"/>
              </w:rPr>
            </w:pPr>
            <w:r w:rsidRPr="007C3F34">
              <w:rPr>
                <w:rFonts w:ascii="Garamond" w:hAnsi="Garamond"/>
              </w:rPr>
              <w:t xml:space="preserve">Box 17 provides for further clarification of what </w:t>
            </w:r>
            <w:r>
              <w:rPr>
                <w:rFonts w:ascii="Garamond" w:hAnsi="Garamond"/>
              </w:rPr>
              <w:t xml:space="preserve">has been </w:t>
            </w:r>
            <w:r w:rsidRPr="007C3F34">
              <w:rPr>
                <w:rFonts w:ascii="Garamond" w:hAnsi="Garamond"/>
              </w:rPr>
              <w:t xml:space="preserve">previously requested in order to reduce delays with the NOA review process. It provides a location where the shipment can be inspected, if required. </w:t>
            </w:r>
          </w:p>
        </w:tc>
        <w:tc>
          <w:tcPr>
            <w:tcW w:w="2340" w:type="dxa"/>
            <w:tcBorders>
              <w:top w:val="nil"/>
              <w:left w:val="single" w:sz="4" w:space="0" w:color="auto"/>
              <w:bottom w:val="single" w:sz="8" w:space="0" w:color="auto"/>
              <w:right w:val="single" w:sz="4" w:space="0" w:color="auto"/>
            </w:tcBorders>
            <w:hideMark/>
          </w:tcPr>
          <w:p w:rsidR="003F6D66" w:rsidRPr="007C3F34" w:rsidRDefault="003F6D66" w:rsidP="00291297">
            <w:pPr>
              <w:spacing w:after="40"/>
              <w:rPr>
                <w:rFonts w:ascii="Garamond" w:hAnsi="Garamond"/>
              </w:rPr>
            </w:pPr>
            <w:r w:rsidRPr="007C3F34">
              <w:rPr>
                <w:rFonts w:ascii="Garamond" w:hAnsi="Garamond"/>
              </w:rPr>
              <w:t>Yes</w:t>
            </w:r>
            <w:r>
              <w:rPr>
                <w:rFonts w:ascii="Garamond" w:hAnsi="Garamond"/>
              </w:rPr>
              <w:t xml:space="preserve"> because this is only a clarification of an existing data element.</w:t>
            </w:r>
          </w:p>
        </w:tc>
      </w:tr>
      <w:tr w:rsidR="003F6D66" w:rsidRPr="00B9047B" w:rsidTr="00291297">
        <w:tc>
          <w:tcPr>
            <w:tcW w:w="1525" w:type="dxa"/>
            <w:vMerge/>
            <w:tcBorders>
              <w:top w:val="nil"/>
              <w:left w:val="single" w:sz="4" w:space="0" w:color="auto"/>
              <w:bottom w:val="single" w:sz="8" w:space="0" w:color="auto"/>
              <w:right w:val="single" w:sz="8" w:space="0" w:color="auto"/>
            </w:tcBorders>
            <w:vAlign w:val="center"/>
            <w:hideMark/>
          </w:tcPr>
          <w:p w:rsidR="003F6D66" w:rsidRPr="00B9047B" w:rsidRDefault="003F6D66" w:rsidP="00291297">
            <w:pPr>
              <w:rPr>
                <w:rFonts w:ascii="Garamond" w:hAnsi="Garamond"/>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F6D66" w:rsidRPr="007C3F34" w:rsidRDefault="003F6D66" w:rsidP="00291297">
            <w:pPr>
              <w:spacing w:after="40"/>
              <w:rPr>
                <w:rFonts w:ascii="Garamond" w:hAnsi="Garamond"/>
              </w:rPr>
            </w:pPr>
            <w:r w:rsidRPr="007C3F34">
              <w:rPr>
                <w:rFonts w:ascii="Garamond" w:hAnsi="Garamond"/>
              </w:rPr>
              <w:t>Label image in DIS</w:t>
            </w:r>
          </w:p>
        </w:tc>
        <w:tc>
          <w:tcPr>
            <w:tcW w:w="2340" w:type="dxa"/>
            <w:tcBorders>
              <w:top w:val="nil"/>
              <w:left w:val="nil"/>
              <w:bottom w:val="single" w:sz="8" w:space="0" w:color="auto"/>
              <w:right w:val="single" w:sz="4" w:space="0" w:color="auto"/>
            </w:tcBorders>
            <w:hideMark/>
          </w:tcPr>
          <w:p w:rsidR="003F6D66" w:rsidRPr="007C3F34" w:rsidRDefault="003F6D66" w:rsidP="00291297">
            <w:pPr>
              <w:spacing w:after="40"/>
              <w:rPr>
                <w:rFonts w:ascii="Garamond" w:hAnsi="Garamond"/>
              </w:rPr>
            </w:pPr>
            <w:r w:rsidRPr="007C3F34">
              <w:rPr>
                <w:rFonts w:ascii="Garamond" w:hAnsi="Garamond"/>
              </w:rPr>
              <w:t>Yes, upon request. The current ICR assumes that most importers submit the label voluntarily.</w:t>
            </w:r>
          </w:p>
        </w:tc>
        <w:tc>
          <w:tcPr>
            <w:tcW w:w="1800" w:type="dxa"/>
            <w:tcBorders>
              <w:top w:val="single" w:sz="4" w:space="0" w:color="auto"/>
              <w:left w:val="single" w:sz="4" w:space="0" w:color="auto"/>
              <w:bottom w:val="single" w:sz="4" w:space="0" w:color="auto"/>
              <w:right w:val="single" w:sz="4" w:space="0" w:color="auto"/>
            </w:tcBorders>
          </w:tcPr>
          <w:p w:rsidR="003F6D66" w:rsidRPr="007C3F34" w:rsidRDefault="003F6D66" w:rsidP="00291297">
            <w:pPr>
              <w:spacing w:after="40"/>
              <w:rPr>
                <w:rFonts w:ascii="Garamond" w:hAnsi="Garamond"/>
              </w:rPr>
            </w:pPr>
            <w:r w:rsidRPr="007C3F34">
              <w:rPr>
                <w:rFonts w:ascii="Garamond" w:hAnsi="Garamond"/>
              </w:rPr>
              <w:t>The label is the law and EPA ensures the pesticide/device is in compliance with the EPA approved label.</w:t>
            </w:r>
            <w:r>
              <w:rPr>
                <w:rFonts w:ascii="Garamond" w:hAnsi="Garamond"/>
              </w:rPr>
              <w:t xml:space="preserve"> Further information is provided with justification for DIS.</w:t>
            </w:r>
          </w:p>
        </w:tc>
        <w:tc>
          <w:tcPr>
            <w:tcW w:w="2340" w:type="dxa"/>
            <w:tcBorders>
              <w:top w:val="nil"/>
              <w:left w:val="single" w:sz="4" w:space="0" w:color="auto"/>
              <w:bottom w:val="single" w:sz="8" w:space="0" w:color="auto"/>
              <w:right w:val="single" w:sz="4" w:space="0" w:color="auto"/>
            </w:tcBorders>
            <w:hideMark/>
          </w:tcPr>
          <w:p w:rsidR="003F6D66" w:rsidRPr="007C3F34" w:rsidRDefault="003F6D66" w:rsidP="00291297">
            <w:pPr>
              <w:spacing w:after="40"/>
              <w:rPr>
                <w:rFonts w:ascii="Garamond" w:hAnsi="Garamond"/>
              </w:rPr>
            </w:pPr>
            <w:r w:rsidRPr="00D63AD1">
              <w:rPr>
                <w:rFonts w:ascii="Garamond" w:hAnsi="Garamond"/>
              </w:rPr>
              <w:t xml:space="preserve">Yes. </w:t>
            </w:r>
            <w:r w:rsidRPr="007C3F34">
              <w:rPr>
                <w:rFonts w:ascii="Garamond" w:hAnsi="Garamond"/>
              </w:rPr>
              <w:t>The current ICR accounts for the voluntary submission of the label</w:t>
            </w:r>
            <w:r>
              <w:rPr>
                <w:rFonts w:ascii="Garamond" w:hAnsi="Garamond"/>
              </w:rPr>
              <w:t xml:space="preserve"> 100 percent of the time</w:t>
            </w:r>
            <w:r w:rsidRPr="007C3F34">
              <w:rPr>
                <w:rFonts w:ascii="Garamond" w:hAnsi="Garamond"/>
              </w:rPr>
              <w:t>. The rule intends to make the submission the label mandatory.</w:t>
            </w:r>
          </w:p>
        </w:tc>
      </w:tr>
    </w:tbl>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 xml:space="preserve">What </w:t>
      </w:r>
      <w:r>
        <w:rPr>
          <w:rFonts w:ascii="Garamond" w:hAnsi="Garamond" w:cs="Arial"/>
          <w:b/>
          <w:color w:val="191917"/>
        </w:rPr>
        <w:t xml:space="preserve">Are </w:t>
      </w:r>
      <w:r w:rsidRPr="0029750B">
        <w:rPr>
          <w:rFonts w:ascii="Garamond" w:hAnsi="Garamond" w:cs="Arial"/>
          <w:b/>
          <w:color w:val="191917"/>
        </w:rPr>
        <w:t xml:space="preserve">the </w:t>
      </w:r>
      <w:r>
        <w:rPr>
          <w:rFonts w:ascii="Garamond" w:hAnsi="Garamond" w:cs="Arial"/>
          <w:b/>
          <w:color w:val="191917"/>
        </w:rPr>
        <w:t>E</w:t>
      </w:r>
      <w:r w:rsidRPr="0029750B">
        <w:rPr>
          <w:rFonts w:ascii="Garamond" w:hAnsi="Garamond" w:cs="Arial"/>
          <w:b/>
          <w:color w:val="191917"/>
        </w:rPr>
        <w:t xml:space="preserve">stimated </w:t>
      </w:r>
      <w:r>
        <w:rPr>
          <w:rFonts w:ascii="Garamond" w:hAnsi="Garamond" w:cs="Arial"/>
          <w:b/>
          <w:color w:val="191917"/>
        </w:rPr>
        <w:t>B</w:t>
      </w:r>
      <w:r w:rsidRPr="0029750B">
        <w:rPr>
          <w:rFonts w:ascii="Garamond" w:hAnsi="Garamond" w:cs="Arial"/>
          <w:b/>
          <w:color w:val="191917"/>
        </w:rPr>
        <w:t xml:space="preserve">urden </w:t>
      </w:r>
      <w:r>
        <w:rPr>
          <w:rFonts w:ascii="Garamond" w:hAnsi="Garamond" w:cs="Arial"/>
          <w:b/>
          <w:color w:val="191917"/>
        </w:rPr>
        <w:t xml:space="preserve">and Costs </w:t>
      </w:r>
      <w:r w:rsidRPr="0029750B">
        <w:rPr>
          <w:rFonts w:ascii="Garamond" w:hAnsi="Garamond" w:cs="Arial"/>
          <w:b/>
          <w:color w:val="191917"/>
        </w:rPr>
        <w:t xml:space="preserve">for </w:t>
      </w:r>
      <w:r>
        <w:rPr>
          <w:rFonts w:ascii="Garamond" w:hAnsi="Garamond" w:cs="Arial"/>
          <w:b/>
          <w:color w:val="191917"/>
        </w:rPr>
        <w:t>T</w:t>
      </w:r>
      <w:r w:rsidRPr="0029750B">
        <w:rPr>
          <w:rFonts w:ascii="Garamond" w:hAnsi="Garamond" w:cs="Arial"/>
          <w:b/>
          <w:color w:val="191917"/>
        </w:rPr>
        <w:t xml:space="preserve">his </w:t>
      </w:r>
      <w:r>
        <w:rPr>
          <w:rFonts w:ascii="Garamond" w:hAnsi="Garamond" w:cs="Arial"/>
          <w:b/>
          <w:color w:val="191917"/>
        </w:rPr>
        <w:t>I</w:t>
      </w:r>
      <w:r w:rsidRPr="0029750B">
        <w:rPr>
          <w:rFonts w:ascii="Garamond" w:hAnsi="Garamond" w:cs="Arial"/>
          <w:b/>
          <w:color w:val="191917"/>
        </w:rPr>
        <w:t xml:space="preserve">nformation </w:t>
      </w:r>
      <w:r>
        <w:rPr>
          <w:rFonts w:ascii="Garamond" w:hAnsi="Garamond" w:cs="Arial"/>
          <w:b/>
          <w:color w:val="191917"/>
        </w:rPr>
        <w:t>C</w:t>
      </w:r>
      <w:r w:rsidRPr="0029750B">
        <w:rPr>
          <w:rFonts w:ascii="Garamond" w:hAnsi="Garamond" w:cs="Arial"/>
          <w:b/>
          <w:color w:val="191917"/>
        </w:rPr>
        <w:t xml:space="preserve">ollection </w:t>
      </w:r>
      <w:r>
        <w:rPr>
          <w:rFonts w:ascii="Garamond" w:hAnsi="Garamond" w:cs="Arial"/>
          <w:b/>
          <w:color w:val="191917"/>
        </w:rPr>
        <w:t>A</w:t>
      </w:r>
      <w:r w:rsidRPr="0029750B">
        <w:rPr>
          <w:rFonts w:ascii="Garamond" w:hAnsi="Garamond" w:cs="Arial"/>
          <w:b/>
          <w:color w:val="191917"/>
        </w:rPr>
        <w:t>ctivity?</w:t>
      </w:r>
    </w:p>
    <w:p w:rsidR="003F6D66" w:rsidRDefault="003F6D66" w:rsidP="003F6D66">
      <w:pPr>
        <w:rPr>
          <w:rFonts w:ascii="Garamond" w:hAnsi="Garamond" w:cs="Arial"/>
          <w:b/>
          <w:color w:val="191917"/>
        </w:rPr>
      </w:pPr>
    </w:p>
    <w:p w:rsidR="003F6D66" w:rsidRPr="00C57477" w:rsidRDefault="003F6D66" w:rsidP="003F6D66">
      <w:pPr>
        <w:rPr>
          <w:rFonts w:ascii="Garamond" w:hAnsi="Garamond" w:cs="Arial"/>
          <w:color w:val="191917"/>
        </w:rPr>
      </w:pPr>
      <w:r w:rsidRPr="00C57477">
        <w:rPr>
          <w:rFonts w:ascii="Garamond" w:hAnsi="Garamond" w:cs="Arial"/>
          <w:color w:val="191917"/>
        </w:rPr>
        <w:t xml:space="preserve">Respondents to </w:t>
      </w:r>
      <w:r>
        <w:rPr>
          <w:rFonts w:ascii="Garamond" w:hAnsi="Garamond" w:cs="Arial"/>
          <w:color w:val="191917"/>
        </w:rPr>
        <w:t xml:space="preserve">the pesticide NOA </w:t>
      </w:r>
      <w:r w:rsidRPr="00C57477">
        <w:rPr>
          <w:rFonts w:ascii="Garamond" w:hAnsi="Garamond" w:cs="Arial"/>
          <w:color w:val="191917"/>
        </w:rPr>
        <w:t>information collection are pesticide importers, which includes many types of business entities ranging from Construction (NAICS 23) to Chemical Manufacturing (NAICS 32) and even entities in the Public Administration category (NAICS 92).</w:t>
      </w:r>
      <w:r>
        <w:rPr>
          <w:rFonts w:ascii="Garamond" w:hAnsi="Garamond" w:cs="Arial"/>
          <w:color w:val="191917"/>
        </w:rPr>
        <w:t xml:space="preserve"> Oth</w:t>
      </w:r>
      <w:r w:rsidRPr="00C57477">
        <w:rPr>
          <w:rFonts w:ascii="Garamond" w:hAnsi="Garamond" w:cs="Arial"/>
          <w:color w:val="191917"/>
        </w:rPr>
        <w:t xml:space="preserve">er entities that import pesticides include those classified as Professional, Scientific, and Technical Services (NAICS 54) and Wholesale Trade </w:t>
      </w:r>
      <w:r w:rsidRPr="00C57477">
        <w:rPr>
          <w:rFonts w:ascii="Garamond" w:hAnsi="Garamond" w:cs="Arial"/>
          <w:color w:val="191917"/>
        </w:rPr>
        <w:lastRenderedPageBreak/>
        <w:t xml:space="preserve">(NAICS 42), among others. </w:t>
      </w:r>
    </w:p>
    <w:p w:rsidR="003F6D66" w:rsidRPr="00C57477"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As noted above, the </w:t>
      </w:r>
      <w:r w:rsidRPr="00296FD0">
        <w:rPr>
          <w:rFonts w:ascii="Garamond" w:hAnsi="Garamond" w:cs="Arial"/>
          <w:color w:val="191917"/>
        </w:rPr>
        <w:t>proposed changes to the collection of information include listing an additional contact name, specifying the CAS number or PC Code for the active ingredient(s), submitting a label image, and including data elements to justify the impo</w:t>
      </w:r>
      <w:r>
        <w:rPr>
          <w:rFonts w:ascii="Garamond" w:hAnsi="Garamond" w:cs="Arial"/>
          <w:color w:val="191917"/>
        </w:rPr>
        <w:t xml:space="preserve">rt of unregistered pesticides. </w:t>
      </w:r>
      <w:r w:rsidRPr="00296FD0">
        <w:rPr>
          <w:rFonts w:ascii="Garamond" w:hAnsi="Garamond" w:cs="Arial"/>
          <w:color w:val="191917"/>
        </w:rPr>
        <w:t>The currently approved ICR</w:t>
      </w:r>
      <w:r>
        <w:rPr>
          <w:rFonts w:ascii="Garamond" w:hAnsi="Garamond" w:cs="Arial"/>
          <w:color w:val="191917"/>
        </w:rPr>
        <w:t xml:space="preserve"> (2070-0200)</w:t>
      </w:r>
      <w:r w:rsidRPr="00296FD0">
        <w:rPr>
          <w:rFonts w:ascii="Garamond" w:hAnsi="Garamond" w:cs="Arial"/>
          <w:color w:val="191917"/>
        </w:rPr>
        <w:t xml:space="preserve"> already addresses </w:t>
      </w:r>
      <w:r>
        <w:rPr>
          <w:rFonts w:ascii="Garamond" w:hAnsi="Garamond" w:cs="Arial"/>
          <w:color w:val="191917"/>
        </w:rPr>
        <w:t xml:space="preserve">the </w:t>
      </w:r>
      <w:r w:rsidRPr="00296FD0">
        <w:rPr>
          <w:rFonts w:ascii="Garamond" w:hAnsi="Garamond" w:cs="Arial"/>
          <w:color w:val="191917"/>
        </w:rPr>
        <w:t>EPA’s assumption that all NOA filers have adopted the practice of submitting the pesticide label with the NOA, and that importers of unregistered pesticides will identify the circumstances under which they may legally import the shipment, in order to facilitate timely clearance of their shipments. EPA assumes that providing the CAS number or PC Code and a contact name along with the company name creat</w:t>
      </w:r>
      <w:r>
        <w:rPr>
          <w:rFonts w:ascii="Garamond" w:hAnsi="Garamond" w:cs="Arial"/>
          <w:color w:val="191917"/>
        </w:rPr>
        <w:t xml:space="preserve">e a de minimus burden, if any. </w:t>
      </w:r>
      <w:r w:rsidRPr="00296FD0">
        <w:rPr>
          <w:rFonts w:ascii="Garamond" w:hAnsi="Garamond" w:cs="Arial"/>
          <w:color w:val="191917"/>
        </w:rPr>
        <w:t xml:space="preserve">Therefore, </w:t>
      </w:r>
      <w:r>
        <w:rPr>
          <w:rFonts w:ascii="Garamond" w:hAnsi="Garamond" w:cs="Arial"/>
          <w:color w:val="191917"/>
        </w:rPr>
        <w:t xml:space="preserve">the </w:t>
      </w:r>
      <w:r w:rsidRPr="00296FD0">
        <w:rPr>
          <w:rFonts w:ascii="Garamond" w:hAnsi="Garamond" w:cs="Arial"/>
          <w:color w:val="191917"/>
        </w:rPr>
        <w:t xml:space="preserve">EPA does not expect that the </w:t>
      </w:r>
      <w:r>
        <w:rPr>
          <w:rFonts w:ascii="Garamond" w:hAnsi="Garamond" w:cs="Arial"/>
          <w:color w:val="191917"/>
        </w:rPr>
        <w:t xml:space="preserve">additional information collected through the pilot will </w:t>
      </w:r>
      <w:r w:rsidRPr="00296FD0">
        <w:rPr>
          <w:rFonts w:ascii="Garamond" w:hAnsi="Garamond" w:cs="Arial"/>
          <w:color w:val="191917"/>
        </w:rPr>
        <w:t>result in any changes to the annual burden estimate for the currently approved ICR.</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Rationale for the Emergency Request</w:t>
      </w:r>
    </w:p>
    <w:p w:rsidR="003F6D66" w:rsidRDefault="003F6D66" w:rsidP="003F6D66">
      <w:pPr>
        <w:rPr>
          <w:rFonts w:ascii="Garamond" w:hAnsi="Garamond" w:cs="Arial"/>
          <w:b/>
          <w:color w:val="191917"/>
        </w:rPr>
      </w:pPr>
    </w:p>
    <w:p w:rsidR="003F6D66" w:rsidRPr="0040333B" w:rsidRDefault="003F6D66" w:rsidP="003F6D66">
      <w:pPr>
        <w:rPr>
          <w:rFonts w:ascii="Garamond" w:hAnsi="Garamond" w:cs="Arial"/>
          <w:color w:val="191917"/>
        </w:rPr>
      </w:pPr>
      <w:r w:rsidRPr="0040333B">
        <w:rPr>
          <w:rFonts w:ascii="Garamond" w:hAnsi="Garamond" w:cs="Arial"/>
          <w:color w:val="191917"/>
        </w:rPr>
        <w:t>On February 19, 2014, President Obama issued Executive Order (EO) 13659, Streamlining the Export/Import Process for America’s Businesses, in order to reduce unnecessary procedural requirements relating to, among other things, importing into the United States, while continuing to protect national security, public health and safety, the environment, and natural resources. See 79</w:t>
      </w:r>
      <w:r>
        <w:rPr>
          <w:rFonts w:ascii="Garamond" w:hAnsi="Garamond" w:cs="Arial"/>
          <w:color w:val="191917"/>
        </w:rPr>
        <w:t xml:space="preserve"> FR 10657 (February 25, 2014). </w:t>
      </w:r>
      <w:r w:rsidRPr="0040333B">
        <w:rPr>
          <w:rFonts w:ascii="Garamond" w:hAnsi="Garamond" w:cs="Arial"/>
          <w:color w:val="191917"/>
        </w:rPr>
        <w:t>Among other directives, EO 13659 mandates that no later than December 31, 2016, ITDS “agencies shall have capabilities, agreements, and other requirements in place to utilize the ITDS and supporting systems, such as the Automated Commercial Environment [ACE], as the primary means of receiving from users … the standard set of data and other relevant documentation (exclusive of applications for permits, licenses, or certifications) required for t</w:t>
      </w:r>
      <w:r>
        <w:rPr>
          <w:rFonts w:ascii="Garamond" w:hAnsi="Garamond" w:cs="Arial"/>
          <w:color w:val="191917"/>
        </w:rPr>
        <w:t xml:space="preserve">he release of imported cargo…” </w:t>
      </w:r>
      <w:r w:rsidRPr="0040333B">
        <w:rPr>
          <w:rFonts w:ascii="Garamond" w:hAnsi="Garamond" w:cs="Arial"/>
          <w:color w:val="191917"/>
        </w:rPr>
        <w:t>By that time, ACE is expected to have the operational capabilities necessary to enable users to transmit a harmonized set of import data elements, via a “single window,” to obtain the r</w:t>
      </w:r>
      <w:r>
        <w:rPr>
          <w:rFonts w:ascii="Garamond" w:hAnsi="Garamond" w:cs="Arial"/>
          <w:color w:val="191917"/>
        </w:rPr>
        <w:t xml:space="preserve">elease and clearance of goods. </w:t>
      </w:r>
      <w:r w:rsidRPr="0040333B">
        <w:rPr>
          <w:rFonts w:ascii="Garamond" w:hAnsi="Garamond" w:cs="Arial"/>
          <w:color w:val="191917"/>
        </w:rPr>
        <w:t>As a result, ITDS would eliminate redundant reporting requirements and facilitate the transition from paper-based requirements reporting and other procedures to faster and more cost-effective electronic submissions to, and communication among, government agencies.</w:t>
      </w:r>
    </w:p>
    <w:p w:rsidR="003F6D66" w:rsidRPr="0040333B"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Part of the effort to ensure that the U.S. government meets the December 2016 deadline involves testing the ITDS system, often also referred to as the Automated Commercial Environment (ACE). Customs and Border Protection (CBP) can test new technology, like ITDS or ACE, by conducting pilots under the </w:t>
      </w:r>
      <w:r w:rsidRPr="00200FDA">
        <w:rPr>
          <w:rFonts w:ascii="Garamond" w:hAnsi="Garamond" w:cs="Arial"/>
          <w:color w:val="191917"/>
        </w:rPr>
        <w:t>National Customs Automation</w:t>
      </w:r>
      <w:r>
        <w:rPr>
          <w:rFonts w:ascii="Garamond" w:hAnsi="Garamond" w:cs="Arial"/>
          <w:color w:val="191917"/>
        </w:rPr>
        <w:t xml:space="preserve"> </w:t>
      </w:r>
      <w:r w:rsidRPr="00200FDA">
        <w:rPr>
          <w:rFonts w:ascii="Garamond" w:hAnsi="Garamond" w:cs="Arial"/>
          <w:color w:val="191917"/>
        </w:rPr>
        <w:t>Program (NCAP)</w:t>
      </w:r>
      <w:r>
        <w:rPr>
          <w:rFonts w:ascii="Garamond" w:hAnsi="Garamond" w:cs="Arial"/>
          <w:color w:val="191917"/>
        </w:rPr>
        <w:t xml:space="preserve">. </w:t>
      </w:r>
      <w:r w:rsidRPr="00200FDA">
        <w:rPr>
          <w:rFonts w:ascii="Garamond" w:hAnsi="Garamond" w:cs="Arial"/>
          <w:color w:val="191917"/>
        </w:rPr>
        <w:t>Through</w:t>
      </w:r>
      <w:r>
        <w:rPr>
          <w:rFonts w:ascii="Garamond" w:hAnsi="Garamond" w:cs="Arial"/>
          <w:color w:val="191917"/>
        </w:rPr>
        <w:t xml:space="preserve"> </w:t>
      </w:r>
      <w:r w:rsidRPr="00200FDA">
        <w:rPr>
          <w:rFonts w:ascii="Garamond" w:hAnsi="Garamond" w:cs="Arial"/>
          <w:color w:val="191917"/>
        </w:rPr>
        <w:t>NCAP, the thrust of customs</w:t>
      </w:r>
      <w:r>
        <w:rPr>
          <w:rFonts w:ascii="Garamond" w:hAnsi="Garamond" w:cs="Arial"/>
          <w:color w:val="191917"/>
        </w:rPr>
        <w:t xml:space="preserve"> </w:t>
      </w:r>
      <w:r w:rsidRPr="00200FDA">
        <w:rPr>
          <w:rFonts w:ascii="Garamond" w:hAnsi="Garamond" w:cs="Arial"/>
          <w:color w:val="191917"/>
        </w:rPr>
        <w:t>modernization has been on trade</w:t>
      </w:r>
      <w:r>
        <w:rPr>
          <w:rFonts w:ascii="Garamond" w:hAnsi="Garamond" w:cs="Arial"/>
          <w:color w:val="191917"/>
        </w:rPr>
        <w:t xml:space="preserve"> </w:t>
      </w:r>
      <w:r w:rsidRPr="00200FDA">
        <w:rPr>
          <w:rFonts w:ascii="Garamond" w:hAnsi="Garamond" w:cs="Arial"/>
          <w:color w:val="191917"/>
        </w:rPr>
        <w:t>compliance and the development of ACE, the planned successor to the</w:t>
      </w:r>
      <w:r>
        <w:rPr>
          <w:rFonts w:ascii="Garamond" w:hAnsi="Garamond" w:cs="Arial"/>
          <w:color w:val="191917"/>
        </w:rPr>
        <w:t xml:space="preserve"> </w:t>
      </w:r>
      <w:r w:rsidRPr="00200FDA">
        <w:rPr>
          <w:rFonts w:ascii="Garamond" w:hAnsi="Garamond" w:cs="Arial"/>
          <w:color w:val="191917"/>
        </w:rPr>
        <w:t>Automated Commercial System (ACS).</w:t>
      </w:r>
      <w:r>
        <w:rPr>
          <w:rFonts w:ascii="Garamond" w:hAnsi="Garamond" w:cs="Arial"/>
          <w:color w:val="191917"/>
        </w:rPr>
        <w:t xml:space="preserve"> The EPA has worked with CBP to launch NCAP pilots for all of the imported commodities that EPA reviews (e.g., vehicles and engines, pesticides, ozone depleting substances and chemical substances). </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 xml:space="preserve">In addition to testing the new system via pilots, the </w:t>
      </w:r>
      <w:r w:rsidRPr="0040333B">
        <w:rPr>
          <w:rFonts w:ascii="Garamond" w:hAnsi="Garamond" w:cs="Arial"/>
          <w:color w:val="191917"/>
        </w:rPr>
        <w:t>EPA has been working diligently with CBP to revise the regulations addressing the import requirements for vehicles and engines (both nonroad and onroad), pesticides and chemical substances regulated by T</w:t>
      </w:r>
      <w:r>
        <w:rPr>
          <w:rFonts w:ascii="Garamond" w:hAnsi="Garamond" w:cs="Arial"/>
          <w:color w:val="191917"/>
        </w:rPr>
        <w:t>oxic Substances Control Act (TSCA)</w:t>
      </w:r>
      <w:r w:rsidRPr="0040333B">
        <w:rPr>
          <w:rFonts w:ascii="Garamond" w:hAnsi="Garamond" w:cs="Arial"/>
          <w:color w:val="191917"/>
        </w:rPr>
        <w:t xml:space="preserve">. These regulatory revisions will allow for the use of ACE instead of paper to meet import reporting requirements, and also collect some additional relevant information to inform compliance determinations.  </w:t>
      </w:r>
    </w:p>
    <w:p w:rsidR="003F6D66" w:rsidRDefault="003F6D66" w:rsidP="003F6D66">
      <w:pPr>
        <w:rPr>
          <w:rFonts w:ascii="Garamond" w:hAnsi="Garamond" w:cs="Arial"/>
          <w:color w:val="191917"/>
        </w:rPr>
      </w:pPr>
    </w:p>
    <w:p w:rsidR="003F6D66" w:rsidRPr="0040333B" w:rsidRDefault="003F6D66" w:rsidP="003F6D66">
      <w:pPr>
        <w:rPr>
          <w:rFonts w:ascii="Garamond" w:hAnsi="Garamond" w:cs="Arial"/>
          <w:color w:val="191917"/>
        </w:rPr>
      </w:pPr>
      <w:r w:rsidRPr="0040333B">
        <w:rPr>
          <w:rFonts w:ascii="Garamond" w:hAnsi="Garamond" w:cs="Arial"/>
          <w:color w:val="191917"/>
        </w:rPr>
        <w:t xml:space="preserve">Despite the best efforts of EPA and CBP, these rule revisions are not final yet and therefore the related approved ICRs do not cover the few additional data elements being tested in pilots. </w:t>
      </w:r>
      <w:r>
        <w:rPr>
          <w:rFonts w:ascii="Garamond" w:hAnsi="Garamond" w:cs="Arial"/>
          <w:color w:val="191917"/>
        </w:rPr>
        <w:t xml:space="preserve">The lack of a revised ICR is not an issue for the onroad vehicle and engine or ozone depleting substances pilots because all the information collected in those pilots is covered by the existing ICRs. In addition, the TSA certification required for chemical substances does not require an ICR. However, </w:t>
      </w:r>
      <w:r w:rsidRPr="0040333B">
        <w:rPr>
          <w:rFonts w:ascii="Garamond" w:hAnsi="Garamond" w:cs="Arial"/>
          <w:color w:val="191917"/>
        </w:rPr>
        <w:t xml:space="preserve">the pilots that test ACE for nonroad </w:t>
      </w:r>
      <w:r w:rsidRPr="0040333B">
        <w:rPr>
          <w:rFonts w:ascii="Garamond" w:hAnsi="Garamond" w:cs="Arial"/>
          <w:color w:val="191917"/>
        </w:rPr>
        <w:lastRenderedPageBreak/>
        <w:t>engines and pesticides imports are limited to nine or fewer importers each because the pilots were written to collect the data in the proposed rule revisions</w:t>
      </w:r>
      <w:r>
        <w:rPr>
          <w:rFonts w:ascii="Garamond" w:hAnsi="Garamond" w:cs="Arial"/>
          <w:color w:val="191917"/>
        </w:rPr>
        <w:t>, not all of which is covered by an existing ICR</w:t>
      </w:r>
      <w:r w:rsidRPr="0040333B">
        <w:rPr>
          <w:rFonts w:ascii="Garamond" w:hAnsi="Garamond" w:cs="Arial"/>
          <w:color w:val="191917"/>
        </w:rPr>
        <w:t xml:space="preserve">. </w:t>
      </w:r>
      <w:r>
        <w:rPr>
          <w:rFonts w:ascii="Garamond" w:hAnsi="Garamond" w:cs="Arial"/>
          <w:i/>
          <w:color w:val="191917"/>
        </w:rPr>
        <w:t>See, e.g.,</w:t>
      </w:r>
      <w:r>
        <w:rPr>
          <w:rFonts w:ascii="Garamond" w:hAnsi="Garamond" w:cs="Arial"/>
          <w:color w:val="191917"/>
        </w:rPr>
        <w:t xml:space="preserve"> 81 Fed Reg. 13399 (March 14, 2016). </w:t>
      </w:r>
      <w:r w:rsidRPr="0040333B">
        <w:rPr>
          <w:rFonts w:ascii="Garamond" w:hAnsi="Garamond" w:cs="Arial"/>
          <w:color w:val="191917"/>
        </w:rPr>
        <w:t xml:space="preserve">In order to </w:t>
      </w:r>
      <w:r>
        <w:rPr>
          <w:rFonts w:ascii="Garamond" w:hAnsi="Garamond" w:cs="Arial"/>
          <w:color w:val="191917"/>
        </w:rPr>
        <w:t xml:space="preserve">robustly test the data collection in ITDS for these commodities, and </w:t>
      </w:r>
      <w:r w:rsidRPr="0040333B">
        <w:rPr>
          <w:rFonts w:ascii="Garamond" w:hAnsi="Garamond" w:cs="Arial"/>
          <w:color w:val="191917"/>
        </w:rPr>
        <w:t xml:space="preserve">ensure that ACE is fully operational and able to meet the demand of full Trade participation by December 31, 2016, EPA and CBP need to increase participation in these two pilots beyond nine importers each. </w:t>
      </w:r>
      <w:r>
        <w:rPr>
          <w:rFonts w:ascii="Garamond" w:hAnsi="Garamond" w:cs="Arial"/>
          <w:color w:val="191917"/>
        </w:rPr>
        <w:t>(EPA will separately request emergency approval of an ICR related to the nonroad vehicles and engines pilot.)</w:t>
      </w:r>
    </w:p>
    <w:p w:rsidR="003F6D66" w:rsidRDefault="003F6D66" w:rsidP="003F6D66">
      <w:pPr>
        <w:tabs>
          <w:tab w:val="left" w:pos="5778"/>
        </w:tabs>
        <w:rPr>
          <w:rFonts w:ascii="Garamond" w:hAnsi="Garamond" w:cs="Arial"/>
          <w:b/>
          <w:color w:val="191917"/>
        </w:rPr>
      </w:pPr>
      <w:r>
        <w:rPr>
          <w:rFonts w:ascii="Garamond" w:hAnsi="Garamond" w:cs="Arial"/>
          <w:b/>
          <w:color w:val="191917"/>
        </w:rPr>
        <w:tab/>
      </w:r>
    </w:p>
    <w:p w:rsidR="003F6D66" w:rsidRDefault="003F6D66" w:rsidP="003F6D66">
      <w:pPr>
        <w:rPr>
          <w:rFonts w:ascii="Garamond" w:hAnsi="Garamond" w:cs="Arial"/>
          <w:b/>
          <w:color w:val="191917"/>
        </w:rPr>
      </w:pPr>
      <w:r w:rsidRPr="0029750B">
        <w:rPr>
          <w:rFonts w:ascii="Garamond" w:hAnsi="Garamond" w:cs="Arial"/>
          <w:b/>
          <w:color w:val="191917"/>
        </w:rPr>
        <w:t>Is the Information Collection Essential and Neces</w:t>
      </w:r>
      <w:r>
        <w:rPr>
          <w:rFonts w:ascii="Garamond" w:hAnsi="Garamond" w:cs="Arial"/>
          <w:b/>
          <w:color w:val="191917"/>
        </w:rPr>
        <w:t xml:space="preserve">sary for the Proper Performance </w:t>
      </w:r>
      <w:r w:rsidRPr="0029750B">
        <w:rPr>
          <w:rFonts w:ascii="Garamond" w:hAnsi="Garamond" w:cs="Arial"/>
          <w:b/>
          <w:color w:val="191917"/>
        </w:rPr>
        <w:t>of the Agency Functions?</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 xml:space="preserve">Yes. As explained above, in order to ensure that the new ITDS is working smoothly, CBP and the EPA need more than nine importers to test the system as it applies to nonroad vehicles and engines. </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29750B">
        <w:rPr>
          <w:rFonts w:ascii="Garamond" w:hAnsi="Garamond" w:cs="Arial"/>
          <w:b/>
          <w:color w:val="191917"/>
        </w:rPr>
        <w:t xml:space="preserve">Why </w:t>
      </w:r>
      <w:r>
        <w:rPr>
          <w:rFonts w:ascii="Garamond" w:hAnsi="Garamond" w:cs="Arial"/>
          <w:b/>
          <w:color w:val="191917"/>
        </w:rPr>
        <w:t>C</w:t>
      </w:r>
      <w:r w:rsidRPr="0029750B">
        <w:rPr>
          <w:rFonts w:ascii="Garamond" w:hAnsi="Garamond" w:cs="Arial"/>
          <w:b/>
          <w:color w:val="191917"/>
        </w:rPr>
        <w:t xml:space="preserve">an't the Agency </w:t>
      </w:r>
      <w:r>
        <w:rPr>
          <w:rFonts w:ascii="Garamond" w:hAnsi="Garamond" w:cs="Arial"/>
          <w:b/>
          <w:color w:val="191917"/>
        </w:rPr>
        <w:t>R</w:t>
      </w:r>
      <w:r w:rsidRPr="0029750B">
        <w:rPr>
          <w:rFonts w:ascii="Garamond" w:hAnsi="Garamond" w:cs="Arial"/>
          <w:b/>
          <w:color w:val="191917"/>
        </w:rPr>
        <w:t xml:space="preserve">easonably </w:t>
      </w:r>
      <w:r>
        <w:rPr>
          <w:rFonts w:ascii="Garamond" w:hAnsi="Garamond" w:cs="Arial"/>
          <w:b/>
          <w:color w:val="191917"/>
        </w:rPr>
        <w:t>C</w:t>
      </w:r>
      <w:r w:rsidRPr="0029750B">
        <w:rPr>
          <w:rFonts w:ascii="Garamond" w:hAnsi="Garamond" w:cs="Arial"/>
          <w:b/>
          <w:color w:val="191917"/>
        </w:rPr>
        <w:t xml:space="preserve">omply with the </w:t>
      </w:r>
      <w:r>
        <w:rPr>
          <w:rFonts w:ascii="Garamond" w:hAnsi="Garamond" w:cs="Arial"/>
          <w:b/>
          <w:color w:val="191917"/>
        </w:rPr>
        <w:t>N</w:t>
      </w:r>
      <w:r w:rsidRPr="0029750B">
        <w:rPr>
          <w:rFonts w:ascii="Garamond" w:hAnsi="Garamond" w:cs="Arial"/>
          <w:b/>
          <w:color w:val="191917"/>
        </w:rPr>
        <w:t xml:space="preserve">ormal </w:t>
      </w:r>
      <w:r>
        <w:rPr>
          <w:rFonts w:ascii="Garamond" w:hAnsi="Garamond" w:cs="Arial"/>
          <w:b/>
          <w:color w:val="191917"/>
        </w:rPr>
        <w:t>C</w:t>
      </w:r>
      <w:r w:rsidRPr="0029750B">
        <w:rPr>
          <w:rFonts w:ascii="Garamond" w:hAnsi="Garamond" w:cs="Arial"/>
          <w:b/>
          <w:color w:val="191917"/>
        </w:rPr>
        <w:t xml:space="preserve">learance </w:t>
      </w:r>
      <w:r>
        <w:rPr>
          <w:rFonts w:ascii="Garamond" w:hAnsi="Garamond" w:cs="Arial"/>
          <w:b/>
          <w:color w:val="191917"/>
        </w:rPr>
        <w:t>P</w:t>
      </w:r>
      <w:r w:rsidRPr="0029750B">
        <w:rPr>
          <w:rFonts w:ascii="Garamond" w:hAnsi="Garamond" w:cs="Arial"/>
          <w:b/>
          <w:color w:val="191917"/>
        </w:rPr>
        <w:t>rocedures?</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Pr>
          <w:rFonts w:ascii="Garamond" w:hAnsi="Garamond" w:cs="Arial"/>
          <w:color w:val="191917"/>
        </w:rPr>
        <w:t xml:space="preserve">The EPA is planning to utilize the normal clearance procedure for the ICR revisions or renewals attendant to the rule revisions. If the rule revisions had been proposed earlier, the EPA may have been able to use the normal process and still have had sufficient time to pilot ITDS fully before December 2016. Unfortunately, delay in proposing the rule revisions means that there </w:t>
      </w:r>
      <w:r w:rsidRPr="0040333B">
        <w:rPr>
          <w:rFonts w:ascii="Garamond" w:hAnsi="Garamond" w:cs="Arial"/>
          <w:color w:val="191917"/>
        </w:rPr>
        <w:t xml:space="preserve">is not sufficient time to use the normal procedures for revising the </w:t>
      </w:r>
      <w:r>
        <w:rPr>
          <w:rFonts w:ascii="Garamond" w:hAnsi="Garamond" w:cs="Arial"/>
          <w:color w:val="191917"/>
        </w:rPr>
        <w:t xml:space="preserve">existing </w:t>
      </w:r>
      <w:r w:rsidRPr="0040333B">
        <w:rPr>
          <w:rFonts w:ascii="Garamond" w:hAnsi="Garamond" w:cs="Arial"/>
          <w:color w:val="191917"/>
        </w:rPr>
        <w:t xml:space="preserve">ICRs and still expand the pilot in time to fully test them before the December 31, 2016 deadline. Thus, </w:t>
      </w:r>
      <w:r>
        <w:rPr>
          <w:rFonts w:ascii="Garamond" w:hAnsi="Garamond" w:cs="Arial"/>
          <w:color w:val="191917"/>
        </w:rPr>
        <w:t xml:space="preserve">the EPA </w:t>
      </w:r>
      <w:r w:rsidRPr="0040333B">
        <w:rPr>
          <w:rFonts w:ascii="Garamond" w:hAnsi="Garamond" w:cs="Arial"/>
          <w:color w:val="191917"/>
        </w:rPr>
        <w:t>request</w:t>
      </w:r>
      <w:r>
        <w:rPr>
          <w:rFonts w:ascii="Garamond" w:hAnsi="Garamond" w:cs="Arial"/>
          <w:color w:val="191917"/>
        </w:rPr>
        <w:t>s</w:t>
      </w:r>
      <w:r w:rsidRPr="0040333B">
        <w:rPr>
          <w:rFonts w:ascii="Garamond" w:hAnsi="Garamond" w:cs="Arial"/>
          <w:color w:val="191917"/>
        </w:rPr>
        <w:t xml:space="preserve"> emergency processing to authorize the collection of the few additional data elements included in the pesticide pilot, </w:t>
      </w:r>
      <w:r>
        <w:rPr>
          <w:rFonts w:ascii="Garamond" w:hAnsi="Garamond" w:cs="Arial"/>
          <w:color w:val="191917"/>
        </w:rPr>
        <w:t xml:space="preserve">for the maximum of 180 days (e.g., </w:t>
      </w:r>
      <w:r w:rsidRPr="0040333B">
        <w:rPr>
          <w:rFonts w:ascii="Garamond" w:hAnsi="Garamond" w:cs="Arial"/>
          <w:color w:val="191917"/>
        </w:rPr>
        <w:t>until December 31, 2016</w:t>
      </w:r>
      <w:r>
        <w:rPr>
          <w:rFonts w:ascii="Garamond" w:hAnsi="Garamond" w:cs="Arial"/>
          <w:color w:val="191917"/>
        </w:rPr>
        <w:t>)</w:t>
      </w:r>
      <w:r w:rsidRPr="0040333B">
        <w:rPr>
          <w:rFonts w:ascii="Garamond" w:hAnsi="Garamond" w:cs="Arial"/>
          <w:color w:val="191917"/>
        </w:rPr>
        <w:t xml:space="preserve"> by which time the related rules should be final and any attendant revised or renewed ICRs approved following the normal process. </w:t>
      </w:r>
    </w:p>
    <w:p w:rsidR="003F6D66" w:rsidRDefault="003F6D66" w:rsidP="003F6D66">
      <w:pPr>
        <w:rPr>
          <w:rFonts w:ascii="Garamond" w:hAnsi="Garamond" w:cs="Arial"/>
          <w:b/>
          <w:color w:val="191917"/>
        </w:rPr>
      </w:pPr>
    </w:p>
    <w:p w:rsidR="003F6D66" w:rsidRDefault="003F6D66" w:rsidP="003F6D66">
      <w:pPr>
        <w:rPr>
          <w:rFonts w:ascii="Garamond" w:hAnsi="Garamond" w:cs="Arial"/>
          <w:b/>
          <w:color w:val="191917"/>
        </w:rPr>
      </w:pPr>
      <w:r w:rsidRPr="00CA1738">
        <w:rPr>
          <w:rFonts w:ascii="Garamond" w:hAnsi="Garamond" w:cs="Arial"/>
          <w:b/>
          <w:color w:val="191917"/>
        </w:rPr>
        <w:t xml:space="preserve">Has the Agency </w:t>
      </w:r>
      <w:r>
        <w:rPr>
          <w:rFonts w:ascii="Garamond" w:hAnsi="Garamond" w:cs="Arial"/>
          <w:b/>
          <w:color w:val="191917"/>
        </w:rPr>
        <w:t>T</w:t>
      </w:r>
      <w:r w:rsidRPr="00CA1738">
        <w:rPr>
          <w:rFonts w:ascii="Garamond" w:hAnsi="Garamond" w:cs="Arial"/>
          <w:b/>
          <w:color w:val="191917"/>
        </w:rPr>
        <w:t xml:space="preserve">aken </w:t>
      </w:r>
      <w:r>
        <w:rPr>
          <w:rFonts w:ascii="Garamond" w:hAnsi="Garamond" w:cs="Arial"/>
          <w:b/>
          <w:color w:val="191917"/>
        </w:rPr>
        <w:t>P</w:t>
      </w:r>
      <w:r w:rsidRPr="00CA1738">
        <w:rPr>
          <w:rFonts w:ascii="Garamond" w:hAnsi="Garamond" w:cs="Arial"/>
          <w:b/>
          <w:color w:val="191917"/>
        </w:rPr>
        <w:t xml:space="preserve">racticable </w:t>
      </w:r>
      <w:r>
        <w:rPr>
          <w:rFonts w:ascii="Garamond" w:hAnsi="Garamond" w:cs="Arial"/>
          <w:b/>
          <w:color w:val="191917"/>
        </w:rPr>
        <w:t>S</w:t>
      </w:r>
      <w:r w:rsidRPr="00CA1738">
        <w:rPr>
          <w:rFonts w:ascii="Garamond" w:hAnsi="Garamond" w:cs="Arial"/>
          <w:b/>
          <w:color w:val="191917"/>
        </w:rPr>
        <w:t xml:space="preserve">teps to </w:t>
      </w:r>
      <w:r>
        <w:rPr>
          <w:rFonts w:ascii="Garamond" w:hAnsi="Garamond" w:cs="Arial"/>
          <w:b/>
          <w:color w:val="191917"/>
        </w:rPr>
        <w:t>C</w:t>
      </w:r>
      <w:r w:rsidRPr="00CA1738">
        <w:rPr>
          <w:rFonts w:ascii="Garamond" w:hAnsi="Garamond" w:cs="Arial"/>
          <w:b/>
          <w:color w:val="191917"/>
        </w:rPr>
        <w:t xml:space="preserve">onsult with </w:t>
      </w:r>
      <w:r>
        <w:rPr>
          <w:rFonts w:ascii="Garamond" w:hAnsi="Garamond" w:cs="Arial"/>
          <w:b/>
          <w:color w:val="191917"/>
        </w:rPr>
        <w:t>A</w:t>
      </w:r>
      <w:r w:rsidRPr="00CA1738">
        <w:rPr>
          <w:rFonts w:ascii="Garamond" w:hAnsi="Garamond" w:cs="Arial"/>
          <w:b/>
          <w:color w:val="191917"/>
        </w:rPr>
        <w:t xml:space="preserve">ffected </w:t>
      </w:r>
      <w:r>
        <w:rPr>
          <w:rFonts w:ascii="Garamond" w:hAnsi="Garamond" w:cs="Arial"/>
          <w:b/>
          <w:color w:val="191917"/>
        </w:rPr>
        <w:t>P</w:t>
      </w:r>
      <w:r w:rsidRPr="00CA1738">
        <w:rPr>
          <w:rFonts w:ascii="Garamond" w:hAnsi="Garamond" w:cs="Arial"/>
          <w:b/>
          <w:color w:val="191917"/>
        </w:rPr>
        <w:t xml:space="preserve">arties in </w:t>
      </w:r>
      <w:r>
        <w:rPr>
          <w:rFonts w:ascii="Garamond" w:hAnsi="Garamond" w:cs="Arial"/>
          <w:b/>
          <w:color w:val="191917"/>
        </w:rPr>
        <w:t>O</w:t>
      </w:r>
      <w:r w:rsidRPr="00CA1738">
        <w:rPr>
          <w:rFonts w:ascii="Garamond" w:hAnsi="Garamond" w:cs="Arial"/>
          <w:b/>
          <w:color w:val="191917"/>
        </w:rPr>
        <w:t>rder</w:t>
      </w:r>
      <w:r>
        <w:rPr>
          <w:rFonts w:ascii="Garamond" w:hAnsi="Garamond" w:cs="Arial"/>
          <w:b/>
          <w:color w:val="191917"/>
        </w:rPr>
        <w:t xml:space="preserve"> </w:t>
      </w:r>
      <w:r w:rsidRPr="00CA1738">
        <w:rPr>
          <w:rFonts w:ascii="Garamond" w:hAnsi="Garamond" w:cs="Arial"/>
          <w:b/>
          <w:color w:val="191917"/>
        </w:rPr>
        <w:t xml:space="preserve">to </w:t>
      </w:r>
      <w:r>
        <w:rPr>
          <w:rFonts w:ascii="Garamond" w:hAnsi="Garamond" w:cs="Arial"/>
          <w:b/>
          <w:color w:val="191917"/>
        </w:rPr>
        <w:t>M</w:t>
      </w:r>
      <w:r w:rsidRPr="00CA1738">
        <w:rPr>
          <w:rFonts w:ascii="Garamond" w:hAnsi="Garamond" w:cs="Arial"/>
          <w:b/>
          <w:color w:val="191917"/>
        </w:rPr>
        <w:t xml:space="preserve">inimize </w:t>
      </w:r>
      <w:r>
        <w:rPr>
          <w:rFonts w:ascii="Garamond" w:hAnsi="Garamond" w:cs="Arial"/>
          <w:b/>
          <w:color w:val="191917"/>
        </w:rPr>
        <w:t>B</w:t>
      </w:r>
      <w:r w:rsidRPr="00CA1738">
        <w:rPr>
          <w:rFonts w:ascii="Garamond" w:hAnsi="Garamond" w:cs="Arial"/>
          <w:b/>
          <w:color w:val="191917"/>
        </w:rPr>
        <w:t>urden?</w:t>
      </w:r>
    </w:p>
    <w:p w:rsidR="003F6D66" w:rsidRDefault="003F6D66" w:rsidP="003F6D66">
      <w:pPr>
        <w:rPr>
          <w:rFonts w:ascii="Garamond" w:hAnsi="Garamond" w:cs="Arial"/>
          <w:b/>
          <w:color w:val="191917"/>
        </w:rPr>
      </w:pPr>
    </w:p>
    <w:p w:rsidR="003F6D66" w:rsidRDefault="003F6D66" w:rsidP="003F6D66">
      <w:pPr>
        <w:rPr>
          <w:rFonts w:ascii="Garamond" w:hAnsi="Garamond" w:cs="Arial"/>
          <w:color w:val="191917"/>
        </w:rPr>
      </w:pPr>
      <w:r>
        <w:rPr>
          <w:rFonts w:ascii="Garamond" w:hAnsi="Garamond" w:cs="Arial"/>
          <w:color w:val="191917"/>
        </w:rPr>
        <w:t>While no specific outreach regarding this emergency information collection request has been conducted, we do not anticipate concerns being raised by Trade.</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First, participation in the pilot is voluntary. Until the rule revisions are final, Trade is able to continue to file, via paper, the information collected under the existing regulations and covered by the approved ICR. Thus, an importer can avoid submitting the additional data elements covered by this emergency request by not participating in the ITDS pesticide pilot. However, we expect most Trade will want to participate in the pilot in order to better prepare for the mandatory use of ITDS, and will be comfortable providing the additional information.</w:t>
      </w:r>
    </w:p>
    <w:p w:rsidR="003F6D66" w:rsidRDefault="003F6D66" w:rsidP="003F6D66">
      <w:pPr>
        <w:rPr>
          <w:rFonts w:ascii="Garamond" w:hAnsi="Garamond" w:cs="Arial"/>
          <w:color w:val="191917"/>
        </w:rPr>
      </w:pPr>
    </w:p>
    <w:p w:rsidR="003F6D66" w:rsidRDefault="003F6D66" w:rsidP="003F6D66">
      <w:pPr>
        <w:rPr>
          <w:rFonts w:ascii="Garamond" w:hAnsi="Garamond" w:cs="Arial"/>
          <w:color w:val="191917"/>
        </w:rPr>
      </w:pPr>
      <w:r>
        <w:rPr>
          <w:rFonts w:ascii="Garamond" w:hAnsi="Garamond" w:cs="Arial"/>
          <w:color w:val="191917"/>
        </w:rPr>
        <w:t>Second, the pesticides pilot has been available since February 2015. Since launching the pilot, the EPA has provided useful information to Trade via webinars, participation in conferences, and presentations on calls run by CBP. Moreover, the Implementation Guide for the EPA pilot clearly lays out the required data elements for submissions in the pilot (and in ITDS generally). Any interested party has been able to see the information collected as part of the ITDS pilot and ask any questions they may have about the information.</w:t>
      </w:r>
    </w:p>
    <w:p w:rsidR="003F6D66" w:rsidRDefault="003F6D66" w:rsidP="003F6D66">
      <w:pPr>
        <w:rPr>
          <w:rFonts w:ascii="Garamond" w:hAnsi="Garamond" w:cs="Arial"/>
          <w:color w:val="191917"/>
        </w:rPr>
      </w:pPr>
    </w:p>
    <w:p w:rsidR="003F6D66" w:rsidRPr="00D77CAF" w:rsidRDefault="003F6D66" w:rsidP="003F6D66">
      <w:pPr>
        <w:rPr>
          <w:rFonts w:ascii="Garamond" w:hAnsi="Garamond" w:cs="Arial"/>
          <w:color w:val="191917"/>
        </w:rPr>
      </w:pPr>
      <w:r>
        <w:rPr>
          <w:rFonts w:ascii="Garamond" w:hAnsi="Garamond" w:cs="Arial"/>
          <w:color w:val="191917"/>
        </w:rPr>
        <w:t xml:space="preserve">Finally, most of the “new” data elements are currently being provided voluntarily by Trade. Indeed, the currently approved ICR include the burden for collecting many of the data elements (e.g., the pesticide label) because voluntary submission is so prevalent. Hence, we do not anticipate any concern raised by Trade due to the collection of the additional data elements in the pilot. </w:t>
      </w:r>
    </w:p>
    <w:p w:rsidR="003F6D66" w:rsidRDefault="003F6D66" w:rsidP="003F6D66">
      <w:pPr>
        <w:rPr>
          <w:rFonts w:ascii="Garamond" w:hAnsi="Garamond" w:cs="Arial"/>
          <w:b/>
          <w:color w:val="191917"/>
        </w:rPr>
      </w:pPr>
    </w:p>
    <w:p w:rsidR="003F6D66" w:rsidRPr="00CA1738" w:rsidRDefault="003F6D66" w:rsidP="003F6D66">
      <w:pPr>
        <w:rPr>
          <w:rFonts w:ascii="Garamond" w:hAnsi="Garamond" w:cs="Arial"/>
          <w:b/>
          <w:color w:val="191917"/>
        </w:rPr>
      </w:pPr>
      <w:r w:rsidRPr="00CA1738">
        <w:rPr>
          <w:rFonts w:ascii="Garamond" w:hAnsi="Garamond" w:cs="Arial"/>
          <w:b/>
          <w:color w:val="191917"/>
        </w:rPr>
        <w:lastRenderedPageBreak/>
        <w:t>Requested Time Period for OMB Action</w:t>
      </w:r>
    </w:p>
    <w:p w:rsidR="003F6D66" w:rsidRDefault="003F6D66" w:rsidP="003F6D66">
      <w:pPr>
        <w:rPr>
          <w:rFonts w:ascii="Garamond" w:hAnsi="Garamond" w:cs="Arial"/>
          <w:color w:val="191917"/>
        </w:rPr>
      </w:pPr>
    </w:p>
    <w:p w:rsidR="003F6D66" w:rsidRPr="00CA1738" w:rsidRDefault="003F6D66" w:rsidP="003F6D66">
      <w:pPr>
        <w:rPr>
          <w:rFonts w:ascii="Garamond" w:hAnsi="Garamond" w:cs="Arial"/>
          <w:color w:val="191917"/>
        </w:rPr>
      </w:pPr>
      <w:r>
        <w:rPr>
          <w:rFonts w:ascii="Garamond" w:hAnsi="Garamond" w:cs="Arial"/>
          <w:color w:val="191917"/>
        </w:rPr>
        <w:t xml:space="preserve">The </w:t>
      </w:r>
      <w:r w:rsidRPr="00CA1738">
        <w:rPr>
          <w:rFonts w:ascii="Garamond" w:hAnsi="Garamond" w:cs="Arial"/>
          <w:color w:val="191917"/>
        </w:rPr>
        <w:t xml:space="preserve">EPA requests that OMB take action within </w:t>
      </w:r>
      <w:r>
        <w:rPr>
          <w:rFonts w:ascii="Garamond" w:hAnsi="Garamond" w:cs="Arial"/>
          <w:color w:val="191917"/>
        </w:rPr>
        <w:t xml:space="preserve">5 business </w:t>
      </w:r>
      <w:r w:rsidRPr="00CA1738">
        <w:rPr>
          <w:rFonts w:ascii="Garamond" w:hAnsi="Garamond" w:cs="Arial"/>
          <w:color w:val="191917"/>
        </w:rPr>
        <w:t>days of receiving this request.</w:t>
      </w:r>
    </w:p>
    <w:p w:rsidR="003F6D66" w:rsidRPr="00CA1738" w:rsidRDefault="003F6D66" w:rsidP="003F6D66">
      <w:pPr>
        <w:rPr>
          <w:rFonts w:ascii="Garamond" w:hAnsi="Garamond" w:cs="Arial"/>
          <w:color w:val="191917"/>
        </w:rPr>
      </w:pPr>
    </w:p>
    <w:p w:rsidR="003F6D66" w:rsidRDefault="003F6D66" w:rsidP="003F6D66">
      <w:pPr>
        <w:rPr>
          <w:rFonts w:ascii="Garamond" w:hAnsi="Garamond" w:cs="Arial"/>
          <w:b/>
          <w:color w:val="191917"/>
        </w:rPr>
      </w:pPr>
      <w:r w:rsidRPr="00CA1738">
        <w:rPr>
          <w:rFonts w:ascii="Garamond" w:hAnsi="Garamond" w:cs="Arial"/>
          <w:b/>
          <w:color w:val="191917"/>
        </w:rPr>
        <w:t>Requested Approval Period</w:t>
      </w:r>
    </w:p>
    <w:p w:rsidR="003F6D66" w:rsidRDefault="003F6D66" w:rsidP="003F6D66">
      <w:pPr>
        <w:rPr>
          <w:rFonts w:ascii="Garamond" w:hAnsi="Garamond" w:cs="Arial"/>
          <w:color w:val="191917"/>
        </w:rPr>
      </w:pPr>
    </w:p>
    <w:p w:rsidR="003F6D66" w:rsidRPr="00CA1738" w:rsidRDefault="003F6D66" w:rsidP="003F6D66">
      <w:pPr>
        <w:rPr>
          <w:rFonts w:ascii="Garamond" w:hAnsi="Garamond" w:cs="Arial"/>
          <w:color w:val="191917"/>
        </w:rPr>
      </w:pPr>
      <w:r>
        <w:rPr>
          <w:rFonts w:ascii="Garamond" w:hAnsi="Garamond" w:cs="Arial"/>
          <w:color w:val="191917"/>
        </w:rPr>
        <w:t xml:space="preserve">The </w:t>
      </w:r>
      <w:r w:rsidRPr="00CA1738">
        <w:rPr>
          <w:rFonts w:ascii="Garamond" w:hAnsi="Garamond" w:cs="Arial"/>
          <w:color w:val="191917"/>
        </w:rPr>
        <w:t xml:space="preserve">EPA asks that OMB approve this collection </w:t>
      </w:r>
      <w:r>
        <w:rPr>
          <w:rFonts w:ascii="Garamond" w:hAnsi="Garamond" w:cs="Arial"/>
          <w:color w:val="191917"/>
        </w:rPr>
        <w:t xml:space="preserve">for the maximum of 180 days. </w:t>
      </w:r>
      <w:r w:rsidRPr="00CA1738">
        <w:rPr>
          <w:rFonts w:ascii="Garamond" w:hAnsi="Garamond" w:cs="Arial"/>
          <w:color w:val="191917"/>
        </w:rPr>
        <w:t xml:space="preserve">This will allow sufficient time for </w:t>
      </w:r>
      <w:r>
        <w:rPr>
          <w:rFonts w:ascii="Garamond" w:hAnsi="Garamond" w:cs="Arial"/>
          <w:color w:val="191917"/>
        </w:rPr>
        <w:t xml:space="preserve">revisions to the existing </w:t>
      </w:r>
      <w:r w:rsidRPr="00CA1738">
        <w:rPr>
          <w:rFonts w:ascii="Garamond" w:hAnsi="Garamond" w:cs="Arial"/>
          <w:color w:val="191917"/>
        </w:rPr>
        <w:t>ICR</w:t>
      </w:r>
      <w:r>
        <w:rPr>
          <w:rFonts w:ascii="Garamond" w:hAnsi="Garamond" w:cs="Arial"/>
          <w:color w:val="191917"/>
        </w:rPr>
        <w:t xml:space="preserve"> </w:t>
      </w:r>
      <w:r w:rsidRPr="00CA1738">
        <w:rPr>
          <w:rFonts w:ascii="Garamond" w:hAnsi="Garamond" w:cs="Arial"/>
          <w:color w:val="191917"/>
        </w:rPr>
        <w:t>to</w:t>
      </w:r>
      <w:r>
        <w:rPr>
          <w:rFonts w:ascii="Garamond" w:hAnsi="Garamond" w:cs="Arial"/>
          <w:color w:val="191917"/>
        </w:rPr>
        <w:t xml:space="preserve"> </w:t>
      </w:r>
      <w:r w:rsidRPr="00CA1738">
        <w:rPr>
          <w:rFonts w:ascii="Garamond" w:hAnsi="Garamond" w:cs="Arial"/>
          <w:color w:val="191917"/>
        </w:rPr>
        <w:t>be processed and approved under the regular process</w:t>
      </w:r>
      <w:r>
        <w:rPr>
          <w:rFonts w:ascii="Garamond" w:hAnsi="Garamond" w:cs="Arial"/>
          <w:color w:val="191917"/>
        </w:rPr>
        <w:t>, attendant to the related rulemakings</w:t>
      </w:r>
      <w:r w:rsidRPr="00CA1738">
        <w:rPr>
          <w:rFonts w:ascii="Garamond" w:hAnsi="Garamond" w:cs="Arial"/>
          <w:color w:val="191917"/>
        </w:rPr>
        <w:t>.</w:t>
      </w:r>
      <w:r>
        <w:rPr>
          <w:rFonts w:ascii="Garamond" w:hAnsi="Garamond" w:cs="Arial"/>
          <w:color w:val="191917"/>
        </w:rPr>
        <w:t xml:space="preserve"> If events cause a delay in finalizing those revisions, then an extension to this emergency collection may be required in order to ensure all importers participating in the pilot at that point can continue to file in ITDS via the pilot.</w:t>
      </w:r>
    </w:p>
    <w:p w:rsidR="003F6D66" w:rsidRPr="00CA1738" w:rsidRDefault="003F6D66" w:rsidP="003F6D66">
      <w:pPr>
        <w:rPr>
          <w:rFonts w:ascii="Garamond" w:hAnsi="Garamond" w:cs="Arial"/>
          <w:color w:val="191917"/>
        </w:rPr>
      </w:pPr>
    </w:p>
    <w:p w:rsidR="003F6D66" w:rsidRDefault="003F6D66">
      <w:pPr>
        <w:jc w:val="center"/>
        <w:rPr>
          <w:rFonts w:ascii="Times New Roman" w:hAnsi="Times New Roman"/>
        </w:rPr>
      </w:pPr>
    </w:p>
    <w:p w:rsidR="003F6D66" w:rsidRDefault="003F6D66">
      <w:pPr>
        <w:widowControl/>
        <w:autoSpaceDE/>
        <w:autoSpaceDN/>
        <w:adjustRightInd/>
        <w:rPr>
          <w:rFonts w:ascii="Times New Roman" w:hAnsi="Times New Roman"/>
        </w:rPr>
      </w:pPr>
      <w:r>
        <w:rPr>
          <w:rFonts w:ascii="Times New Roman" w:hAnsi="Times New Roman"/>
        </w:rPr>
        <w:br w:type="page"/>
      </w:r>
    </w:p>
    <w:p w:rsidR="003F6D66" w:rsidRDefault="003F6D66">
      <w:pPr>
        <w:jc w:val="center"/>
        <w:rPr>
          <w:rFonts w:ascii="Times New Roman" w:hAnsi="Times New Roman"/>
        </w:rPr>
      </w:pPr>
    </w:p>
    <w:p w:rsidR="00772F14" w:rsidRPr="00C0504A" w:rsidRDefault="00772F14">
      <w:pPr>
        <w:jc w:val="center"/>
        <w:rPr>
          <w:rFonts w:ascii="Times New Roman" w:hAnsi="Times New Roman"/>
        </w:rPr>
      </w:pPr>
      <w:r w:rsidRPr="00C0504A">
        <w:rPr>
          <w:rFonts w:ascii="Times New Roman" w:hAnsi="Times New Roman"/>
        </w:rPr>
        <w:t>SUPPORTING STATEMENT</w:t>
      </w:r>
    </w:p>
    <w:p w:rsidR="00772F14" w:rsidRPr="00C0504A" w:rsidRDefault="00772F14">
      <w:pPr>
        <w:jc w:val="center"/>
        <w:rPr>
          <w:rFonts w:ascii="Times New Roman" w:hAnsi="Times New Roman"/>
        </w:rPr>
      </w:pPr>
      <w:r w:rsidRPr="00C0504A">
        <w:rPr>
          <w:rFonts w:ascii="Times New Roman" w:hAnsi="Times New Roman"/>
        </w:rPr>
        <w:t>ENVIRONMENTAL PROTECTION AGENCY</w:t>
      </w:r>
    </w:p>
    <w:p w:rsidR="00772F14" w:rsidRPr="00E43926" w:rsidRDefault="00772F14">
      <w:pPr>
        <w:jc w:val="center"/>
        <w:rPr>
          <w:rFonts w:ascii="Times New Roman" w:hAnsi="Times New Roman"/>
          <w:b/>
        </w:rPr>
      </w:pPr>
      <w:r w:rsidRPr="00C0504A">
        <w:rPr>
          <w:rFonts w:ascii="Times New Roman" w:hAnsi="Times New Roman"/>
          <w:b/>
          <w:bCs/>
        </w:rPr>
        <w:t>NOTICE OF ARRIVAL OF PESTICIDES AND DEVICES</w:t>
      </w:r>
      <w:r w:rsidRPr="00C0504A">
        <w:rPr>
          <w:rFonts w:ascii="Times New Roman" w:hAnsi="Times New Roman"/>
        </w:rPr>
        <w:t xml:space="preserve"> </w:t>
      </w:r>
      <w:r w:rsidR="00F53E3C" w:rsidRPr="00F53E3C">
        <w:rPr>
          <w:rFonts w:ascii="Times New Roman" w:hAnsi="Times New Roman"/>
          <w:b/>
        </w:rPr>
        <w:t>(EPA Form 3540-1)</w:t>
      </w:r>
    </w:p>
    <w:p w:rsidR="00772F14" w:rsidRPr="00C0504A" w:rsidRDefault="00772F14">
      <w:pPr>
        <w:jc w:val="center"/>
        <w:rPr>
          <w:rFonts w:ascii="Times New Roman" w:hAnsi="Times New Roman"/>
        </w:rPr>
      </w:pPr>
      <w:r w:rsidRPr="00C0504A">
        <w:rPr>
          <w:rFonts w:ascii="Times New Roman" w:hAnsi="Times New Roman"/>
        </w:rPr>
        <w:t>19 CFR 12.110-117</w:t>
      </w:r>
    </w:p>
    <w:p w:rsidR="00772F14" w:rsidRPr="00C0504A" w:rsidRDefault="00772F14">
      <w:pPr>
        <w:rPr>
          <w:rFonts w:ascii="Times New Roman" w:hAnsi="Times New Roman"/>
          <w:b/>
          <w:bCs/>
        </w:rPr>
      </w:pPr>
    </w:p>
    <w:p w:rsidR="00772F14" w:rsidRPr="00C0504A" w:rsidRDefault="00772F14">
      <w:pPr>
        <w:rPr>
          <w:rFonts w:ascii="Times New Roman" w:hAnsi="Times New Roman"/>
        </w:rPr>
      </w:pPr>
      <w:r w:rsidRPr="00C0504A">
        <w:rPr>
          <w:rFonts w:ascii="Times New Roman" w:hAnsi="Times New Roman"/>
          <w:b/>
          <w:bCs/>
        </w:rPr>
        <w:t>1. Identification of the Information Collection</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b/>
          <w:bCs/>
        </w:rPr>
      </w:pPr>
      <w:r w:rsidRPr="00C0504A">
        <w:rPr>
          <w:rFonts w:ascii="Times New Roman" w:hAnsi="Times New Roman"/>
          <w:b/>
          <w:bCs/>
        </w:rPr>
        <w:t>1(a) Title of the Information Collection</w:t>
      </w:r>
    </w:p>
    <w:p w:rsidR="00772F14" w:rsidRPr="00C0504A" w:rsidRDefault="00772F14">
      <w:pPr>
        <w:rPr>
          <w:rFonts w:ascii="Times New Roman" w:hAnsi="Times New Roman"/>
          <w:b/>
          <w:bCs/>
        </w:rPr>
      </w:pPr>
    </w:p>
    <w:p w:rsidR="007F21CF" w:rsidRDefault="007F21CF">
      <w:pPr>
        <w:ind w:firstLine="720"/>
        <w:rPr>
          <w:rFonts w:ascii="Times New Roman" w:hAnsi="Times New Roman"/>
        </w:rPr>
      </w:pPr>
      <w:r>
        <w:rPr>
          <w:rFonts w:ascii="Times New Roman" w:hAnsi="Times New Roman"/>
        </w:rPr>
        <w:t xml:space="preserve">TITLE: </w:t>
      </w:r>
      <w:r w:rsidR="00772F14" w:rsidRPr="00C0504A">
        <w:rPr>
          <w:rFonts w:ascii="Times New Roman" w:hAnsi="Times New Roman"/>
        </w:rPr>
        <w:t xml:space="preserve">Notice of Arrival of Pesticides and Devices under section 17(c) of </w:t>
      </w:r>
      <w:r w:rsidR="006A7D30">
        <w:rPr>
          <w:rFonts w:ascii="Times New Roman" w:hAnsi="Times New Roman"/>
        </w:rPr>
        <w:t>FIFRA</w:t>
      </w:r>
      <w:r w:rsidR="00500EBB" w:rsidRPr="00C0504A">
        <w:rPr>
          <w:rFonts w:ascii="Times New Roman" w:hAnsi="Times New Roman"/>
        </w:rPr>
        <w:t xml:space="preserve">. </w:t>
      </w:r>
    </w:p>
    <w:p w:rsidR="007F21CF" w:rsidRPr="007F21CF" w:rsidRDefault="007F21CF" w:rsidP="007F21CF">
      <w:pPr>
        <w:ind w:firstLine="720"/>
        <w:rPr>
          <w:rFonts w:ascii="Times New Roman" w:hAnsi="Times New Roman"/>
        </w:rPr>
      </w:pPr>
    </w:p>
    <w:p w:rsidR="00772F14" w:rsidRPr="00C0504A" w:rsidRDefault="007F21CF">
      <w:pPr>
        <w:ind w:firstLine="720"/>
        <w:rPr>
          <w:rFonts w:ascii="Times New Roman" w:hAnsi="Times New Roman"/>
        </w:rPr>
      </w:pPr>
      <w:r>
        <w:rPr>
          <w:rFonts w:ascii="Times New Roman" w:hAnsi="Times New Roman"/>
        </w:rPr>
        <w:t>OMB No. 2070-0020</w:t>
      </w:r>
      <w:r>
        <w:rPr>
          <w:rFonts w:ascii="Times New Roman" w:hAnsi="Times New Roman"/>
        </w:rPr>
        <w:tab/>
      </w:r>
      <w:r>
        <w:rPr>
          <w:rFonts w:ascii="Times New Roman" w:hAnsi="Times New Roman"/>
        </w:rPr>
        <w:tab/>
      </w:r>
      <w:r w:rsidRPr="007F21CF">
        <w:rPr>
          <w:rFonts w:ascii="Times New Roman" w:hAnsi="Times New Roman"/>
        </w:rPr>
        <w:tab/>
      </w:r>
      <w:r w:rsidRPr="007F21CF">
        <w:rPr>
          <w:rFonts w:ascii="Times New Roman" w:hAnsi="Times New Roman"/>
        </w:rPr>
        <w:tab/>
        <w:t xml:space="preserve">EPA No. </w:t>
      </w:r>
      <w:r>
        <w:rPr>
          <w:rFonts w:ascii="Times New Roman" w:hAnsi="Times New Roman"/>
        </w:rPr>
        <w:t>0152</w:t>
      </w:r>
      <w:r w:rsidRPr="007F21CF">
        <w:rPr>
          <w:rFonts w:ascii="Times New Roman" w:hAnsi="Times New Roman"/>
        </w:rPr>
        <w:t>.1</w:t>
      </w:r>
      <w:r>
        <w:rPr>
          <w:rFonts w:ascii="Times New Roman" w:hAnsi="Times New Roman"/>
        </w:rPr>
        <w:t>0</w:t>
      </w:r>
    </w:p>
    <w:p w:rsidR="00772F14" w:rsidRPr="00C0504A" w:rsidRDefault="00772F14">
      <w:pPr>
        <w:rPr>
          <w:rFonts w:ascii="Times New Roman" w:hAnsi="Times New Roman"/>
        </w:rPr>
      </w:pPr>
      <w:r w:rsidRPr="00C0504A">
        <w:rPr>
          <w:rFonts w:ascii="Times New Roman" w:hAnsi="Times New Roman"/>
        </w:rPr>
        <w:t xml:space="preserve"> </w:t>
      </w:r>
    </w:p>
    <w:p w:rsidR="00772F14" w:rsidRPr="00C0504A" w:rsidRDefault="00A7599B">
      <w:pPr>
        <w:ind w:firstLine="720"/>
        <w:rPr>
          <w:rFonts w:ascii="Times New Roman" w:hAnsi="Times New Roman"/>
        </w:rPr>
      </w:pPr>
      <w:r>
        <w:rPr>
          <w:rFonts w:ascii="Times New Roman" w:hAnsi="Times New Roman"/>
          <w:b/>
          <w:bCs/>
        </w:rPr>
        <w:t>1(b) Short Characterization/Abstract</w:t>
      </w:r>
    </w:p>
    <w:p w:rsidR="00772F14" w:rsidRPr="00C0504A" w:rsidRDefault="00772F14">
      <w:pPr>
        <w:rPr>
          <w:rFonts w:ascii="Times New Roman" w:hAnsi="Times New Roman"/>
        </w:rPr>
      </w:pPr>
    </w:p>
    <w:p w:rsidR="0029190C" w:rsidRPr="00C0504A" w:rsidRDefault="00A7599B" w:rsidP="0029190C">
      <w:pPr>
        <w:ind w:firstLine="720"/>
        <w:rPr>
          <w:rFonts w:ascii="Times New Roman" w:hAnsi="Times New Roman"/>
        </w:rPr>
      </w:pPr>
      <w:r>
        <w:rPr>
          <w:rFonts w:ascii="Times New Roman" w:hAnsi="Times New Roman"/>
        </w:rPr>
        <w:t>The U.S. Customs and Border Protection (C</w:t>
      </w:r>
      <w:r w:rsidR="0055597A">
        <w:rPr>
          <w:rFonts w:ascii="Times New Roman" w:hAnsi="Times New Roman"/>
        </w:rPr>
        <w:t>ustoms</w:t>
      </w:r>
      <w:r>
        <w:rPr>
          <w:rFonts w:ascii="Times New Roman" w:hAnsi="Times New Roman"/>
        </w:rPr>
        <w:t xml:space="preserve">) regulations at 19 CFR 12.112 require that an importer desiring to import pesticides into the United States shall, prior to the shipment's arrival </w:t>
      </w:r>
      <w:r w:rsidR="006A7D30">
        <w:rPr>
          <w:rFonts w:ascii="Times New Roman" w:hAnsi="Times New Roman"/>
        </w:rPr>
        <w:t>in</w:t>
      </w:r>
      <w:r>
        <w:rPr>
          <w:rFonts w:ascii="Times New Roman" w:hAnsi="Times New Roman"/>
        </w:rPr>
        <w:t xml:space="preserve"> the United States, submit a Notice of Arrival (NOA) of Pesticides and Devices (EPA Form 3540-1 or Form 3540-1) to the U.S. Environmental Protection Agency (EPA or Agency). EPA will </w:t>
      </w:r>
      <w:r w:rsidR="00F277DC">
        <w:rPr>
          <w:rFonts w:ascii="Times New Roman" w:hAnsi="Times New Roman"/>
        </w:rPr>
        <w:t xml:space="preserve">review the form and </w:t>
      </w:r>
      <w:r>
        <w:rPr>
          <w:rFonts w:ascii="Times New Roman" w:hAnsi="Times New Roman"/>
        </w:rPr>
        <w:t>determine the disposition of the shipment.  Upon completing Form 3540-1, EPA returns the form to the importer</w:t>
      </w:r>
      <w:r w:rsidR="006A7D30">
        <w:rPr>
          <w:rFonts w:ascii="Times New Roman" w:hAnsi="Times New Roman"/>
        </w:rPr>
        <w:t xml:space="preserve"> of record</w:t>
      </w:r>
      <w:r w:rsidR="00F277DC">
        <w:rPr>
          <w:rFonts w:ascii="Times New Roman" w:hAnsi="Times New Roman"/>
        </w:rPr>
        <w:t xml:space="preserve"> (importer)</w:t>
      </w:r>
      <w:r>
        <w:rPr>
          <w:rFonts w:ascii="Times New Roman" w:hAnsi="Times New Roman"/>
        </w:rPr>
        <w:t xml:space="preserve"> or </w:t>
      </w:r>
      <w:r w:rsidR="006A7D30">
        <w:rPr>
          <w:rFonts w:ascii="Times New Roman" w:hAnsi="Times New Roman"/>
        </w:rPr>
        <w:t xml:space="preserve">licensed </w:t>
      </w:r>
      <w:r w:rsidR="00F277DC">
        <w:rPr>
          <w:rFonts w:ascii="Times New Roman" w:hAnsi="Times New Roman"/>
        </w:rPr>
        <w:t xml:space="preserve">customs </w:t>
      </w:r>
      <w:r w:rsidR="006A7D30">
        <w:rPr>
          <w:rFonts w:ascii="Times New Roman" w:hAnsi="Times New Roman"/>
        </w:rPr>
        <w:t>broker</w:t>
      </w:r>
      <w:r w:rsidR="00F277DC">
        <w:rPr>
          <w:rFonts w:ascii="Times New Roman" w:hAnsi="Times New Roman"/>
        </w:rPr>
        <w:t xml:space="preserve"> (broker)</w:t>
      </w:r>
      <w:r>
        <w:rPr>
          <w:rFonts w:ascii="Times New Roman" w:hAnsi="Times New Roman"/>
        </w:rPr>
        <w:t>, who must present the form to C</w:t>
      </w:r>
      <w:r w:rsidR="0055597A">
        <w:rPr>
          <w:rFonts w:ascii="Times New Roman" w:hAnsi="Times New Roman"/>
        </w:rPr>
        <w:t>ustoms</w:t>
      </w:r>
      <w:r>
        <w:rPr>
          <w:rFonts w:ascii="Times New Roman" w:hAnsi="Times New Roman"/>
        </w:rPr>
        <w:t xml:space="preserve"> upon arrival of the shipment at the port of entry. This is necessary to ensure</w:t>
      </w:r>
      <w:r w:rsidR="00192183">
        <w:rPr>
          <w:rFonts w:ascii="Times New Roman" w:hAnsi="Times New Roman"/>
        </w:rPr>
        <w:t xml:space="preserve"> that</w:t>
      </w:r>
      <w:r>
        <w:rPr>
          <w:rFonts w:ascii="Times New Roman" w:hAnsi="Times New Roman"/>
        </w:rPr>
        <w:t xml:space="preserve"> EPA is notified of the arrival of pesticides and devices as required under the Federal Insecticide, Fungicide, and Rodenticide Act (FIFRA) section 17(c), and </w:t>
      </w:r>
      <w:r w:rsidR="00192183">
        <w:rPr>
          <w:rFonts w:ascii="Times New Roman" w:hAnsi="Times New Roman"/>
        </w:rPr>
        <w:t xml:space="preserve">that EPA </w:t>
      </w:r>
      <w:r>
        <w:rPr>
          <w:rFonts w:ascii="Times New Roman" w:hAnsi="Times New Roman"/>
        </w:rPr>
        <w:t>has the ability to examine such shipments to determine compliance</w:t>
      </w:r>
      <w:r w:rsidR="00192183">
        <w:rPr>
          <w:rFonts w:ascii="Times New Roman" w:hAnsi="Times New Roman"/>
        </w:rPr>
        <w:t xml:space="preserve"> with FIFRA</w:t>
      </w:r>
      <w:r w:rsidR="00F277DC">
        <w:rPr>
          <w:rFonts w:ascii="Times New Roman" w:hAnsi="Times New Roman"/>
        </w:rPr>
        <w:t>.</w:t>
      </w:r>
      <w:r>
        <w:rPr>
          <w:rFonts w:ascii="Times New Roman" w:hAnsi="Times New Roman"/>
        </w:rPr>
        <w:t xml:space="preserve"> </w:t>
      </w:r>
    </w:p>
    <w:p w:rsidR="0029190C" w:rsidRPr="00C0504A" w:rsidRDefault="0029190C" w:rsidP="0029190C">
      <w:pPr>
        <w:ind w:firstLine="720"/>
        <w:rPr>
          <w:rFonts w:ascii="Times New Roman" w:hAnsi="Times New Roman"/>
        </w:rPr>
      </w:pPr>
    </w:p>
    <w:p w:rsidR="0029190C" w:rsidRPr="00C0504A" w:rsidRDefault="00A7599B" w:rsidP="0029190C">
      <w:pPr>
        <w:rPr>
          <w:rFonts w:ascii="Times New Roman" w:hAnsi="Times New Roman"/>
        </w:rPr>
      </w:pPr>
      <w:r>
        <w:rPr>
          <w:rFonts w:ascii="Times New Roman" w:hAnsi="Times New Roman"/>
        </w:rPr>
        <w:tab/>
      </w:r>
      <w:r w:rsidR="00C515D0">
        <w:rPr>
          <w:rFonts w:ascii="Times New Roman" w:hAnsi="Times New Roman"/>
        </w:rPr>
        <w:t xml:space="preserve">Form 3540-1 </w:t>
      </w:r>
      <w:r>
        <w:rPr>
          <w:rFonts w:ascii="Times New Roman" w:hAnsi="Times New Roman"/>
        </w:rPr>
        <w:t>requires</w:t>
      </w:r>
      <w:r w:rsidR="00247355">
        <w:rPr>
          <w:rFonts w:ascii="Times New Roman" w:hAnsi="Times New Roman"/>
        </w:rPr>
        <w:t xml:space="preserve"> the</w:t>
      </w:r>
      <w:r>
        <w:rPr>
          <w:rFonts w:ascii="Times New Roman" w:hAnsi="Times New Roman"/>
        </w:rPr>
        <w:t xml:space="preserve"> identification and address information of </w:t>
      </w:r>
      <w:r w:rsidR="006707A6">
        <w:rPr>
          <w:rFonts w:ascii="Times New Roman" w:hAnsi="Times New Roman"/>
        </w:rPr>
        <w:t xml:space="preserve">parties involved in the importation of the pesticide or device </w:t>
      </w:r>
      <w:r>
        <w:rPr>
          <w:rFonts w:ascii="Times New Roman" w:hAnsi="Times New Roman"/>
        </w:rPr>
        <w:t xml:space="preserve">and information on the identity of the imported pesticide or device shipment. </w:t>
      </w:r>
      <w:r w:rsidR="0029190C" w:rsidRPr="00C0504A">
        <w:rPr>
          <w:rFonts w:ascii="Times New Roman" w:hAnsi="Times New Roman"/>
        </w:rPr>
        <w:t xml:space="preserve">When </w:t>
      </w:r>
      <w:r w:rsidR="00C515D0">
        <w:rPr>
          <w:rFonts w:ascii="Times New Roman" w:hAnsi="Times New Roman"/>
        </w:rPr>
        <w:t xml:space="preserve">Form 3540-1 </w:t>
      </w:r>
      <w:r w:rsidR="0029190C" w:rsidRPr="00C0504A">
        <w:rPr>
          <w:rFonts w:ascii="Times New Roman" w:hAnsi="Times New Roman"/>
        </w:rPr>
        <w:t>is submitted to</w:t>
      </w:r>
      <w:r w:rsidR="00500EBB" w:rsidRPr="00C0504A">
        <w:rPr>
          <w:rFonts w:ascii="Times New Roman" w:hAnsi="Times New Roman"/>
        </w:rPr>
        <w:t xml:space="preserve"> the </w:t>
      </w:r>
      <w:r w:rsidR="0029190C" w:rsidRPr="00C0504A">
        <w:rPr>
          <w:rFonts w:ascii="Times New Roman" w:hAnsi="Times New Roman"/>
        </w:rPr>
        <w:t>EPA region</w:t>
      </w:r>
      <w:r w:rsidR="00247355">
        <w:rPr>
          <w:rFonts w:ascii="Times New Roman" w:hAnsi="Times New Roman"/>
        </w:rPr>
        <w:t>al office</w:t>
      </w:r>
      <w:r w:rsidR="00500EBB" w:rsidRPr="00C0504A">
        <w:rPr>
          <w:rFonts w:ascii="Times New Roman" w:hAnsi="Times New Roman"/>
        </w:rPr>
        <w:t xml:space="preserve"> having jurisdiction over the state or territory in which the port of entry is located, </w:t>
      </w:r>
      <w:r w:rsidR="00D73A5F" w:rsidRPr="00C0504A">
        <w:rPr>
          <w:rFonts w:ascii="Times New Roman" w:hAnsi="Times New Roman"/>
        </w:rPr>
        <w:t xml:space="preserve">EPA enforcement </w:t>
      </w:r>
      <w:r w:rsidR="00AE1491" w:rsidRPr="00C0504A">
        <w:rPr>
          <w:rFonts w:ascii="Times New Roman" w:hAnsi="Times New Roman"/>
        </w:rPr>
        <w:t>personnel review</w:t>
      </w:r>
      <w:r w:rsidR="00D73A5F" w:rsidRPr="00C0504A">
        <w:rPr>
          <w:rFonts w:ascii="Times New Roman" w:hAnsi="Times New Roman"/>
        </w:rPr>
        <w:t xml:space="preserve"> </w:t>
      </w:r>
      <w:r w:rsidR="00500EBB" w:rsidRPr="00C0504A">
        <w:rPr>
          <w:rFonts w:ascii="Times New Roman" w:hAnsi="Times New Roman"/>
        </w:rPr>
        <w:t xml:space="preserve">the form </w:t>
      </w:r>
      <w:r w:rsidR="0029190C" w:rsidRPr="00C0504A">
        <w:rPr>
          <w:rFonts w:ascii="Times New Roman" w:hAnsi="Times New Roman"/>
        </w:rPr>
        <w:t>to determine whether the shipment should be released for entry upon arrival</w:t>
      </w:r>
      <w:r w:rsidR="00E677CB" w:rsidRPr="00C0504A">
        <w:rPr>
          <w:rFonts w:ascii="Times New Roman" w:hAnsi="Times New Roman"/>
        </w:rPr>
        <w:t>,</w:t>
      </w:r>
      <w:r w:rsidR="0029190C" w:rsidRPr="00C0504A">
        <w:rPr>
          <w:rFonts w:ascii="Times New Roman" w:hAnsi="Times New Roman"/>
        </w:rPr>
        <w:t xml:space="preserve"> </w:t>
      </w:r>
      <w:r w:rsidR="00240CE1" w:rsidRPr="00C0504A">
        <w:rPr>
          <w:rFonts w:ascii="Times New Roman" w:hAnsi="Times New Roman"/>
        </w:rPr>
        <w:t xml:space="preserve">detained </w:t>
      </w:r>
      <w:r w:rsidR="0029190C" w:rsidRPr="00C0504A">
        <w:rPr>
          <w:rFonts w:ascii="Times New Roman" w:hAnsi="Times New Roman"/>
        </w:rPr>
        <w:t>for examination</w:t>
      </w:r>
      <w:r w:rsidR="00E677CB" w:rsidRPr="00C0504A">
        <w:rPr>
          <w:rFonts w:ascii="Times New Roman" w:hAnsi="Times New Roman"/>
        </w:rPr>
        <w:t>, or refused</w:t>
      </w:r>
      <w:r w:rsidR="0073121F" w:rsidRPr="00C0504A">
        <w:rPr>
          <w:rFonts w:ascii="Times New Roman" w:hAnsi="Times New Roman"/>
        </w:rPr>
        <w:t xml:space="preserve"> admission into the United States</w:t>
      </w:r>
      <w:r w:rsidR="00E677CB" w:rsidRPr="00C0504A">
        <w:rPr>
          <w:rFonts w:ascii="Times New Roman" w:hAnsi="Times New Roman"/>
        </w:rPr>
        <w:t>.</w:t>
      </w:r>
      <w:r w:rsidR="0029190C" w:rsidRPr="00C0504A">
        <w:rPr>
          <w:rFonts w:ascii="Times New Roman" w:hAnsi="Times New Roman"/>
        </w:rPr>
        <w:t xml:space="preserve">  The responsible EPA official returns the form to the </w:t>
      </w:r>
      <w:r w:rsidR="00F277DC">
        <w:rPr>
          <w:rFonts w:ascii="Times New Roman" w:hAnsi="Times New Roman"/>
        </w:rPr>
        <w:t>importer or broker</w:t>
      </w:r>
      <w:r w:rsidR="00F277DC" w:rsidRPr="00C0504A">
        <w:rPr>
          <w:rFonts w:ascii="Times New Roman" w:hAnsi="Times New Roman"/>
        </w:rPr>
        <w:t xml:space="preserve"> </w:t>
      </w:r>
      <w:r w:rsidR="0029190C" w:rsidRPr="00C0504A">
        <w:rPr>
          <w:rFonts w:ascii="Times New Roman" w:hAnsi="Times New Roman"/>
        </w:rPr>
        <w:t xml:space="preserve">with EPA instructions to </w:t>
      </w:r>
      <w:r w:rsidR="005A2010" w:rsidRPr="00C0504A">
        <w:rPr>
          <w:rFonts w:ascii="Times New Roman" w:hAnsi="Times New Roman"/>
        </w:rPr>
        <w:t>C</w:t>
      </w:r>
      <w:r w:rsidR="0055597A">
        <w:rPr>
          <w:rFonts w:ascii="Times New Roman" w:hAnsi="Times New Roman"/>
        </w:rPr>
        <w:t>ustom</w:t>
      </w:r>
      <w:r w:rsidR="00A546BB">
        <w:rPr>
          <w:rFonts w:ascii="Times New Roman" w:hAnsi="Times New Roman"/>
        </w:rPr>
        <w:t>s</w:t>
      </w:r>
      <w:r w:rsidR="005A2010" w:rsidRPr="00C0504A" w:rsidDel="005A2010">
        <w:rPr>
          <w:rFonts w:ascii="Times New Roman" w:hAnsi="Times New Roman"/>
        </w:rPr>
        <w:t xml:space="preserve"> </w:t>
      </w:r>
      <w:r w:rsidR="0029190C" w:rsidRPr="00C0504A">
        <w:rPr>
          <w:rFonts w:ascii="Times New Roman" w:hAnsi="Times New Roman"/>
        </w:rPr>
        <w:t>as to the disposition of the shipment.</w:t>
      </w:r>
    </w:p>
    <w:p w:rsidR="00E17791" w:rsidRPr="00C0504A" w:rsidRDefault="00E17791" w:rsidP="00E17791">
      <w:pPr>
        <w:ind w:firstLine="720"/>
        <w:rPr>
          <w:rFonts w:ascii="Times New Roman" w:hAnsi="Times New Roman"/>
        </w:rPr>
      </w:pPr>
    </w:p>
    <w:p w:rsidR="0029190C" w:rsidRPr="00C0504A" w:rsidRDefault="00BE7FD6" w:rsidP="0029190C">
      <w:pPr>
        <w:rPr>
          <w:rFonts w:ascii="Times New Roman" w:hAnsi="Times New Roman"/>
        </w:rPr>
      </w:pPr>
      <w:r w:rsidRPr="00BE7FD6">
        <w:rPr>
          <w:rFonts w:ascii="Times New Roman" w:hAnsi="Times New Roman"/>
        </w:rPr>
        <w:tab/>
        <w:t>Upon the arrival of the shipment, the importer</w:t>
      </w:r>
      <w:r w:rsidR="00F277DC">
        <w:rPr>
          <w:rFonts w:ascii="Times New Roman" w:hAnsi="Times New Roman"/>
        </w:rPr>
        <w:t xml:space="preserve"> or broker</w:t>
      </w:r>
      <w:r w:rsidRPr="00BE7FD6">
        <w:rPr>
          <w:rFonts w:ascii="Times New Roman" w:hAnsi="Times New Roman"/>
        </w:rPr>
        <w:t xml:space="preserve"> presents the completed NOA to the C</w:t>
      </w:r>
      <w:r w:rsidR="0055597A">
        <w:rPr>
          <w:rFonts w:ascii="Times New Roman" w:hAnsi="Times New Roman"/>
        </w:rPr>
        <w:t>ustoms</w:t>
      </w:r>
      <w:r w:rsidRPr="00BE7FD6">
        <w:rPr>
          <w:rFonts w:ascii="Times New Roman" w:hAnsi="Times New Roman"/>
        </w:rPr>
        <w:t xml:space="preserve"> District Director at the port of entry.  C</w:t>
      </w:r>
      <w:r w:rsidR="0055597A">
        <w:rPr>
          <w:rFonts w:ascii="Times New Roman" w:hAnsi="Times New Roman"/>
        </w:rPr>
        <w:t>ustoms</w:t>
      </w:r>
      <w:r w:rsidRPr="00BE7FD6">
        <w:rPr>
          <w:rFonts w:ascii="Times New Roman" w:hAnsi="Times New Roman"/>
        </w:rPr>
        <w:t xml:space="preserve"> compares entry documents for the shipment with the NOA and notifies the EPA regional office of any discrepancies, which EPA will resolve with the importer</w:t>
      </w:r>
      <w:r w:rsidR="00F277DC">
        <w:rPr>
          <w:rFonts w:ascii="Times New Roman" w:hAnsi="Times New Roman"/>
        </w:rPr>
        <w:t xml:space="preserve"> or broker</w:t>
      </w:r>
      <w:r w:rsidRPr="00BE7FD6">
        <w:rPr>
          <w:rFonts w:ascii="Times New Roman" w:hAnsi="Times New Roman"/>
        </w:rPr>
        <w:t>.  If there are no discrepancies, C</w:t>
      </w:r>
      <w:r w:rsidR="0055597A">
        <w:rPr>
          <w:rFonts w:ascii="Times New Roman" w:hAnsi="Times New Roman"/>
        </w:rPr>
        <w:t>ustoms</w:t>
      </w:r>
      <w:r w:rsidRPr="00BE7FD6">
        <w:rPr>
          <w:rFonts w:ascii="Times New Roman" w:hAnsi="Times New Roman"/>
        </w:rPr>
        <w:t xml:space="preserve"> follows instructions regarding release, detention, or refusal.  If there are discrepancies, the shipment may be detained until cleared for release</w:t>
      </w:r>
      <w:r w:rsidR="00247355">
        <w:rPr>
          <w:rFonts w:ascii="Times New Roman" w:hAnsi="Times New Roman"/>
        </w:rPr>
        <w:t>,</w:t>
      </w:r>
      <w:r w:rsidRPr="00BE7FD6">
        <w:rPr>
          <w:rFonts w:ascii="Times New Roman" w:hAnsi="Times New Roman"/>
        </w:rPr>
        <w:t xml:space="preserve"> or retained for examination.  If EPA inspects the shipment and it appears from examination of a sample that it is adulterated, </w:t>
      </w:r>
      <w:r w:rsidR="0029190C" w:rsidRPr="00C0504A">
        <w:rPr>
          <w:rFonts w:ascii="Times New Roman" w:hAnsi="Times New Roman"/>
        </w:rPr>
        <w:t>misbranded</w:t>
      </w:r>
      <w:r w:rsidR="00240CE1" w:rsidRPr="00C0504A">
        <w:rPr>
          <w:rFonts w:ascii="Times New Roman" w:hAnsi="Times New Roman"/>
        </w:rPr>
        <w:t>,</w:t>
      </w:r>
      <w:r w:rsidR="0029190C" w:rsidRPr="00C0504A">
        <w:rPr>
          <w:rFonts w:ascii="Times New Roman" w:hAnsi="Times New Roman"/>
        </w:rPr>
        <w:t xml:space="preserve"> or otherwise violates the provisions of FIFRA, or is otherwise injurious to health or the environment, the pesticide or device may be refused admission into the United States.</w:t>
      </w:r>
    </w:p>
    <w:p w:rsidR="0055597A" w:rsidRDefault="0055597A" w:rsidP="00C0504A"/>
    <w:p w:rsidR="00C755C0" w:rsidRPr="00C0504A" w:rsidRDefault="0055597A" w:rsidP="00C0504A">
      <w:pPr>
        <w:rPr>
          <w:rFonts w:ascii="Times New Roman" w:hAnsi="Times New Roman"/>
        </w:rPr>
      </w:pPr>
      <w:r>
        <w:rPr>
          <w:rFonts w:ascii="Times New Roman" w:hAnsi="Times New Roman"/>
        </w:rPr>
        <w:tab/>
      </w:r>
      <w:r w:rsidR="00C755C0" w:rsidRPr="00C0504A">
        <w:rPr>
          <w:rFonts w:ascii="Times New Roman" w:hAnsi="Times New Roman"/>
        </w:rPr>
        <w:t>During th</w:t>
      </w:r>
      <w:r w:rsidR="002A215F">
        <w:rPr>
          <w:rFonts w:ascii="Times New Roman" w:hAnsi="Times New Roman"/>
        </w:rPr>
        <w:t>is</w:t>
      </w:r>
      <w:r w:rsidR="00C755C0" w:rsidRPr="00C0504A">
        <w:rPr>
          <w:rFonts w:ascii="Times New Roman" w:hAnsi="Times New Roman"/>
        </w:rPr>
        <w:t xml:space="preserve"> renewal of this information collection, EPA </w:t>
      </w:r>
      <w:r w:rsidR="00C213CC">
        <w:rPr>
          <w:rFonts w:ascii="Times New Roman" w:hAnsi="Times New Roman"/>
        </w:rPr>
        <w:t>is revising</w:t>
      </w:r>
      <w:r w:rsidR="00C755C0" w:rsidRPr="00C0504A">
        <w:rPr>
          <w:rFonts w:ascii="Times New Roman" w:hAnsi="Times New Roman"/>
        </w:rPr>
        <w:t xml:space="preserve"> Form 3540-1. The </w:t>
      </w:r>
      <w:r w:rsidR="00C213CC">
        <w:rPr>
          <w:rFonts w:ascii="Times New Roman" w:hAnsi="Times New Roman"/>
        </w:rPr>
        <w:t>revisions</w:t>
      </w:r>
      <w:r w:rsidR="00C755C0" w:rsidRPr="00C0504A">
        <w:rPr>
          <w:rFonts w:ascii="Times New Roman" w:hAnsi="Times New Roman"/>
        </w:rPr>
        <w:t xml:space="preserve"> clarify the</w:t>
      </w:r>
      <w:r w:rsidR="002A215F">
        <w:rPr>
          <w:rFonts w:ascii="Times New Roman" w:hAnsi="Times New Roman"/>
        </w:rPr>
        <w:t xml:space="preserve"> i</w:t>
      </w:r>
      <w:r w:rsidR="00C755C0" w:rsidRPr="00C0504A">
        <w:rPr>
          <w:rFonts w:ascii="Times New Roman" w:hAnsi="Times New Roman"/>
        </w:rPr>
        <w:t>nstr</w:t>
      </w:r>
      <w:r w:rsidR="003822C6">
        <w:rPr>
          <w:rFonts w:ascii="Times New Roman" w:hAnsi="Times New Roman"/>
        </w:rPr>
        <w:t>uctions</w:t>
      </w:r>
      <w:r w:rsidR="00247355">
        <w:rPr>
          <w:rFonts w:ascii="Times New Roman" w:hAnsi="Times New Roman"/>
        </w:rPr>
        <w:t xml:space="preserve"> for completing</w:t>
      </w:r>
      <w:r w:rsidR="003822C6">
        <w:rPr>
          <w:rFonts w:ascii="Times New Roman" w:hAnsi="Times New Roman"/>
        </w:rPr>
        <w:t xml:space="preserve"> the form</w:t>
      </w:r>
      <w:r w:rsidR="00845B84">
        <w:rPr>
          <w:rFonts w:ascii="Times New Roman" w:hAnsi="Times New Roman"/>
        </w:rPr>
        <w:t>,</w:t>
      </w:r>
      <w:r w:rsidR="005C7CB6">
        <w:rPr>
          <w:rFonts w:ascii="Times New Roman" w:hAnsi="Times New Roman"/>
        </w:rPr>
        <w:t xml:space="preserve"> amend</w:t>
      </w:r>
      <w:r w:rsidR="00663DF7">
        <w:rPr>
          <w:rFonts w:ascii="Times New Roman" w:hAnsi="Times New Roman"/>
        </w:rPr>
        <w:t xml:space="preserve"> the</w:t>
      </w:r>
      <w:r w:rsidR="003822C6">
        <w:rPr>
          <w:rFonts w:ascii="Times New Roman" w:hAnsi="Times New Roman"/>
        </w:rPr>
        <w:t xml:space="preserve"> </w:t>
      </w:r>
      <w:r w:rsidR="006707A6">
        <w:rPr>
          <w:rFonts w:ascii="Times New Roman" w:hAnsi="Times New Roman"/>
        </w:rPr>
        <w:t xml:space="preserve">required </w:t>
      </w:r>
      <w:r w:rsidR="003822C6">
        <w:rPr>
          <w:rFonts w:ascii="Times New Roman" w:hAnsi="Times New Roman"/>
        </w:rPr>
        <w:t>data items</w:t>
      </w:r>
      <w:r w:rsidR="00845B84">
        <w:rPr>
          <w:rFonts w:ascii="Times New Roman" w:hAnsi="Times New Roman"/>
        </w:rPr>
        <w:t xml:space="preserve">, and update the terms used on the form to be consistent with those used by </w:t>
      </w:r>
      <w:r w:rsidR="007A1B24">
        <w:rPr>
          <w:rFonts w:ascii="Times New Roman" w:hAnsi="Times New Roman"/>
        </w:rPr>
        <w:t>Customs</w:t>
      </w:r>
      <w:r w:rsidR="003822C6">
        <w:rPr>
          <w:rFonts w:ascii="Times New Roman" w:hAnsi="Times New Roman"/>
        </w:rPr>
        <w:t>.</w:t>
      </w:r>
      <w:r w:rsidR="00C755C0" w:rsidRPr="00C0504A">
        <w:rPr>
          <w:rFonts w:ascii="Times New Roman" w:hAnsi="Times New Roman"/>
        </w:rPr>
        <w:t xml:space="preserve"> </w:t>
      </w:r>
      <w:r w:rsidR="00814236">
        <w:rPr>
          <w:rFonts w:ascii="Times New Roman" w:hAnsi="Times New Roman"/>
        </w:rPr>
        <w:t xml:space="preserve"> </w:t>
      </w:r>
      <w:r w:rsidR="00C755C0" w:rsidRPr="00C0504A">
        <w:rPr>
          <w:rFonts w:ascii="Times New Roman" w:hAnsi="Times New Roman"/>
        </w:rPr>
        <w:t>EPA is</w:t>
      </w:r>
      <w:r w:rsidR="00E43926">
        <w:rPr>
          <w:rFonts w:ascii="Times New Roman" w:hAnsi="Times New Roman"/>
        </w:rPr>
        <w:t xml:space="preserve"> also </w:t>
      </w:r>
      <w:r w:rsidR="00C755C0" w:rsidRPr="00C0504A">
        <w:rPr>
          <w:rFonts w:ascii="Times New Roman" w:hAnsi="Times New Roman"/>
        </w:rPr>
        <w:t xml:space="preserve">capturing the burden </w:t>
      </w:r>
      <w:r w:rsidR="00F207C2">
        <w:rPr>
          <w:rFonts w:ascii="Times New Roman" w:hAnsi="Times New Roman"/>
        </w:rPr>
        <w:t>of</w:t>
      </w:r>
      <w:r w:rsidR="00E43926">
        <w:rPr>
          <w:rFonts w:ascii="Times New Roman" w:hAnsi="Times New Roman"/>
        </w:rPr>
        <w:t xml:space="preserve"> providing</w:t>
      </w:r>
      <w:r w:rsidR="00CE255F">
        <w:rPr>
          <w:rFonts w:ascii="Times New Roman" w:hAnsi="Times New Roman"/>
        </w:rPr>
        <w:t xml:space="preserve"> the </w:t>
      </w:r>
      <w:r w:rsidR="007F54C6">
        <w:rPr>
          <w:rFonts w:ascii="Times New Roman" w:hAnsi="Times New Roman"/>
        </w:rPr>
        <w:t>label and other</w:t>
      </w:r>
      <w:r w:rsidR="00F207C2">
        <w:rPr>
          <w:rFonts w:ascii="Times New Roman" w:hAnsi="Times New Roman"/>
        </w:rPr>
        <w:t xml:space="preserve"> </w:t>
      </w:r>
      <w:r w:rsidR="006707A6">
        <w:rPr>
          <w:rFonts w:ascii="Times New Roman" w:hAnsi="Times New Roman"/>
        </w:rPr>
        <w:t xml:space="preserve">supporting documentation </w:t>
      </w:r>
      <w:r w:rsidR="00C755C0" w:rsidRPr="00C0504A">
        <w:rPr>
          <w:rFonts w:ascii="Times New Roman" w:hAnsi="Times New Roman"/>
        </w:rPr>
        <w:t>that is currently submitted by</w:t>
      </w:r>
      <w:r w:rsidR="006707A6">
        <w:rPr>
          <w:rFonts w:ascii="Times New Roman" w:hAnsi="Times New Roman"/>
        </w:rPr>
        <w:t xml:space="preserve"> most</w:t>
      </w:r>
      <w:r w:rsidR="00247355">
        <w:rPr>
          <w:rFonts w:ascii="Times New Roman" w:hAnsi="Times New Roman"/>
        </w:rPr>
        <w:t xml:space="preserve"> </w:t>
      </w:r>
      <w:r w:rsidR="00C755C0" w:rsidRPr="00C0504A">
        <w:rPr>
          <w:rFonts w:ascii="Times New Roman" w:hAnsi="Times New Roman"/>
        </w:rPr>
        <w:t>importers to</w:t>
      </w:r>
      <w:r w:rsidR="00C0504A">
        <w:rPr>
          <w:rFonts w:ascii="Times New Roman" w:hAnsi="Times New Roman"/>
        </w:rPr>
        <w:t xml:space="preserve"> the Agency </w:t>
      </w:r>
      <w:r w:rsidR="007F54C6">
        <w:rPr>
          <w:rFonts w:ascii="Times New Roman" w:hAnsi="Times New Roman"/>
        </w:rPr>
        <w:t xml:space="preserve">as part of existing practice or </w:t>
      </w:r>
      <w:r w:rsidR="00C0504A">
        <w:rPr>
          <w:rFonts w:ascii="Times New Roman" w:hAnsi="Times New Roman"/>
        </w:rPr>
        <w:t>on a voluntary basis</w:t>
      </w:r>
      <w:r w:rsidR="000475D9">
        <w:rPr>
          <w:rFonts w:ascii="Times New Roman" w:hAnsi="Times New Roman"/>
        </w:rPr>
        <w:t>.</w:t>
      </w:r>
      <w:r w:rsidR="00C0504A">
        <w:rPr>
          <w:rFonts w:ascii="Times New Roman" w:hAnsi="Times New Roman"/>
        </w:rPr>
        <w:t xml:space="preserve"> </w:t>
      </w:r>
      <w:r w:rsidR="00C755C0" w:rsidRPr="00C0504A">
        <w:rPr>
          <w:rFonts w:ascii="Times New Roman" w:hAnsi="Times New Roman"/>
        </w:rPr>
        <w:t xml:space="preserve">EPA has found that questions about a shipment can </w:t>
      </w:r>
      <w:r w:rsidR="00247355">
        <w:rPr>
          <w:rFonts w:ascii="Times New Roman" w:hAnsi="Times New Roman"/>
        </w:rPr>
        <w:t xml:space="preserve">often </w:t>
      </w:r>
      <w:r w:rsidR="00C755C0" w:rsidRPr="00C0504A">
        <w:rPr>
          <w:rFonts w:ascii="Times New Roman" w:hAnsi="Times New Roman"/>
        </w:rPr>
        <w:t>be resolved if</w:t>
      </w:r>
      <w:r w:rsidR="006707A6">
        <w:rPr>
          <w:rFonts w:ascii="Times New Roman" w:hAnsi="Times New Roman"/>
        </w:rPr>
        <w:t xml:space="preserve"> </w:t>
      </w:r>
      <w:r w:rsidR="007F54C6">
        <w:rPr>
          <w:rFonts w:ascii="Times New Roman" w:hAnsi="Times New Roman"/>
        </w:rPr>
        <w:t xml:space="preserve">the label or other </w:t>
      </w:r>
      <w:r w:rsidR="006707A6">
        <w:rPr>
          <w:rFonts w:ascii="Times New Roman" w:hAnsi="Times New Roman"/>
        </w:rPr>
        <w:t>supporting documenta</w:t>
      </w:r>
      <w:r w:rsidR="00C755C0" w:rsidRPr="00C0504A">
        <w:rPr>
          <w:rFonts w:ascii="Times New Roman" w:hAnsi="Times New Roman"/>
        </w:rPr>
        <w:t xml:space="preserve">tion </w:t>
      </w:r>
      <w:r w:rsidR="005C7CB6">
        <w:rPr>
          <w:rFonts w:ascii="Times New Roman" w:hAnsi="Times New Roman"/>
        </w:rPr>
        <w:t>accompanies</w:t>
      </w:r>
      <w:r w:rsidR="00F207C2">
        <w:rPr>
          <w:rFonts w:ascii="Times New Roman" w:hAnsi="Times New Roman"/>
        </w:rPr>
        <w:t xml:space="preserve"> the </w:t>
      </w:r>
      <w:r w:rsidR="00F277DC">
        <w:rPr>
          <w:rFonts w:ascii="Times New Roman" w:hAnsi="Times New Roman"/>
        </w:rPr>
        <w:t>Form 35</w:t>
      </w:r>
      <w:r w:rsidR="00DA1C5D">
        <w:rPr>
          <w:rFonts w:ascii="Times New Roman" w:hAnsi="Times New Roman"/>
        </w:rPr>
        <w:t>4</w:t>
      </w:r>
      <w:r w:rsidR="00F277DC">
        <w:rPr>
          <w:rFonts w:ascii="Times New Roman" w:hAnsi="Times New Roman"/>
        </w:rPr>
        <w:t>0-1</w:t>
      </w:r>
      <w:r w:rsidR="00F207C2">
        <w:rPr>
          <w:rFonts w:ascii="Times New Roman" w:hAnsi="Times New Roman"/>
        </w:rPr>
        <w:t xml:space="preserve"> </w:t>
      </w:r>
      <w:r w:rsidR="000475D9">
        <w:rPr>
          <w:rFonts w:ascii="Times New Roman" w:hAnsi="Times New Roman"/>
        </w:rPr>
        <w:t>prior to the</w:t>
      </w:r>
      <w:r w:rsidR="00663DF7">
        <w:rPr>
          <w:rFonts w:ascii="Times New Roman" w:hAnsi="Times New Roman"/>
        </w:rPr>
        <w:t xml:space="preserve"> arrival of the</w:t>
      </w:r>
      <w:r w:rsidR="000475D9">
        <w:rPr>
          <w:rFonts w:ascii="Times New Roman" w:hAnsi="Times New Roman"/>
        </w:rPr>
        <w:t xml:space="preserve"> shipment in the U</w:t>
      </w:r>
      <w:r w:rsidR="00663DF7">
        <w:rPr>
          <w:rFonts w:ascii="Times New Roman" w:hAnsi="Times New Roman"/>
        </w:rPr>
        <w:t xml:space="preserve">nited </w:t>
      </w:r>
      <w:r w:rsidR="000475D9">
        <w:rPr>
          <w:rFonts w:ascii="Times New Roman" w:hAnsi="Times New Roman"/>
        </w:rPr>
        <w:t>S</w:t>
      </w:r>
      <w:r w:rsidR="00663DF7">
        <w:rPr>
          <w:rFonts w:ascii="Times New Roman" w:hAnsi="Times New Roman"/>
        </w:rPr>
        <w:t>tates</w:t>
      </w:r>
      <w:r w:rsidR="007C26A8">
        <w:rPr>
          <w:rFonts w:ascii="Times New Roman" w:hAnsi="Times New Roman"/>
        </w:rPr>
        <w:t xml:space="preserve">. </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rPr>
        <w:t xml:space="preserve">Respondents subject to this information collection include all importers of pesticides and devices as defined by FIFRA.   </w:t>
      </w:r>
    </w:p>
    <w:p w:rsidR="00772F14" w:rsidRPr="00C0504A" w:rsidRDefault="00772F14">
      <w:pPr>
        <w:rPr>
          <w:rFonts w:ascii="Times New Roman" w:hAnsi="Times New Roman"/>
        </w:rPr>
      </w:pPr>
    </w:p>
    <w:p w:rsidR="00772F14" w:rsidRPr="00C0504A" w:rsidRDefault="00BE7FD6">
      <w:pPr>
        <w:rPr>
          <w:rFonts w:ascii="Times New Roman" w:hAnsi="Times New Roman"/>
          <w:b/>
          <w:bCs/>
        </w:rPr>
      </w:pPr>
      <w:r w:rsidRPr="00BE7FD6">
        <w:rPr>
          <w:rFonts w:ascii="Times New Roman" w:hAnsi="Times New Roman"/>
          <w:b/>
          <w:bCs/>
        </w:rPr>
        <w:t>2. Need for and Use of the Collection</w:t>
      </w:r>
    </w:p>
    <w:p w:rsidR="002F14E8" w:rsidRPr="00C0504A" w:rsidRDefault="002F14E8">
      <w:pPr>
        <w:ind w:firstLine="720"/>
        <w:rPr>
          <w:rFonts w:ascii="Times New Roman" w:hAnsi="Times New Roman"/>
          <w:b/>
          <w:bCs/>
        </w:rPr>
      </w:pPr>
    </w:p>
    <w:p w:rsidR="00772F14" w:rsidRPr="00C0504A" w:rsidRDefault="00BE7FD6">
      <w:pPr>
        <w:ind w:firstLine="720"/>
        <w:rPr>
          <w:rFonts w:ascii="Times New Roman" w:hAnsi="Times New Roman"/>
        </w:rPr>
      </w:pPr>
      <w:r w:rsidRPr="00BE7FD6">
        <w:rPr>
          <w:rFonts w:ascii="Times New Roman" w:hAnsi="Times New Roman"/>
          <w:b/>
          <w:bCs/>
        </w:rPr>
        <w:t xml:space="preserve">2(a) Need/Authority for the Collection  </w:t>
      </w:r>
    </w:p>
    <w:p w:rsidR="00F86BA1" w:rsidRDefault="00F86BA1">
      <w:pPr>
        <w:ind w:firstLine="720"/>
        <w:rPr>
          <w:rFonts w:ascii="Times New Roman" w:hAnsi="Times New Roman"/>
        </w:rPr>
      </w:pPr>
    </w:p>
    <w:p w:rsidR="00772F14" w:rsidRPr="00305E20" w:rsidRDefault="00BE7FD6">
      <w:pPr>
        <w:ind w:firstLine="720"/>
        <w:rPr>
          <w:rFonts w:ascii="Times New Roman" w:hAnsi="Times New Roman"/>
          <w:bCs/>
        </w:rPr>
      </w:pPr>
      <w:r w:rsidRPr="00BE7FD6">
        <w:rPr>
          <w:rFonts w:ascii="Times New Roman" w:hAnsi="Times New Roman"/>
        </w:rPr>
        <w:t>This information collection activity allows C</w:t>
      </w:r>
      <w:r w:rsidR="0055597A">
        <w:rPr>
          <w:rFonts w:ascii="Times New Roman" w:hAnsi="Times New Roman"/>
        </w:rPr>
        <w:t xml:space="preserve">ustoms </w:t>
      </w:r>
      <w:r w:rsidRPr="00BE7FD6">
        <w:rPr>
          <w:rFonts w:ascii="Times New Roman" w:hAnsi="Times New Roman"/>
        </w:rPr>
        <w:t xml:space="preserve">to fulfill its statutory obligation under FIFRA section 17(c) to notify the EPA of the </w:t>
      </w:r>
      <w:r w:rsidR="00772F14" w:rsidRPr="00C0504A">
        <w:rPr>
          <w:rFonts w:ascii="Times New Roman" w:hAnsi="Times New Roman"/>
        </w:rPr>
        <w:t xml:space="preserve">arrival of pesticides in the United States. </w:t>
      </w:r>
      <w:r w:rsidR="00305E20">
        <w:rPr>
          <w:rFonts w:ascii="Times New Roman" w:hAnsi="Times New Roman"/>
        </w:rPr>
        <w:t xml:space="preserve">An NOA must be submitted for all imported devices and </w:t>
      </w:r>
      <w:r w:rsidR="00413215" w:rsidRPr="00413215">
        <w:rPr>
          <w:rFonts w:ascii="Times New Roman" w:hAnsi="Times New Roman"/>
          <w:bCs/>
        </w:rPr>
        <w:t xml:space="preserve">pesticides, including but not limited to </w:t>
      </w:r>
      <w:r w:rsidR="00413215">
        <w:rPr>
          <w:rFonts w:ascii="Times New Roman" w:hAnsi="Times New Roman"/>
          <w:bCs/>
        </w:rPr>
        <w:t xml:space="preserve">those </w:t>
      </w:r>
      <w:r w:rsidR="00413215" w:rsidRPr="00413215">
        <w:rPr>
          <w:rFonts w:ascii="Times New Roman" w:hAnsi="Times New Roman"/>
          <w:bCs/>
        </w:rPr>
        <w:t xml:space="preserve">pesticides that are registered under section 3 of the </w:t>
      </w:r>
      <w:r w:rsidR="00413215">
        <w:rPr>
          <w:rFonts w:ascii="Times New Roman" w:hAnsi="Times New Roman"/>
          <w:bCs/>
        </w:rPr>
        <w:t>FIFRA</w:t>
      </w:r>
      <w:r w:rsidR="00413215" w:rsidRPr="00413215">
        <w:rPr>
          <w:rFonts w:ascii="Times New Roman" w:hAnsi="Times New Roman"/>
          <w:bCs/>
        </w:rPr>
        <w:t xml:space="preserve"> and</w:t>
      </w:r>
      <w:r w:rsidR="00413215">
        <w:rPr>
          <w:rFonts w:ascii="Times New Roman" w:hAnsi="Times New Roman"/>
          <w:bCs/>
        </w:rPr>
        <w:t xml:space="preserve"> to those that</w:t>
      </w:r>
      <w:r w:rsidR="00413215" w:rsidRPr="00413215">
        <w:rPr>
          <w:rFonts w:ascii="Times New Roman" w:hAnsi="Times New Roman"/>
          <w:bCs/>
        </w:rPr>
        <w:t xml:space="preserve"> may be transferred, sold, or distributed without registration pursuant to 40 CFR 152.30</w:t>
      </w:r>
      <w:r w:rsidR="00305E20">
        <w:rPr>
          <w:rFonts w:ascii="Times New Roman" w:hAnsi="Times New Roman"/>
          <w:bCs/>
        </w:rPr>
        <w:t xml:space="preserve">, </w:t>
      </w:r>
      <w:r w:rsidR="00305E20" w:rsidRPr="00305E20">
        <w:rPr>
          <w:rFonts w:ascii="Times New Roman" w:hAnsi="Times New Roman"/>
          <w:bCs/>
        </w:rPr>
        <w:t>such as pesticides for which an Experimental Use Permit has been gran</w:t>
      </w:r>
      <w:r w:rsidR="00305E20">
        <w:rPr>
          <w:rFonts w:ascii="Times New Roman" w:hAnsi="Times New Roman"/>
          <w:bCs/>
        </w:rPr>
        <w:t xml:space="preserve">ted under section 5 of the FIFRA, </w:t>
      </w:r>
      <w:r w:rsidR="00305E20" w:rsidRPr="00305E20">
        <w:rPr>
          <w:rFonts w:ascii="Times New Roman" w:hAnsi="Times New Roman"/>
          <w:bCs/>
        </w:rPr>
        <w:t>and pesticides for which an Exemption has been granted under section</w:t>
      </w:r>
      <w:r w:rsidR="00305E20">
        <w:rPr>
          <w:rFonts w:ascii="Times New Roman" w:hAnsi="Times New Roman"/>
          <w:bCs/>
        </w:rPr>
        <w:t>s</w:t>
      </w:r>
      <w:r w:rsidR="00305E20" w:rsidRPr="00305E20">
        <w:rPr>
          <w:rFonts w:ascii="Times New Roman" w:hAnsi="Times New Roman"/>
          <w:bCs/>
        </w:rPr>
        <w:t xml:space="preserve"> 18 </w:t>
      </w:r>
      <w:r w:rsidR="00305E20">
        <w:rPr>
          <w:rFonts w:ascii="Times New Roman" w:hAnsi="Times New Roman"/>
          <w:bCs/>
        </w:rPr>
        <w:t>or</w:t>
      </w:r>
      <w:r w:rsidR="00305E20" w:rsidRPr="00305E20">
        <w:rPr>
          <w:rFonts w:ascii="Times New Roman" w:hAnsi="Times New Roman"/>
          <w:bCs/>
        </w:rPr>
        <w:t xml:space="preserve"> 25(b) of </w:t>
      </w:r>
      <w:r w:rsidR="00305E20">
        <w:rPr>
          <w:rFonts w:ascii="Times New Roman" w:hAnsi="Times New Roman"/>
          <w:bCs/>
        </w:rPr>
        <w:t>FIFRA</w:t>
      </w:r>
      <w:r w:rsidR="00305E20" w:rsidRPr="00305E20">
        <w:rPr>
          <w:rFonts w:ascii="Times New Roman" w:hAnsi="Times New Roman"/>
          <w:bCs/>
        </w:rPr>
        <w:t>.</w:t>
      </w:r>
      <w:r w:rsidR="00305E20">
        <w:rPr>
          <w:rFonts w:ascii="Times New Roman" w:hAnsi="Times New Roman"/>
          <w:bCs/>
        </w:rPr>
        <w:t xml:space="preserve"> </w:t>
      </w:r>
      <w:r w:rsidR="00FE652B" w:rsidRPr="00C0504A">
        <w:rPr>
          <w:rFonts w:ascii="Times New Roman" w:hAnsi="Times New Roman"/>
        </w:rPr>
        <w:t>This notification</w:t>
      </w:r>
      <w:r w:rsidR="00772F14" w:rsidRPr="00C0504A">
        <w:rPr>
          <w:rFonts w:ascii="Times New Roman" w:hAnsi="Times New Roman"/>
        </w:rPr>
        <w:t xml:space="preserve"> allows EPA to determine </w:t>
      </w:r>
      <w:r w:rsidR="00881F42" w:rsidRPr="00C0504A">
        <w:rPr>
          <w:rFonts w:ascii="Times New Roman" w:hAnsi="Times New Roman"/>
        </w:rPr>
        <w:t>whether</w:t>
      </w:r>
      <w:r w:rsidR="00772F14" w:rsidRPr="00C0504A">
        <w:rPr>
          <w:rFonts w:ascii="Times New Roman" w:hAnsi="Times New Roman"/>
        </w:rPr>
        <w:t xml:space="preserve"> import</w:t>
      </w:r>
      <w:r w:rsidR="00F277DC">
        <w:rPr>
          <w:rFonts w:ascii="Times New Roman" w:hAnsi="Times New Roman"/>
        </w:rPr>
        <w:t>ed</w:t>
      </w:r>
      <w:r w:rsidR="00305E20">
        <w:rPr>
          <w:rFonts w:ascii="Times New Roman" w:hAnsi="Times New Roman"/>
        </w:rPr>
        <w:t xml:space="preserve"> devices and</w:t>
      </w:r>
      <w:r w:rsidR="00717FA2">
        <w:rPr>
          <w:rFonts w:ascii="Times New Roman" w:hAnsi="Times New Roman"/>
        </w:rPr>
        <w:t xml:space="preserve"> registered and unregistered pesticides </w:t>
      </w:r>
      <w:r w:rsidR="00772F14" w:rsidRPr="00C0504A">
        <w:rPr>
          <w:rFonts w:ascii="Times New Roman" w:hAnsi="Times New Roman"/>
        </w:rPr>
        <w:t xml:space="preserve">comply with </w:t>
      </w:r>
      <w:r w:rsidR="002F14E8" w:rsidRPr="00C0504A">
        <w:rPr>
          <w:rFonts w:ascii="Times New Roman" w:hAnsi="Times New Roman"/>
        </w:rPr>
        <w:t>FIFRA</w:t>
      </w:r>
      <w:r w:rsidR="00772F14" w:rsidRPr="00C0504A">
        <w:rPr>
          <w:rFonts w:ascii="Times New Roman" w:hAnsi="Times New Roman"/>
        </w:rPr>
        <w:t xml:space="preserve">.  The information permits EPA to </w:t>
      </w:r>
      <w:r w:rsidR="00663DF7">
        <w:rPr>
          <w:rFonts w:ascii="Times New Roman" w:hAnsi="Times New Roman"/>
        </w:rPr>
        <w:t xml:space="preserve">stop </w:t>
      </w:r>
      <w:r w:rsidR="00AE48F7">
        <w:rPr>
          <w:rFonts w:ascii="Times New Roman" w:hAnsi="Times New Roman"/>
        </w:rPr>
        <w:t xml:space="preserve">suspended, cancelled, </w:t>
      </w:r>
      <w:r w:rsidR="00772F14" w:rsidRPr="00C0504A">
        <w:rPr>
          <w:rFonts w:ascii="Times New Roman" w:hAnsi="Times New Roman"/>
        </w:rPr>
        <w:t>misbranded, contaminated, or otherwise violative products from being imported into the country, track those that do enter, and minimize any adverse</w:t>
      </w:r>
      <w:r w:rsidR="00E677CB" w:rsidRPr="00C0504A">
        <w:rPr>
          <w:rFonts w:ascii="Times New Roman" w:hAnsi="Times New Roman"/>
        </w:rPr>
        <w:t xml:space="preserve"> human health or </w:t>
      </w:r>
      <w:r w:rsidR="00772F14" w:rsidRPr="00C0504A">
        <w:rPr>
          <w:rFonts w:ascii="Times New Roman" w:hAnsi="Times New Roman"/>
        </w:rPr>
        <w:t>environmental impact that might arise from the importation of violative products.  If EPA did not collect this i</w:t>
      </w:r>
      <w:r w:rsidR="00240CE1" w:rsidRPr="00C0504A">
        <w:rPr>
          <w:rFonts w:ascii="Times New Roman" w:hAnsi="Times New Roman"/>
        </w:rPr>
        <w:t xml:space="preserve">nformation, </w:t>
      </w:r>
      <w:r w:rsidR="005A2010" w:rsidRPr="00C0504A">
        <w:rPr>
          <w:rFonts w:ascii="Times New Roman" w:hAnsi="Times New Roman"/>
        </w:rPr>
        <w:t>C</w:t>
      </w:r>
      <w:r w:rsidR="0055597A">
        <w:rPr>
          <w:rFonts w:ascii="Times New Roman" w:hAnsi="Times New Roman"/>
        </w:rPr>
        <w:t>ustoms</w:t>
      </w:r>
      <w:r w:rsidR="005A2010" w:rsidRPr="00C0504A" w:rsidDel="005A2010">
        <w:rPr>
          <w:rFonts w:ascii="Times New Roman" w:hAnsi="Times New Roman"/>
        </w:rPr>
        <w:t xml:space="preserve"> </w:t>
      </w:r>
      <w:r w:rsidR="00240CE1" w:rsidRPr="00C0504A">
        <w:rPr>
          <w:rFonts w:ascii="Times New Roman" w:hAnsi="Times New Roman"/>
        </w:rPr>
        <w:t>and EPA</w:t>
      </w:r>
      <w:r w:rsidR="00772F14" w:rsidRPr="00C0504A">
        <w:rPr>
          <w:rFonts w:ascii="Times New Roman" w:hAnsi="Times New Roman"/>
        </w:rPr>
        <w:t xml:space="preserve"> would be unable to meet their statutory requirements under FIFRA.</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2(b) Practical Utility/Users of the Data</w:t>
      </w:r>
      <w:r w:rsidRPr="00BE7FD6">
        <w:rPr>
          <w:rFonts w:ascii="Times New Roman" w:hAnsi="Times New Roman"/>
        </w:rPr>
        <w:tab/>
      </w:r>
    </w:p>
    <w:p w:rsidR="00413215" w:rsidRPr="00C0504A" w:rsidRDefault="00413215" w:rsidP="00413215">
      <w:pPr>
        <w:rPr>
          <w:rFonts w:ascii="Times New Roman" w:hAnsi="Times New Roman"/>
        </w:rPr>
      </w:pPr>
    </w:p>
    <w:p w:rsidR="00E71B3C" w:rsidRDefault="00413215">
      <w:pPr>
        <w:rPr>
          <w:rFonts w:ascii="Times New Roman" w:hAnsi="Times New Roman"/>
        </w:rPr>
      </w:pPr>
      <w:r>
        <w:rPr>
          <w:rFonts w:ascii="Times New Roman" w:hAnsi="Times New Roman"/>
        </w:rPr>
        <w:tab/>
      </w:r>
      <w:r w:rsidR="00BE7FD6" w:rsidRPr="00BE7FD6">
        <w:rPr>
          <w:rFonts w:ascii="Times New Roman" w:hAnsi="Times New Roman"/>
        </w:rPr>
        <w:t xml:space="preserve">The information is used by EPA regional pesticide </w:t>
      </w:r>
      <w:r w:rsidR="00983711">
        <w:rPr>
          <w:rFonts w:ascii="Times New Roman" w:hAnsi="Times New Roman"/>
        </w:rPr>
        <w:t xml:space="preserve">compliance and </w:t>
      </w:r>
      <w:r w:rsidR="00BE7FD6" w:rsidRPr="00BE7FD6">
        <w:rPr>
          <w:rFonts w:ascii="Times New Roman" w:hAnsi="Times New Roman"/>
        </w:rPr>
        <w:t>enforcement staff, the Office of Enforcement and Compliance Assurance (OECA), and the Office of Pesticides Programs (OPP) to monitor and assure compliance with FIFRA.  C</w:t>
      </w:r>
      <w:r w:rsidR="0055597A">
        <w:rPr>
          <w:rFonts w:ascii="Times New Roman" w:hAnsi="Times New Roman"/>
        </w:rPr>
        <w:t>ustoms</w:t>
      </w:r>
      <w:r w:rsidR="00BE7FD6" w:rsidRPr="00BE7FD6">
        <w:rPr>
          <w:rFonts w:ascii="Times New Roman" w:hAnsi="Times New Roman"/>
        </w:rPr>
        <w:t xml:space="preserve"> uses this information to ensure pesticide and device products admitted to the U.S. have been reviewed by EPA for compliance.  The absence of an accompanying NOA is, under C</w:t>
      </w:r>
      <w:r w:rsidR="0055597A">
        <w:rPr>
          <w:rFonts w:ascii="Times New Roman" w:hAnsi="Times New Roman"/>
        </w:rPr>
        <w:t>ustoms</w:t>
      </w:r>
      <w:r w:rsidR="00BE7FD6" w:rsidRPr="00BE7FD6">
        <w:rPr>
          <w:rFonts w:ascii="Times New Roman" w:hAnsi="Times New Roman"/>
        </w:rPr>
        <w:t xml:space="preserve"> regulations, grounds for refusal of entry into the United States.</w:t>
      </w:r>
    </w:p>
    <w:p w:rsidR="00772F14" w:rsidRPr="00C0504A" w:rsidRDefault="00772F14">
      <w:pPr>
        <w:rPr>
          <w:rFonts w:ascii="Times New Roman" w:hAnsi="Times New Roman"/>
        </w:rPr>
      </w:pPr>
    </w:p>
    <w:p w:rsidR="00772F14" w:rsidRPr="00C0504A" w:rsidRDefault="00BE7FD6" w:rsidP="003F7440">
      <w:pPr>
        <w:rPr>
          <w:rFonts w:ascii="Times New Roman" w:hAnsi="Times New Roman"/>
        </w:rPr>
      </w:pPr>
      <w:r w:rsidRPr="00BE7FD6">
        <w:rPr>
          <w:rFonts w:ascii="Times New Roman" w:hAnsi="Times New Roman"/>
          <w:b/>
          <w:bCs/>
        </w:rPr>
        <w:t>3. Non-Duplication, Consultations, and other Criteria.</w:t>
      </w:r>
    </w:p>
    <w:p w:rsidR="00772F14" w:rsidRPr="00C0504A" w:rsidRDefault="00772F14" w:rsidP="003F7440">
      <w:pPr>
        <w:rPr>
          <w:rFonts w:ascii="Times New Roman" w:hAnsi="Times New Roman"/>
        </w:rPr>
      </w:pPr>
    </w:p>
    <w:p w:rsidR="00772F14" w:rsidRPr="00C0504A" w:rsidRDefault="00BE7FD6" w:rsidP="003F7440">
      <w:pPr>
        <w:ind w:firstLine="720"/>
        <w:rPr>
          <w:rFonts w:ascii="Times New Roman" w:hAnsi="Times New Roman"/>
        </w:rPr>
      </w:pPr>
      <w:r w:rsidRPr="00BE7FD6">
        <w:rPr>
          <w:rFonts w:ascii="Times New Roman" w:hAnsi="Times New Roman"/>
          <w:b/>
          <w:bCs/>
        </w:rPr>
        <w:t>3(a) Non Duplication</w:t>
      </w:r>
    </w:p>
    <w:p w:rsidR="00772F14" w:rsidRPr="00C0504A" w:rsidRDefault="00772F14" w:rsidP="003F7440">
      <w:pPr>
        <w:rPr>
          <w:rFonts w:ascii="Times New Roman" w:hAnsi="Times New Roman"/>
        </w:rPr>
      </w:pPr>
    </w:p>
    <w:p w:rsidR="00FE652B" w:rsidRPr="00C0504A" w:rsidRDefault="00BE7FD6" w:rsidP="003F7440">
      <w:pPr>
        <w:rPr>
          <w:rFonts w:ascii="Times New Roman" w:hAnsi="Times New Roman"/>
        </w:rPr>
      </w:pPr>
      <w:r w:rsidRPr="00BE7FD6">
        <w:rPr>
          <w:rFonts w:ascii="Times New Roman" w:hAnsi="Times New Roman"/>
        </w:rPr>
        <w:tab/>
        <w:t>Some of the information collected on EPA's Notice of Arrival is identical</w:t>
      </w:r>
      <w:r w:rsidR="00663DF7">
        <w:rPr>
          <w:rFonts w:ascii="Times New Roman" w:hAnsi="Times New Roman"/>
        </w:rPr>
        <w:t xml:space="preserve"> or similar</w:t>
      </w:r>
      <w:r w:rsidRPr="00BE7FD6">
        <w:rPr>
          <w:rFonts w:ascii="Times New Roman" w:hAnsi="Times New Roman"/>
        </w:rPr>
        <w:t xml:space="preserve"> to information collected on </w:t>
      </w:r>
      <w:r w:rsidR="0055597A">
        <w:rPr>
          <w:rFonts w:ascii="Times New Roman" w:hAnsi="Times New Roman"/>
        </w:rPr>
        <w:t>Customs</w:t>
      </w:r>
      <w:r w:rsidRPr="00BE7FD6">
        <w:rPr>
          <w:rFonts w:ascii="Times New Roman" w:hAnsi="Times New Roman"/>
        </w:rPr>
        <w:t>' entry notice</w:t>
      </w:r>
      <w:r w:rsidR="00AE48F7">
        <w:rPr>
          <w:rFonts w:ascii="Times New Roman" w:hAnsi="Times New Roman"/>
        </w:rPr>
        <w:t xml:space="preserve"> form (Form 34</w:t>
      </w:r>
      <w:r w:rsidR="006E5BA5">
        <w:rPr>
          <w:rFonts w:ascii="Times New Roman" w:hAnsi="Times New Roman"/>
        </w:rPr>
        <w:t>61, OMB Control Number 1651-0024</w:t>
      </w:r>
      <w:r w:rsidR="00AE48F7">
        <w:rPr>
          <w:rFonts w:ascii="Times New Roman" w:hAnsi="Times New Roman"/>
        </w:rPr>
        <w:t>)</w:t>
      </w:r>
      <w:r w:rsidRPr="00BE7FD6">
        <w:rPr>
          <w:rFonts w:ascii="Times New Roman" w:hAnsi="Times New Roman"/>
        </w:rPr>
        <w:t xml:space="preserve"> or entry summary </w:t>
      </w:r>
      <w:r w:rsidR="00663DF7">
        <w:rPr>
          <w:rFonts w:ascii="Times New Roman" w:hAnsi="Times New Roman"/>
        </w:rPr>
        <w:t>fo</w:t>
      </w:r>
      <w:r w:rsidR="00AE48F7">
        <w:rPr>
          <w:rFonts w:ascii="Times New Roman" w:hAnsi="Times New Roman"/>
        </w:rPr>
        <w:t>r</w:t>
      </w:r>
      <w:r w:rsidR="00663DF7">
        <w:rPr>
          <w:rFonts w:ascii="Times New Roman" w:hAnsi="Times New Roman"/>
        </w:rPr>
        <w:t xml:space="preserve">m </w:t>
      </w:r>
      <w:r w:rsidRPr="00BE7FD6">
        <w:rPr>
          <w:rFonts w:ascii="Times New Roman" w:hAnsi="Times New Roman"/>
        </w:rPr>
        <w:t>(</w:t>
      </w:r>
      <w:r w:rsidR="00663DF7">
        <w:rPr>
          <w:rFonts w:ascii="Times New Roman" w:hAnsi="Times New Roman"/>
        </w:rPr>
        <w:t>Form</w:t>
      </w:r>
      <w:r w:rsidRPr="00BE7FD6">
        <w:rPr>
          <w:rFonts w:ascii="Times New Roman" w:hAnsi="Times New Roman"/>
        </w:rPr>
        <w:t xml:space="preserve"> 7501</w:t>
      </w:r>
      <w:r w:rsidR="00AE48F7">
        <w:rPr>
          <w:rFonts w:ascii="Times New Roman" w:hAnsi="Times New Roman"/>
        </w:rPr>
        <w:t>, OMB Control Number 1651-0022</w:t>
      </w:r>
      <w:r w:rsidRPr="00BE7FD6">
        <w:rPr>
          <w:rFonts w:ascii="Times New Roman" w:hAnsi="Times New Roman"/>
        </w:rPr>
        <w:t>)</w:t>
      </w:r>
      <w:r w:rsidR="00AE48F7">
        <w:rPr>
          <w:rFonts w:ascii="Times New Roman" w:hAnsi="Times New Roman"/>
        </w:rPr>
        <w:t xml:space="preserve">. </w:t>
      </w:r>
      <w:r w:rsidRPr="00BE7FD6">
        <w:rPr>
          <w:rFonts w:ascii="Times New Roman" w:hAnsi="Times New Roman"/>
        </w:rPr>
        <w:t xml:space="preserve">In addition, in order to expedite the processing of shipments of pesticides and devices, EPA recommends that respondents provide EPA with a copy of either </w:t>
      </w:r>
      <w:r w:rsidR="00F81480">
        <w:rPr>
          <w:rFonts w:ascii="Times New Roman" w:hAnsi="Times New Roman"/>
        </w:rPr>
        <w:t>the entry notice or entry summary</w:t>
      </w:r>
      <w:r w:rsidR="00E52B2F">
        <w:rPr>
          <w:rFonts w:ascii="Times New Roman" w:hAnsi="Times New Roman"/>
        </w:rPr>
        <w:t xml:space="preserve">, </w:t>
      </w:r>
      <w:r w:rsidR="00E52B2F" w:rsidRPr="00881CBE">
        <w:rPr>
          <w:rFonts w:ascii="Times New Roman" w:hAnsi="Times New Roman"/>
        </w:rPr>
        <w:t>or other information submitted</w:t>
      </w:r>
      <w:r w:rsidR="00E52B2F">
        <w:rPr>
          <w:rFonts w:ascii="Times New Roman" w:hAnsi="Times New Roman"/>
        </w:rPr>
        <w:t xml:space="preserve"> to C</w:t>
      </w:r>
      <w:r w:rsidR="0055597A">
        <w:rPr>
          <w:rFonts w:ascii="Times New Roman" w:hAnsi="Times New Roman"/>
        </w:rPr>
        <w:t>ustoms</w:t>
      </w:r>
      <w:r w:rsidR="00E52B2F" w:rsidRPr="00881CBE">
        <w:rPr>
          <w:rFonts w:ascii="Times New Roman" w:hAnsi="Times New Roman"/>
        </w:rPr>
        <w:t xml:space="preserve"> pursuant to 19 CFR 142.3(5).  </w:t>
      </w:r>
      <w:r w:rsidRPr="00BE7FD6">
        <w:rPr>
          <w:rFonts w:ascii="Times New Roman" w:hAnsi="Times New Roman"/>
        </w:rPr>
        <w:t xml:space="preserve">This supporting documentation allows EPA to validate the information provided on Form 3540-1. The information on </w:t>
      </w:r>
      <w:r w:rsidR="00A546BB">
        <w:rPr>
          <w:rFonts w:ascii="Times New Roman" w:hAnsi="Times New Roman"/>
        </w:rPr>
        <w:t>entry</w:t>
      </w:r>
      <w:r w:rsidRPr="00BE7FD6">
        <w:rPr>
          <w:rFonts w:ascii="Times New Roman" w:hAnsi="Times New Roman"/>
        </w:rPr>
        <w:t xml:space="preserve"> forms is collected electronically via C</w:t>
      </w:r>
      <w:r w:rsidR="0055597A">
        <w:rPr>
          <w:rFonts w:ascii="Times New Roman" w:hAnsi="Times New Roman"/>
        </w:rPr>
        <w:t>ustoms</w:t>
      </w:r>
      <w:r w:rsidRPr="00BE7FD6">
        <w:rPr>
          <w:rFonts w:ascii="Times New Roman" w:hAnsi="Times New Roman"/>
        </w:rPr>
        <w:t xml:space="preserve"> ABI/ACS. </w:t>
      </w:r>
      <w:r w:rsidR="000C60AF">
        <w:rPr>
          <w:rFonts w:ascii="Times New Roman" w:hAnsi="Times New Roman"/>
        </w:rPr>
        <w:t>EPA does not have the</w:t>
      </w:r>
      <w:r w:rsidRPr="00BE7FD6">
        <w:rPr>
          <w:rFonts w:ascii="Times New Roman" w:hAnsi="Times New Roman"/>
        </w:rPr>
        <w:t xml:space="preserve"> ability to electronically </w:t>
      </w:r>
      <w:r w:rsidR="005867E2">
        <w:rPr>
          <w:rFonts w:ascii="Times New Roman" w:hAnsi="Times New Roman"/>
        </w:rPr>
        <w:t xml:space="preserve">receive </w:t>
      </w:r>
      <w:r w:rsidRPr="00BE7FD6">
        <w:rPr>
          <w:rFonts w:ascii="Times New Roman" w:hAnsi="Times New Roman"/>
        </w:rPr>
        <w:t>th</w:t>
      </w:r>
      <w:r w:rsidR="00A546BB">
        <w:rPr>
          <w:rFonts w:ascii="Times New Roman" w:hAnsi="Times New Roman"/>
        </w:rPr>
        <w:t>is</w:t>
      </w:r>
      <w:r w:rsidRPr="00BE7FD6">
        <w:rPr>
          <w:rFonts w:ascii="Times New Roman" w:hAnsi="Times New Roman"/>
        </w:rPr>
        <w:t xml:space="preserve"> information. </w:t>
      </w:r>
      <w:r w:rsidR="000C60AF">
        <w:rPr>
          <w:rFonts w:ascii="Times New Roman" w:hAnsi="Times New Roman"/>
        </w:rPr>
        <w:t>Respondents would plan for and gather</w:t>
      </w:r>
      <w:r w:rsidRPr="00BE7FD6">
        <w:rPr>
          <w:rFonts w:ascii="Times New Roman" w:hAnsi="Times New Roman"/>
        </w:rPr>
        <w:t xml:space="preserve"> the information submitted on </w:t>
      </w:r>
      <w:r w:rsidR="00F81480">
        <w:rPr>
          <w:rFonts w:ascii="Times New Roman" w:hAnsi="Times New Roman"/>
        </w:rPr>
        <w:t>Form 35</w:t>
      </w:r>
      <w:r w:rsidR="00DA1C5D">
        <w:rPr>
          <w:rFonts w:ascii="Times New Roman" w:hAnsi="Times New Roman"/>
        </w:rPr>
        <w:t>4</w:t>
      </w:r>
      <w:r w:rsidR="00F81480">
        <w:rPr>
          <w:rFonts w:ascii="Times New Roman" w:hAnsi="Times New Roman"/>
        </w:rPr>
        <w:t>0-1</w:t>
      </w:r>
      <w:r w:rsidRPr="00BE7FD6">
        <w:rPr>
          <w:rFonts w:ascii="Times New Roman" w:hAnsi="Times New Roman"/>
        </w:rPr>
        <w:t xml:space="preserve"> as part of </w:t>
      </w:r>
      <w:r w:rsidR="00F81480">
        <w:rPr>
          <w:rFonts w:ascii="Times New Roman" w:hAnsi="Times New Roman"/>
        </w:rPr>
        <w:t>customary</w:t>
      </w:r>
      <w:r w:rsidRPr="00BE7FD6">
        <w:rPr>
          <w:rFonts w:ascii="Times New Roman" w:hAnsi="Times New Roman"/>
        </w:rPr>
        <w:t xml:space="preserve"> business practice</w:t>
      </w:r>
      <w:r w:rsidR="00F81480">
        <w:rPr>
          <w:rFonts w:ascii="Times New Roman" w:hAnsi="Times New Roman"/>
        </w:rPr>
        <w:t>s</w:t>
      </w:r>
      <w:r w:rsidR="000C60AF">
        <w:rPr>
          <w:rFonts w:ascii="Times New Roman" w:hAnsi="Times New Roman"/>
        </w:rPr>
        <w:t xml:space="preserve">. </w:t>
      </w:r>
      <w:r w:rsidR="000C60AF" w:rsidRPr="00BE7FD6">
        <w:rPr>
          <w:rFonts w:ascii="Times New Roman" w:hAnsi="Times New Roman"/>
        </w:rPr>
        <w:t>To avoid double counting of burden hours</w:t>
      </w:r>
      <w:r w:rsidR="000C60AF">
        <w:rPr>
          <w:rFonts w:ascii="Times New Roman" w:hAnsi="Times New Roman"/>
        </w:rPr>
        <w:t xml:space="preserve">, </w:t>
      </w:r>
      <w:r w:rsidRPr="00BE7FD6">
        <w:rPr>
          <w:rFonts w:ascii="Times New Roman" w:hAnsi="Times New Roman"/>
        </w:rPr>
        <w:t>EPA</w:t>
      </w:r>
      <w:r w:rsidR="006707A6">
        <w:rPr>
          <w:rFonts w:ascii="Times New Roman" w:hAnsi="Times New Roman"/>
        </w:rPr>
        <w:t xml:space="preserve"> </w:t>
      </w:r>
      <w:r w:rsidRPr="00BE7FD6">
        <w:rPr>
          <w:rFonts w:ascii="Times New Roman" w:hAnsi="Times New Roman"/>
        </w:rPr>
        <w:t>only accounts for the additional time to e</w:t>
      </w:r>
      <w:r w:rsidR="006707A6">
        <w:rPr>
          <w:rFonts w:ascii="Times New Roman" w:hAnsi="Times New Roman"/>
        </w:rPr>
        <w:t>nt</w:t>
      </w:r>
      <w:r w:rsidRPr="00BE7FD6">
        <w:rPr>
          <w:rFonts w:ascii="Times New Roman" w:hAnsi="Times New Roman"/>
        </w:rPr>
        <w:t>e</w:t>
      </w:r>
      <w:r w:rsidR="006707A6">
        <w:rPr>
          <w:rFonts w:ascii="Times New Roman" w:hAnsi="Times New Roman"/>
        </w:rPr>
        <w:t>r the information</w:t>
      </w:r>
      <w:r w:rsidRPr="00BE7FD6">
        <w:rPr>
          <w:rFonts w:ascii="Times New Roman" w:hAnsi="Times New Roman"/>
        </w:rPr>
        <w:t xml:space="preserve"> and submit the form.  </w:t>
      </w:r>
    </w:p>
    <w:p w:rsidR="00FE652B" w:rsidRPr="00C0504A" w:rsidRDefault="00FE652B" w:rsidP="00FE652B">
      <w:pPr>
        <w:rPr>
          <w:rFonts w:ascii="Times New Roman" w:hAnsi="Times New Roman"/>
        </w:rPr>
      </w:pPr>
    </w:p>
    <w:p w:rsidR="00FE652B" w:rsidRPr="00C0504A" w:rsidRDefault="00BE7FD6" w:rsidP="00FE652B">
      <w:pPr>
        <w:rPr>
          <w:rFonts w:ascii="Times New Roman" w:hAnsi="Times New Roman"/>
        </w:rPr>
      </w:pPr>
      <w:r w:rsidRPr="00BE7FD6">
        <w:rPr>
          <w:rFonts w:ascii="Times New Roman" w:hAnsi="Times New Roman"/>
        </w:rPr>
        <w:tab/>
        <w:t>C</w:t>
      </w:r>
      <w:r w:rsidR="00A546BB">
        <w:rPr>
          <w:rFonts w:ascii="Times New Roman" w:hAnsi="Times New Roman"/>
        </w:rPr>
        <w:t>ustoms</w:t>
      </w:r>
      <w:r w:rsidRPr="00BE7FD6">
        <w:rPr>
          <w:rFonts w:ascii="Times New Roman" w:hAnsi="Times New Roman"/>
        </w:rPr>
        <w:t xml:space="preserve"> entry forms cannot substitute for the submission of EPA's notice of arrival because the entry forms are not required to be completed prior to the arrival of the shipment and hence do not meet the requirements of FIFRA 17 (c). Entry may be made up to 15 days after a pesticide or device arrives in the U.S. and </w:t>
      </w:r>
      <w:r w:rsidR="000C60AF">
        <w:rPr>
          <w:rFonts w:ascii="Times New Roman" w:hAnsi="Times New Roman"/>
        </w:rPr>
        <w:t xml:space="preserve">the entry forms </w:t>
      </w:r>
      <w:r w:rsidRPr="00BE7FD6">
        <w:rPr>
          <w:rFonts w:ascii="Times New Roman" w:hAnsi="Times New Roman"/>
        </w:rPr>
        <w:t>does not contain al</w:t>
      </w:r>
      <w:r w:rsidR="000C60AF">
        <w:rPr>
          <w:rFonts w:ascii="Times New Roman" w:hAnsi="Times New Roman"/>
        </w:rPr>
        <w:t>l of the information required in</w:t>
      </w:r>
      <w:r w:rsidRPr="00BE7FD6">
        <w:rPr>
          <w:rFonts w:ascii="Times New Roman" w:hAnsi="Times New Roman"/>
        </w:rPr>
        <w:t xml:space="preserve"> a notice of arrival.  The information in a notice of arrival is necessary for EPA to determine the disposition of a shipment upon its arrival in the U.S.</w:t>
      </w:r>
    </w:p>
    <w:p w:rsidR="00FE652B" w:rsidRPr="00C0504A" w:rsidRDefault="00BE7FD6" w:rsidP="00FE652B">
      <w:pPr>
        <w:rPr>
          <w:rFonts w:ascii="Times New Roman" w:hAnsi="Times New Roman"/>
        </w:rPr>
      </w:pPr>
      <w:r w:rsidRPr="00BE7FD6">
        <w:rPr>
          <w:rFonts w:ascii="Times New Roman" w:hAnsi="Times New Roman"/>
        </w:rPr>
        <w:t xml:space="preserve"> </w:t>
      </w:r>
    </w:p>
    <w:p w:rsidR="00FE652B" w:rsidRDefault="00BE7FD6" w:rsidP="00FE652B">
      <w:pPr>
        <w:rPr>
          <w:rFonts w:ascii="Times New Roman" w:hAnsi="Times New Roman"/>
        </w:rPr>
      </w:pPr>
      <w:r w:rsidRPr="00BE7FD6">
        <w:rPr>
          <w:rFonts w:ascii="Times New Roman" w:hAnsi="Times New Roman"/>
        </w:rPr>
        <w:tab/>
        <w:t xml:space="preserve">As discussed </w:t>
      </w:r>
      <w:r w:rsidR="00236BDF">
        <w:rPr>
          <w:rFonts w:ascii="Times New Roman" w:hAnsi="Times New Roman"/>
        </w:rPr>
        <w:t>in Section 5(b)</w:t>
      </w:r>
      <w:r w:rsidRPr="00BE7FD6">
        <w:rPr>
          <w:rFonts w:ascii="Times New Roman" w:hAnsi="Times New Roman"/>
        </w:rPr>
        <w:t xml:space="preserve">, EPA is currently participating in the ACE/ITDS project. </w:t>
      </w:r>
      <w:r w:rsidR="000475D9">
        <w:rPr>
          <w:rFonts w:ascii="Times New Roman" w:hAnsi="Times New Roman"/>
        </w:rPr>
        <w:t xml:space="preserve"> </w:t>
      </w:r>
      <w:r w:rsidRPr="00BE7FD6">
        <w:rPr>
          <w:rFonts w:ascii="Times New Roman" w:hAnsi="Times New Roman"/>
        </w:rPr>
        <w:t xml:space="preserve">When ACE becomes fully functional, </w:t>
      </w:r>
      <w:r w:rsidR="000C60AF">
        <w:rPr>
          <w:rFonts w:ascii="Times New Roman" w:hAnsi="Times New Roman"/>
        </w:rPr>
        <w:t xml:space="preserve">it will </w:t>
      </w:r>
      <w:r w:rsidR="00236BDF">
        <w:rPr>
          <w:rFonts w:ascii="Times New Roman" w:hAnsi="Times New Roman"/>
        </w:rPr>
        <w:t>allow for</w:t>
      </w:r>
      <w:r w:rsidR="000C60AF">
        <w:rPr>
          <w:rFonts w:ascii="Times New Roman" w:hAnsi="Times New Roman"/>
        </w:rPr>
        <w:t xml:space="preserve"> the electronic collection of t</w:t>
      </w:r>
      <w:r w:rsidRPr="00BE7FD6">
        <w:rPr>
          <w:rFonts w:ascii="Times New Roman" w:hAnsi="Times New Roman"/>
        </w:rPr>
        <w:t xml:space="preserve">he information </w:t>
      </w:r>
      <w:r w:rsidR="000C60AF">
        <w:rPr>
          <w:rFonts w:ascii="Times New Roman" w:hAnsi="Times New Roman"/>
        </w:rPr>
        <w:t>in the</w:t>
      </w:r>
      <w:r w:rsidRPr="00BE7FD6">
        <w:rPr>
          <w:rFonts w:ascii="Times New Roman" w:hAnsi="Times New Roman"/>
        </w:rPr>
        <w:t xml:space="preserve"> </w:t>
      </w:r>
      <w:r w:rsidR="00236BDF">
        <w:rPr>
          <w:rFonts w:ascii="Times New Roman" w:hAnsi="Times New Roman"/>
        </w:rPr>
        <w:t>N</w:t>
      </w:r>
      <w:r w:rsidRPr="00BE7FD6">
        <w:rPr>
          <w:rFonts w:ascii="Times New Roman" w:hAnsi="Times New Roman"/>
        </w:rPr>
        <w:t>o</w:t>
      </w:r>
      <w:r w:rsidR="00236BDF">
        <w:rPr>
          <w:rFonts w:ascii="Times New Roman" w:hAnsi="Times New Roman"/>
        </w:rPr>
        <w:t>tice of Arrival</w:t>
      </w:r>
      <w:r w:rsidR="000475D9">
        <w:rPr>
          <w:rFonts w:ascii="Times New Roman" w:hAnsi="Times New Roman"/>
        </w:rPr>
        <w:t>.</w:t>
      </w:r>
      <w:r w:rsidRPr="00BE7FD6">
        <w:rPr>
          <w:rFonts w:ascii="Times New Roman" w:hAnsi="Times New Roman"/>
        </w:rPr>
        <w:t xml:space="preserve"> </w:t>
      </w:r>
      <w:r w:rsidR="00FD52C0">
        <w:rPr>
          <w:rFonts w:ascii="Times New Roman" w:hAnsi="Times New Roman"/>
        </w:rPr>
        <w:t xml:space="preserve"> </w:t>
      </w:r>
      <w:r w:rsidR="00FE652B" w:rsidRPr="00C0504A">
        <w:rPr>
          <w:rFonts w:ascii="Times New Roman" w:hAnsi="Times New Roman"/>
        </w:rPr>
        <w:t>EPA is currently undertaking rulemaking to facilitate the electronic submission</w:t>
      </w:r>
      <w:r w:rsidR="00236BDF">
        <w:rPr>
          <w:rFonts w:ascii="Times New Roman" w:hAnsi="Times New Roman"/>
        </w:rPr>
        <w:t xml:space="preserve"> of Notice of Arrival information</w:t>
      </w:r>
      <w:r w:rsidR="00AE48F7">
        <w:rPr>
          <w:rFonts w:ascii="Times New Roman" w:hAnsi="Times New Roman"/>
        </w:rPr>
        <w:t xml:space="preserve">. </w:t>
      </w:r>
    </w:p>
    <w:p w:rsidR="00EB08D6" w:rsidRDefault="00EB08D6" w:rsidP="00FE652B">
      <w:pPr>
        <w:rPr>
          <w:rFonts w:ascii="Times New Roman" w:hAnsi="Times New Roman"/>
        </w:rPr>
      </w:pPr>
    </w:p>
    <w:p w:rsidR="00EB08D6" w:rsidRPr="00C0504A" w:rsidRDefault="00EB08D6" w:rsidP="00FE652B">
      <w:pPr>
        <w:rPr>
          <w:rFonts w:ascii="Times New Roman" w:hAnsi="Times New Roman"/>
        </w:rPr>
      </w:pPr>
      <w:r>
        <w:rPr>
          <w:rFonts w:ascii="Times New Roman" w:hAnsi="Times New Roman"/>
        </w:rPr>
        <w:tab/>
      </w:r>
      <w:r w:rsidR="001179C9" w:rsidRPr="001179C9">
        <w:rPr>
          <w:rFonts w:ascii="Times New Roman" w:hAnsi="Times New Roman"/>
        </w:rPr>
        <w:t xml:space="preserve">EPA and the United States Department of Agriculture (USDA) both regulate the importation of seeds that are genetically-engineered to express pesticidal properties (a.k.a. plant-incorporated protectants, or PIPs). </w:t>
      </w:r>
      <w:r w:rsidR="00200F0E">
        <w:rPr>
          <w:rFonts w:ascii="Times New Roman" w:hAnsi="Times New Roman"/>
        </w:rPr>
        <w:t xml:space="preserve">During the OMB comment period, the American Seed Trade Association submitted a comment asking OMB to consider alternatives for satisfying EPA’s information needs in a manner that does not duplicate USDA requirements. </w:t>
      </w:r>
      <w:r w:rsidR="001179C9" w:rsidRPr="001179C9">
        <w:rPr>
          <w:rFonts w:ascii="Times New Roman" w:hAnsi="Times New Roman"/>
        </w:rPr>
        <w:t xml:space="preserve">EPA and USDA, along with Customs and OMB, are engaged in discussions to investigate the possible overlap between regulatory requirements and business processes regarding the importation of PIP seeds. The discussions will address: 1) the status quo process and information requirements at each agency concerning the importation of PIPs, identify any specific areas of overlap, and consider the feasibility of streamlining processes and requirements which overlap; 2) the potential for rule and non-rule options for streamlining government processes and/or reporting obligations, if identified, for importers of PIP seeds; and 3) the implications for existing information collection requests approved by OMB under the Paperwork Reduction Act. The agencies will also evaluate possible streamlining of processes and requirements that may be practicable under the ‘single window’ concept of Customs’ ACE/ITDS, which will integrate and automate the government-wide collection, use, and dissemination of international trade data. </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3(b) Public Notice Required Prior to ICR Submission to OMB</w:t>
      </w:r>
    </w:p>
    <w:p w:rsidR="001F21C5" w:rsidRPr="00C0504A" w:rsidRDefault="001F21C5" w:rsidP="001F21C5">
      <w:pPr>
        <w:ind w:firstLine="720"/>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D45C5A">
        <w:rPr>
          <w:rFonts w:ascii="Times New Roman" w:hAnsi="Times New Roman"/>
        </w:rPr>
        <w:t xml:space="preserve">Pursuant to 5 CFR 1320.8(d), EPA published a </w:t>
      </w:r>
      <w:bookmarkStart w:id="1" w:name="OLE_LINK1"/>
      <w:r w:rsidRPr="00D45C5A">
        <w:rPr>
          <w:rFonts w:ascii="Times New Roman" w:hAnsi="Times New Roman"/>
        </w:rPr>
        <w:t xml:space="preserve">Federal Register (FR) </w:t>
      </w:r>
      <w:r w:rsidR="00F86BA1">
        <w:rPr>
          <w:rFonts w:ascii="Times New Roman" w:hAnsi="Times New Roman"/>
        </w:rPr>
        <w:t>n</w:t>
      </w:r>
      <w:r w:rsidRPr="00D45C5A">
        <w:rPr>
          <w:rFonts w:ascii="Times New Roman" w:hAnsi="Times New Roman"/>
        </w:rPr>
        <w:t>otice on</w:t>
      </w:r>
      <w:r>
        <w:rPr>
          <w:rFonts w:ascii="Times New Roman" w:hAnsi="Times New Roman"/>
        </w:rPr>
        <w:t xml:space="preserve"> Wednesday, December 14, 2011 (76 FR 77817) </w:t>
      </w:r>
      <w:bookmarkEnd w:id="1"/>
      <w:r w:rsidRPr="00D45C5A">
        <w:rPr>
          <w:rFonts w:ascii="Times New Roman" w:hAnsi="Times New Roman"/>
        </w:rPr>
        <w:t xml:space="preserve">announcing the proposed renewal of this information collection activity and provided a 60-day public comment period. </w:t>
      </w:r>
      <w:r>
        <w:rPr>
          <w:rFonts w:ascii="Times New Roman" w:hAnsi="Times New Roman"/>
        </w:rPr>
        <w:t xml:space="preserve">The Agency received three comments on this ICR renewal. The comments are available in the docket for this action, and are summarize below, along with EPA’s responses, which are also available in the docket.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Two commenters, CropLife America and the Chemical Producers and Distributors Association  requested that EPA allow for </w:t>
      </w:r>
      <w:r w:rsidRPr="00D45C5A">
        <w:rPr>
          <w:rFonts w:ascii="Times New Roman" w:hAnsi="Times New Roman"/>
        </w:rPr>
        <w:t>a 45-day extension of the public comment period from February 13 to March 29, 2012</w:t>
      </w:r>
      <w:r>
        <w:rPr>
          <w:rFonts w:ascii="Times New Roman" w:hAnsi="Times New Roman"/>
        </w:rPr>
        <w:t xml:space="preserve">. </w:t>
      </w:r>
      <w:r w:rsidRPr="00D45C5A">
        <w:rPr>
          <w:rFonts w:ascii="Times New Roman" w:hAnsi="Times New Roman"/>
        </w:rPr>
        <w:t xml:space="preserve">The </w:t>
      </w:r>
      <w:r>
        <w:rPr>
          <w:rFonts w:ascii="Times New Roman" w:hAnsi="Times New Roman"/>
        </w:rPr>
        <w:t>FR</w:t>
      </w:r>
      <w:r>
        <w:rPr>
          <w:rFonts w:ascii="Times New Roman" w:hAnsi="Times New Roman"/>
          <w:i/>
          <w:iCs/>
        </w:rPr>
        <w:t xml:space="preserve"> </w:t>
      </w:r>
      <w:r w:rsidR="00F86BA1">
        <w:rPr>
          <w:rFonts w:ascii="Times New Roman" w:hAnsi="Times New Roman"/>
          <w:iCs/>
        </w:rPr>
        <w:t>n</w:t>
      </w:r>
      <w:r w:rsidR="00F86BA1" w:rsidRPr="00D45C5A">
        <w:rPr>
          <w:rFonts w:ascii="Times New Roman" w:hAnsi="Times New Roman"/>
        </w:rPr>
        <w:t>otice</w:t>
      </w:r>
      <w:r w:rsidR="00F86BA1">
        <w:rPr>
          <w:rFonts w:ascii="Times New Roman" w:hAnsi="Times New Roman"/>
        </w:rPr>
        <w:t xml:space="preserve"> </w:t>
      </w:r>
      <w:r w:rsidRPr="00D45C5A">
        <w:rPr>
          <w:rFonts w:ascii="Times New Roman" w:hAnsi="Times New Roman"/>
        </w:rPr>
        <w:t>sought public commen</w:t>
      </w:r>
      <w:r>
        <w:rPr>
          <w:rFonts w:ascii="Times New Roman" w:hAnsi="Times New Roman"/>
        </w:rPr>
        <w:t>t on the renewal of three ICRs</w:t>
      </w:r>
      <w:r w:rsidRPr="00D45C5A">
        <w:rPr>
          <w:rFonts w:ascii="Times New Roman" w:hAnsi="Times New Roman"/>
        </w:rPr>
        <w:t xml:space="preserve"> (OMB Control</w:t>
      </w:r>
      <w:r>
        <w:rPr>
          <w:rFonts w:ascii="Times New Roman" w:hAnsi="Times New Roman"/>
        </w:rPr>
        <w:t xml:space="preserve"> </w:t>
      </w:r>
      <w:r w:rsidRPr="00D45C5A">
        <w:rPr>
          <w:rFonts w:ascii="Times New Roman" w:hAnsi="Times New Roman"/>
        </w:rPr>
        <w:t>No.’s 2070–0032, 2070–0020, and 2070–0060) that are currently approved under the Paperwork</w:t>
      </w:r>
      <w:r>
        <w:rPr>
          <w:rFonts w:ascii="Times New Roman" w:hAnsi="Times New Roman"/>
        </w:rPr>
        <w:t xml:space="preserve"> </w:t>
      </w:r>
      <w:r w:rsidRPr="00D45C5A">
        <w:rPr>
          <w:rFonts w:ascii="Times New Roman" w:hAnsi="Times New Roman"/>
        </w:rPr>
        <w:t xml:space="preserve">Reduction Act (PRA) (44 U.S.C. 3501 </w:t>
      </w:r>
      <w:r w:rsidRPr="00D45C5A">
        <w:rPr>
          <w:rFonts w:ascii="Times New Roman" w:hAnsi="Times New Roman"/>
          <w:i/>
          <w:iCs/>
        </w:rPr>
        <w:t>et seq</w:t>
      </w:r>
      <w:r w:rsidRPr="00D45C5A">
        <w:rPr>
          <w:rFonts w:ascii="Times New Roman" w:hAnsi="Times New Roman"/>
        </w:rPr>
        <w:t>.). The approval for two ICRs (OMB Control No.’s 2070-</w:t>
      </w:r>
      <w:r>
        <w:rPr>
          <w:rFonts w:ascii="Times New Roman" w:hAnsi="Times New Roman"/>
        </w:rPr>
        <w:t xml:space="preserve"> </w:t>
      </w:r>
      <w:r w:rsidRPr="00D45C5A">
        <w:rPr>
          <w:rFonts w:ascii="Times New Roman" w:hAnsi="Times New Roman"/>
        </w:rPr>
        <w:t>0032 and 2070-0060) is currently scheduled to expire on July 31,</w:t>
      </w:r>
      <w:r>
        <w:rPr>
          <w:rFonts w:ascii="Times New Roman" w:hAnsi="Times New Roman"/>
        </w:rPr>
        <w:t xml:space="preserve"> 2012, and the approval for this </w:t>
      </w:r>
      <w:r w:rsidRPr="00D45C5A">
        <w:rPr>
          <w:rFonts w:ascii="Times New Roman" w:hAnsi="Times New Roman"/>
        </w:rPr>
        <w:t>ICR (OMB Control No. 2070-0020) is currently scheduled to expire on August 31, 2012.</w:t>
      </w:r>
      <w:r>
        <w:rPr>
          <w:rFonts w:ascii="Times New Roman" w:hAnsi="Times New Roman"/>
        </w:rPr>
        <w:t xml:space="preserve"> The agency </w:t>
      </w:r>
      <w:r w:rsidRPr="00D45C5A">
        <w:rPr>
          <w:rFonts w:ascii="Times New Roman" w:hAnsi="Times New Roman"/>
        </w:rPr>
        <w:t xml:space="preserve">carefully considered these requests to extend the comment period. </w:t>
      </w:r>
      <w:r>
        <w:rPr>
          <w:rFonts w:ascii="Times New Roman" w:hAnsi="Times New Roman"/>
        </w:rPr>
        <w:t xml:space="preserve"> </w:t>
      </w:r>
      <w:r w:rsidRPr="00D45C5A">
        <w:rPr>
          <w:rFonts w:ascii="Times New Roman" w:hAnsi="Times New Roman"/>
        </w:rPr>
        <w:t>However, the timeframe</w:t>
      </w:r>
      <w:r>
        <w:rPr>
          <w:rFonts w:ascii="Times New Roman" w:hAnsi="Times New Roman"/>
        </w:rPr>
        <w:t xml:space="preserve">s </w:t>
      </w:r>
      <w:r w:rsidRPr="00D45C5A">
        <w:rPr>
          <w:rFonts w:ascii="Times New Roman" w:hAnsi="Times New Roman"/>
        </w:rPr>
        <w:t xml:space="preserve">established under the PRA to renew ICRs before </w:t>
      </w:r>
      <w:r>
        <w:rPr>
          <w:rFonts w:ascii="Times New Roman" w:hAnsi="Times New Roman"/>
        </w:rPr>
        <w:t>they expire are such that EPA was</w:t>
      </w:r>
      <w:r w:rsidRPr="00D45C5A">
        <w:rPr>
          <w:rFonts w:ascii="Times New Roman" w:hAnsi="Times New Roman"/>
        </w:rPr>
        <w:t xml:space="preserve"> unable to allow for an</w:t>
      </w:r>
      <w:r>
        <w:rPr>
          <w:rFonts w:ascii="Times New Roman" w:hAnsi="Times New Roman"/>
        </w:rPr>
        <w:t xml:space="preserve"> </w:t>
      </w:r>
      <w:r w:rsidRPr="00D45C5A">
        <w:rPr>
          <w:rFonts w:ascii="Times New Roman" w:hAnsi="Times New Roman"/>
        </w:rPr>
        <w:t>extension of the comment period.</w:t>
      </w:r>
      <w:r>
        <w:rPr>
          <w:rFonts w:ascii="Times New Roman" w:hAnsi="Times New Roman"/>
        </w:rPr>
        <w:t xml:space="preserve"> EPA’s response to the request for an extension is also available in the docket for this action.</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Bayer CropSciences (Bayer) also submitted comments to the public docket. </w:t>
      </w:r>
      <w:r w:rsidR="007F54C6">
        <w:rPr>
          <w:rFonts w:ascii="Times New Roman" w:hAnsi="Times New Roman"/>
        </w:rPr>
        <w:t xml:space="preserve">EPA’s response to Bayer can be found in the docket (Docket ID </w:t>
      </w:r>
      <w:r w:rsidR="007F54C6" w:rsidRPr="00C04E92">
        <w:rPr>
          <w:rFonts w:ascii="Times New Roman" w:hAnsi="Times New Roman"/>
        </w:rPr>
        <w:t>EPA-HQ-OPP-2011-0843</w:t>
      </w:r>
      <w:r w:rsidR="007F54C6">
        <w:rPr>
          <w:rFonts w:ascii="Times New Roman" w:hAnsi="Times New Roman"/>
        </w:rPr>
        <w:t xml:space="preserve">); EPA is summarizing Bayer’s comments and the agency’s responses here. </w:t>
      </w:r>
      <w:r>
        <w:rPr>
          <w:rFonts w:ascii="Times New Roman" w:hAnsi="Times New Roman"/>
        </w:rPr>
        <w:t>Regarding the clarity of instructions on EPA Form 3540-1, Bayer provided several comments. Bayer commented</w:t>
      </w:r>
      <w:r w:rsidRPr="00F64BEC">
        <w:rPr>
          <w:rFonts w:ascii="Times New Roman" w:hAnsi="Times New Roman"/>
        </w:rPr>
        <w:t xml:space="preserve"> that EPA’s definition of brand name (block 6) could be confusing because a pesticide can be relabled and may bear multiple alternate brand names for the same registration</w:t>
      </w:r>
      <w:r>
        <w:rPr>
          <w:rFonts w:ascii="Times New Roman" w:hAnsi="Times New Roman"/>
        </w:rPr>
        <w:t xml:space="preserve">. EPA agrees with the need for clarification. EPA will revise the instructions for block from “Brand name of the product as it appears on the label under which the pesticide or device is sold or distributed” to “Brand name of the product as it appears on the product label at the time of import.” </w:t>
      </w:r>
    </w:p>
    <w:p w:rsidR="001F21C5"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rPr>
        <w:tab/>
      </w:r>
      <w:r w:rsidRPr="00F64BEC">
        <w:rPr>
          <w:rFonts w:ascii="Times New Roman" w:hAnsi="Times New Roman"/>
        </w:rPr>
        <w:t xml:space="preserve">Bayer believes that the active ingredients and percentage of each (block </w:t>
      </w:r>
      <w:r>
        <w:rPr>
          <w:rFonts w:ascii="Times New Roman" w:hAnsi="Times New Roman"/>
        </w:rPr>
        <w:t>7</w:t>
      </w:r>
      <w:r w:rsidRPr="00F64BEC">
        <w:rPr>
          <w:rFonts w:ascii="Times New Roman" w:hAnsi="Times New Roman"/>
        </w:rPr>
        <w:t>) can be redundant because this registration information can often be found online at publically avai</w:t>
      </w:r>
      <w:r>
        <w:rPr>
          <w:rFonts w:ascii="Times New Roman" w:hAnsi="Times New Roman"/>
        </w:rPr>
        <w:t>la</w:t>
      </w:r>
      <w:r w:rsidRPr="00F64BEC">
        <w:rPr>
          <w:rFonts w:ascii="Times New Roman" w:hAnsi="Times New Roman"/>
        </w:rPr>
        <w:t>ble websites.</w:t>
      </w:r>
      <w:r>
        <w:rPr>
          <w:rFonts w:ascii="Times New Roman" w:hAnsi="Times New Roman"/>
        </w:rPr>
        <w:t xml:space="preserve"> EPA</w:t>
      </w:r>
      <w:r w:rsidRPr="00F64BEC">
        <w:rPr>
          <w:rFonts w:ascii="Times New Roman" w:hAnsi="Times New Roman"/>
        </w:rPr>
        <w:t xml:space="preserve"> </w:t>
      </w:r>
      <w:r>
        <w:rPr>
          <w:rFonts w:ascii="Times New Roman" w:hAnsi="Times New Roman"/>
        </w:rPr>
        <w:t>must rely on the information provided by the importer at the time of importation. P</w:t>
      </w:r>
      <w:r w:rsidRPr="00F64BEC">
        <w:rPr>
          <w:rFonts w:ascii="Times New Roman" w:hAnsi="Times New Roman"/>
        </w:rPr>
        <w:t>ublically available websites</w:t>
      </w:r>
      <w:r>
        <w:rPr>
          <w:rFonts w:ascii="Times New Roman" w:hAnsi="Times New Roman"/>
        </w:rPr>
        <w:t xml:space="preserve"> may not accurately describe registration information for products in the shipment upon importation and are not used to </w:t>
      </w:r>
      <w:r w:rsidRPr="00F64BEC">
        <w:rPr>
          <w:rFonts w:ascii="Times New Roman" w:hAnsi="Times New Roman"/>
        </w:rPr>
        <w:t>validate</w:t>
      </w:r>
      <w:r>
        <w:rPr>
          <w:rFonts w:ascii="Times New Roman" w:hAnsi="Times New Roman"/>
        </w:rPr>
        <w:t xml:space="preserve"> the</w:t>
      </w:r>
      <w:r w:rsidRPr="00F64BEC">
        <w:rPr>
          <w:rFonts w:ascii="Times New Roman" w:hAnsi="Times New Roman"/>
        </w:rPr>
        <w:t xml:space="preserve"> active ingredients and percentages</w:t>
      </w:r>
      <w:r>
        <w:rPr>
          <w:rFonts w:ascii="Times New Roman" w:hAnsi="Times New Roman"/>
        </w:rPr>
        <w:t xml:space="preserve"> of each</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is r</w:t>
      </w:r>
      <w:r>
        <w:rPr>
          <w:rFonts w:ascii="Times New Roman" w:hAnsi="Times New Roman"/>
        </w:rPr>
        <w:t>ecommending that</w:t>
      </w:r>
      <w:r w:rsidRPr="00F64BEC">
        <w:rPr>
          <w:rFonts w:ascii="Times New Roman" w:hAnsi="Times New Roman"/>
        </w:rPr>
        <w:t xml:space="preserve"> this information </w:t>
      </w:r>
      <w:r w:rsidR="004330F1">
        <w:rPr>
          <w:rFonts w:ascii="Times New Roman" w:hAnsi="Times New Roman"/>
        </w:rPr>
        <w:t>be provided on EPA Form 3540-1</w:t>
      </w:r>
      <w:r>
        <w:rPr>
          <w:rFonts w:ascii="Times New Roman" w:hAnsi="Times New Roman"/>
        </w:rPr>
        <w:t xml:space="preserve"> </w:t>
      </w:r>
      <w:r w:rsidRPr="00F64BEC">
        <w:rPr>
          <w:rFonts w:ascii="Times New Roman" w:hAnsi="Times New Roman"/>
        </w:rPr>
        <w:t>because the agency</w:t>
      </w:r>
      <w:r>
        <w:rPr>
          <w:rFonts w:ascii="Times New Roman" w:hAnsi="Times New Roman"/>
        </w:rPr>
        <w:t xml:space="preserve"> has found in practice that it</w:t>
      </w:r>
      <w:r w:rsidRPr="00F64BEC">
        <w:rPr>
          <w:rFonts w:ascii="Times New Roman" w:hAnsi="Times New Roman"/>
        </w:rPr>
        <w:t xml:space="preserve"> needs to validate the </w:t>
      </w:r>
      <w:r>
        <w:rPr>
          <w:rFonts w:ascii="Times New Roman" w:hAnsi="Times New Roman"/>
        </w:rPr>
        <w:t xml:space="preserve">formulation of imported pesticides.  The </w:t>
      </w:r>
      <w:r w:rsidRPr="00F64BEC">
        <w:rPr>
          <w:rFonts w:ascii="Times New Roman" w:hAnsi="Times New Roman"/>
        </w:rPr>
        <w:t>actual active ingredients and percentages of each in the</w:t>
      </w:r>
      <w:r>
        <w:rPr>
          <w:rFonts w:ascii="Times New Roman" w:hAnsi="Times New Roman"/>
        </w:rPr>
        <w:t xml:space="preserve"> actual</w:t>
      </w:r>
      <w:r w:rsidRPr="00F64BEC">
        <w:rPr>
          <w:rFonts w:ascii="Times New Roman" w:hAnsi="Times New Roman"/>
        </w:rPr>
        <w:t xml:space="preserve"> shipment </w:t>
      </w:r>
      <w:r>
        <w:rPr>
          <w:rFonts w:ascii="Times New Roman" w:hAnsi="Times New Roman"/>
        </w:rPr>
        <w:t>of an imported</w:t>
      </w:r>
      <w:r w:rsidRPr="00F64BEC">
        <w:rPr>
          <w:rFonts w:ascii="Times New Roman" w:hAnsi="Times New Roman"/>
        </w:rPr>
        <w:t xml:space="preserve"> pesticide may vary from </w:t>
      </w:r>
      <w:r>
        <w:rPr>
          <w:rFonts w:ascii="Times New Roman" w:hAnsi="Times New Roman"/>
        </w:rPr>
        <w:t xml:space="preserve">the </w:t>
      </w:r>
      <w:r w:rsidRPr="00F64BEC">
        <w:rPr>
          <w:rFonts w:ascii="Times New Roman" w:hAnsi="Times New Roman"/>
        </w:rPr>
        <w:t xml:space="preserve">percentages as registered with </w:t>
      </w:r>
      <w:r>
        <w:rPr>
          <w:rFonts w:ascii="Times New Roman" w:hAnsi="Times New Roman"/>
        </w:rPr>
        <w:t>EPA</w:t>
      </w:r>
      <w:r w:rsidRPr="00F64BEC">
        <w:rPr>
          <w:rFonts w:ascii="Times New Roman" w:hAnsi="Times New Roman"/>
        </w:rPr>
        <w:t xml:space="preserve">. </w:t>
      </w:r>
      <w:r>
        <w:rPr>
          <w:rFonts w:ascii="Times New Roman" w:hAnsi="Times New Roman"/>
        </w:rPr>
        <w:t>EPA needs to ensure that the variation is within the certified limits for the pesticide product.</w:t>
      </w:r>
      <w:r w:rsidRPr="00F64BEC">
        <w:rPr>
          <w:rFonts w:ascii="Times New Roman" w:hAnsi="Times New Roman"/>
        </w:rPr>
        <w:t xml:space="preserve"> In addition, </w:t>
      </w:r>
      <w:r>
        <w:rPr>
          <w:rFonts w:ascii="Times New Roman" w:hAnsi="Times New Roman"/>
        </w:rPr>
        <w:t>EPA</w:t>
      </w:r>
      <w:r w:rsidRPr="00F64BEC">
        <w:rPr>
          <w:rFonts w:ascii="Times New Roman" w:hAnsi="Times New Roman"/>
        </w:rPr>
        <w:t xml:space="preserve"> notes that, on occasion, the incorrect EPA registration</w:t>
      </w:r>
      <w:r w:rsidR="004330F1">
        <w:rPr>
          <w:rFonts w:ascii="Times New Roman" w:hAnsi="Times New Roman"/>
        </w:rPr>
        <w:t xml:space="preserve"> number has been provided on EPA Form 3540-1</w:t>
      </w:r>
      <w:r w:rsidRPr="00F64BEC">
        <w:rPr>
          <w:rFonts w:ascii="Times New Roman" w:hAnsi="Times New Roman"/>
        </w:rPr>
        <w:t xml:space="preserve">; in such cases, </w:t>
      </w:r>
      <w:r>
        <w:rPr>
          <w:rFonts w:ascii="Times New Roman" w:hAnsi="Times New Roman"/>
        </w:rPr>
        <w:t>EPA</w:t>
      </w:r>
      <w:r w:rsidRPr="00F64BEC">
        <w:rPr>
          <w:rFonts w:ascii="Times New Roman" w:hAnsi="Times New Roman"/>
        </w:rPr>
        <w:t xml:space="preserve"> </w:t>
      </w:r>
      <w:r>
        <w:rPr>
          <w:rFonts w:ascii="Times New Roman" w:hAnsi="Times New Roman"/>
        </w:rPr>
        <w:t>may not</w:t>
      </w:r>
      <w:r w:rsidRPr="00F64BEC">
        <w:rPr>
          <w:rFonts w:ascii="Times New Roman" w:hAnsi="Times New Roman"/>
        </w:rPr>
        <w:t xml:space="preserve"> rely on the EPA registration number to identify the active ingredients or percentages</w:t>
      </w:r>
      <w:r>
        <w:rPr>
          <w:rFonts w:ascii="Times New Roman" w:hAnsi="Times New Roman"/>
        </w:rPr>
        <w:t xml:space="preserve"> of each</w:t>
      </w:r>
      <w:r w:rsidRPr="00F64BEC">
        <w:rPr>
          <w:rFonts w:ascii="Times New Roman" w:hAnsi="Times New Roman"/>
        </w:rPr>
        <w:t>.</w:t>
      </w:r>
    </w:p>
    <w:p w:rsidR="001F21C5" w:rsidRPr="00F64BEC" w:rsidRDefault="001F21C5" w:rsidP="001F21C5">
      <w:pPr>
        <w:rPr>
          <w:rFonts w:ascii="Times New Roman" w:hAnsi="Times New Roman"/>
        </w:rPr>
      </w:pPr>
    </w:p>
    <w:p w:rsidR="001F21C5" w:rsidRPr="00DE22EF" w:rsidRDefault="001F21C5" w:rsidP="001F21C5">
      <w:pPr>
        <w:rPr>
          <w:rFonts w:ascii="Times New Roman" w:hAnsi="Times New Roman"/>
        </w:rPr>
      </w:pPr>
      <w:r>
        <w:rPr>
          <w:rFonts w:ascii="Times New Roman" w:hAnsi="Times New Roman"/>
        </w:rPr>
        <w:tab/>
        <w:t>Bayer commented</w:t>
      </w:r>
      <w:r w:rsidRPr="00F64BEC">
        <w:rPr>
          <w:rFonts w:ascii="Times New Roman" w:hAnsi="Times New Roman"/>
        </w:rPr>
        <w:t xml:space="preserve"> that EPA should harmonize its definition of the country of origin with </w:t>
      </w:r>
      <w:r w:rsidR="005C7CB6">
        <w:rPr>
          <w:rFonts w:ascii="Times New Roman" w:hAnsi="Times New Roman"/>
        </w:rPr>
        <w:t>Customs</w:t>
      </w:r>
      <w:r w:rsidR="005C7CB6" w:rsidRPr="00F64BEC">
        <w:rPr>
          <w:rFonts w:ascii="Times New Roman" w:hAnsi="Times New Roman"/>
        </w:rPr>
        <w:t xml:space="preserve"> </w:t>
      </w:r>
      <w:r w:rsidRPr="00F64BEC">
        <w:rPr>
          <w:rFonts w:ascii="Times New Roman" w:hAnsi="Times New Roman"/>
        </w:rPr>
        <w:t xml:space="preserve">definition. In addition, Bayer </w:t>
      </w:r>
      <w:r>
        <w:rPr>
          <w:rFonts w:ascii="Times New Roman" w:hAnsi="Times New Roman"/>
        </w:rPr>
        <w:t>believes that EPA’s</w:t>
      </w:r>
      <w:r w:rsidRPr="00F64BEC">
        <w:rPr>
          <w:rFonts w:ascii="Times New Roman" w:hAnsi="Times New Roman"/>
        </w:rPr>
        <w:t xml:space="preserve"> requires that the country of origin provid</w:t>
      </w:r>
      <w:r w:rsidR="004330F1">
        <w:rPr>
          <w:rFonts w:ascii="Times New Roman" w:hAnsi="Times New Roman"/>
        </w:rPr>
        <w:t>ed on the form</w:t>
      </w:r>
      <w:r>
        <w:rPr>
          <w:rFonts w:ascii="Times New Roman" w:hAnsi="Times New Roman"/>
        </w:rPr>
        <w:t xml:space="preserve"> match the EPA Producer E</w:t>
      </w:r>
      <w:r w:rsidRPr="00F64BEC">
        <w:rPr>
          <w:rFonts w:ascii="Times New Roman" w:hAnsi="Times New Roman"/>
        </w:rPr>
        <w:t>stablishment number (block 5), and hence is redundant, since country of</w:t>
      </w:r>
      <w:r>
        <w:rPr>
          <w:rFonts w:ascii="Times New Roman" w:hAnsi="Times New Roman"/>
        </w:rPr>
        <w:t xml:space="preserve"> origin is captured in the EPA Producer E</w:t>
      </w:r>
      <w:r w:rsidRPr="00F64BEC">
        <w:rPr>
          <w:rFonts w:ascii="Times New Roman" w:hAnsi="Times New Roman"/>
        </w:rPr>
        <w:t>st</w:t>
      </w:r>
      <w:r>
        <w:rPr>
          <w:rFonts w:ascii="Times New Roman" w:hAnsi="Times New Roman"/>
        </w:rPr>
        <w:t>ablishment Number</w:t>
      </w:r>
      <w:r w:rsidRPr="00F64BEC">
        <w:rPr>
          <w:rFonts w:ascii="Times New Roman" w:hAnsi="Times New Roman"/>
        </w:rPr>
        <w:t>.</w:t>
      </w:r>
      <w:r>
        <w:rPr>
          <w:rFonts w:ascii="Times New Roman" w:hAnsi="Times New Roman"/>
        </w:rPr>
        <w:t xml:space="preserve"> The definition of the country of origin provided by EPA is harmonized with </w:t>
      </w:r>
      <w:r w:rsidR="005C7CB6">
        <w:rPr>
          <w:rFonts w:ascii="Times New Roman" w:hAnsi="Times New Roman"/>
        </w:rPr>
        <w:t>Custom</w:t>
      </w:r>
      <w:r>
        <w:rPr>
          <w:rFonts w:ascii="Times New Roman" w:hAnsi="Times New Roman"/>
        </w:rPr>
        <w:t xml:space="preserve">s definition. Under 19 CFR 134.1(b), </w:t>
      </w:r>
      <w:r w:rsidRPr="00C248B5">
        <w:rPr>
          <w:rFonts w:ascii="Times New Roman" w:hAnsi="Times New Roman"/>
        </w:rPr>
        <w:t xml:space="preserve"> </w:t>
      </w:r>
      <w:r w:rsidR="005C7CB6">
        <w:rPr>
          <w:rFonts w:ascii="Times New Roman" w:hAnsi="Times New Roman"/>
        </w:rPr>
        <w:t>Customs</w:t>
      </w:r>
      <w:r>
        <w:rPr>
          <w:rFonts w:ascii="Times New Roman" w:hAnsi="Times New Roman"/>
        </w:rPr>
        <w:t xml:space="preserve"> definition of country of origin states </w:t>
      </w:r>
      <w:r w:rsidRPr="00C248B5">
        <w:rPr>
          <w:rFonts w:ascii="Times New Roman" w:hAnsi="Times New Roman"/>
        </w:rPr>
        <w:t>in part “</w:t>
      </w:r>
      <w:r>
        <w:rPr>
          <w:rFonts w:ascii="Times New Roman" w:hAnsi="Times New Roman"/>
        </w:rPr>
        <w:t xml:space="preserve">Country of origin means </w:t>
      </w:r>
      <w:r w:rsidRPr="00C248B5">
        <w:rPr>
          <w:rFonts w:ascii="Times New Roman" w:hAnsi="Times New Roman"/>
        </w:rPr>
        <w:t>the country of manufacture, production, or growth of any article of foreign origin entering the U.S.</w:t>
      </w:r>
      <w:r w:rsidRPr="00943FF5">
        <w:rPr>
          <w:rFonts w:ascii="Times New Roman" w:hAnsi="Times New Roman"/>
        </w:rPr>
        <w:t>”</w:t>
      </w:r>
      <w:r>
        <w:rPr>
          <w:rFonts w:ascii="Times New Roman" w:hAnsi="Times New Roman"/>
        </w:rPr>
        <w:t xml:space="preserve"> EPA’s definition for the country of origin reads “</w:t>
      </w:r>
      <w:r w:rsidRPr="00D1277D">
        <w:rPr>
          <w:rFonts w:ascii="Times New Roman" w:hAnsi="Times New Roman"/>
        </w:rPr>
        <w:t>The country of manufacture, production, or formulation of the pesticide or device of foreign ori</w:t>
      </w:r>
      <w:r>
        <w:rPr>
          <w:rFonts w:ascii="Times New Roman" w:hAnsi="Times New Roman"/>
        </w:rPr>
        <w:t xml:space="preserve">gin entering the United States.”  The </w:t>
      </w:r>
      <w:r w:rsidRPr="00D307C7">
        <w:rPr>
          <w:rFonts w:ascii="Times New Roman" w:hAnsi="Times New Roman"/>
        </w:rPr>
        <w:t>EPA Producer Establ</w:t>
      </w:r>
      <w:r>
        <w:rPr>
          <w:rFonts w:ascii="Times New Roman" w:hAnsi="Times New Roman"/>
        </w:rPr>
        <w:t>ishment Number</w:t>
      </w:r>
      <w:r w:rsidRPr="00311ADF">
        <w:rPr>
          <w:rFonts w:ascii="Times New Roman" w:hAnsi="Times New Roman"/>
        </w:rPr>
        <w:t xml:space="preserve"> </w:t>
      </w:r>
      <w:r>
        <w:rPr>
          <w:rFonts w:ascii="Times New Roman" w:hAnsi="Times New Roman"/>
        </w:rPr>
        <w:t xml:space="preserve">and the </w:t>
      </w:r>
      <w:r w:rsidR="005C7CB6">
        <w:rPr>
          <w:rFonts w:ascii="Times New Roman" w:hAnsi="Times New Roman"/>
        </w:rPr>
        <w:t>c</w:t>
      </w:r>
      <w:r>
        <w:rPr>
          <w:rFonts w:ascii="Times New Roman" w:hAnsi="Times New Roman"/>
        </w:rPr>
        <w:t>ountry of origin</w:t>
      </w:r>
      <w:r w:rsidRPr="00D307C7">
        <w:rPr>
          <w:rFonts w:ascii="Times New Roman" w:hAnsi="Times New Roman"/>
        </w:rPr>
        <w:t xml:space="preserve"> </w:t>
      </w:r>
      <w:r>
        <w:rPr>
          <w:rFonts w:ascii="Times New Roman" w:hAnsi="Times New Roman"/>
        </w:rPr>
        <w:t xml:space="preserve">do not have the same definition. On the product label, the EPA Producer Establishment Number </w:t>
      </w:r>
      <w:r w:rsidRPr="00D307C7">
        <w:rPr>
          <w:rFonts w:ascii="Times New Roman" w:hAnsi="Times New Roman"/>
        </w:rPr>
        <w:t xml:space="preserve">is the final establishment where the product was produced prior to shipment to the U.S. </w:t>
      </w:r>
      <w:r>
        <w:rPr>
          <w:rFonts w:ascii="Times New Roman" w:hAnsi="Times New Roman"/>
        </w:rPr>
        <w:t>The country of origin represents the country where the product was first produced. Thus,</w:t>
      </w:r>
      <w:r w:rsidR="004330F1">
        <w:rPr>
          <w:rFonts w:ascii="Times New Roman" w:hAnsi="Times New Roman"/>
        </w:rPr>
        <w:t xml:space="preserve"> the</w:t>
      </w:r>
      <w:r w:rsidRPr="00F64BEC">
        <w:rPr>
          <w:rFonts w:ascii="Times New Roman" w:hAnsi="Times New Roman"/>
        </w:rPr>
        <w:t xml:space="preserve"> country of origin may be, but is not necessarily captured by</w:t>
      </w:r>
      <w:r>
        <w:rPr>
          <w:rFonts w:ascii="Times New Roman" w:hAnsi="Times New Roman"/>
        </w:rPr>
        <w:t>,</w:t>
      </w:r>
      <w:r w:rsidRPr="00F64BEC">
        <w:rPr>
          <w:rFonts w:ascii="Times New Roman" w:hAnsi="Times New Roman"/>
        </w:rPr>
        <w:t xml:space="preserve"> the EPA </w:t>
      </w:r>
      <w:r w:rsidR="003D048E">
        <w:rPr>
          <w:rFonts w:ascii="Times New Roman" w:hAnsi="Times New Roman"/>
        </w:rPr>
        <w:t>Producer Establishment Number</w:t>
      </w:r>
      <w:r>
        <w:rPr>
          <w:rFonts w:ascii="Times New Roman" w:hAnsi="Times New Roman"/>
        </w:rPr>
        <w:t>.</w:t>
      </w:r>
      <w:r w:rsidRPr="00F64BEC">
        <w:rPr>
          <w:rFonts w:ascii="Times New Roman" w:hAnsi="Times New Roman"/>
        </w:rPr>
        <w:t xml:space="preserve"> </w:t>
      </w:r>
    </w:p>
    <w:p w:rsidR="001F21C5" w:rsidRDefault="001F21C5" w:rsidP="001F21C5">
      <w:pPr>
        <w:rPr>
          <w:rFonts w:ascii="Times New Roman" w:hAnsi="Times New Roman"/>
          <w:b/>
        </w:rPr>
      </w:pPr>
    </w:p>
    <w:p w:rsidR="001F21C5" w:rsidRPr="004D63B4" w:rsidRDefault="001F21C5" w:rsidP="001F21C5">
      <w:pPr>
        <w:pStyle w:val="Default"/>
        <w:rPr>
          <w:rFonts w:ascii="Times New Roman" w:hAnsi="Times New Roman" w:cs="Times New Roman"/>
        </w:rPr>
      </w:pPr>
      <w:r>
        <w:rPr>
          <w:rFonts w:ascii="Times New Roman" w:hAnsi="Times New Roman" w:cs="Times New Roman"/>
          <w:b/>
        </w:rPr>
        <w:tab/>
      </w:r>
      <w:r w:rsidRPr="00C248B5">
        <w:rPr>
          <w:rFonts w:ascii="Times New Roman" w:hAnsi="Times New Roman" w:cs="Times New Roman"/>
        </w:rPr>
        <w:t>Bayer</w:t>
      </w:r>
      <w:r>
        <w:rPr>
          <w:rFonts w:ascii="Times New Roman" w:hAnsi="Times New Roman" w:cs="Times New Roman"/>
        </w:rPr>
        <w:t xml:space="preserve"> noted that it</w:t>
      </w:r>
      <w:r w:rsidRPr="00C248B5">
        <w:rPr>
          <w:rFonts w:ascii="Times New Roman" w:hAnsi="Times New Roman" w:cs="Times New Roman"/>
        </w:rPr>
        <w:t xml:space="preserve"> can provide entry numbers for shipments</w:t>
      </w:r>
      <w:r>
        <w:rPr>
          <w:rFonts w:ascii="Times New Roman" w:hAnsi="Times New Roman" w:cs="Times New Roman"/>
        </w:rPr>
        <w:t xml:space="preserve"> (block 14)</w:t>
      </w:r>
      <w:r w:rsidRPr="00C248B5">
        <w:rPr>
          <w:rFonts w:ascii="Times New Roman" w:hAnsi="Times New Roman" w:cs="Times New Roman"/>
        </w:rPr>
        <w:t>, but the presence of this field a</w:t>
      </w:r>
      <w:r w:rsidR="004330F1">
        <w:rPr>
          <w:rFonts w:ascii="Times New Roman" w:hAnsi="Times New Roman" w:cs="Times New Roman"/>
        </w:rPr>
        <w:t>s a required element of EPA F</w:t>
      </w:r>
      <w:r w:rsidRPr="00C248B5">
        <w:rPr>
          <w:rFonts w:ascii="Times New Roman" w:hAnsi="Times New Roman" w:cs="Times New Roman"/>
        </w:rPr>
        <w:t xml:space="preserve">orm </w:t>
      </w:r>
      <w:r w:rsidR="004330F1">
        <w:rPr>
          <w:rFonts w:ascii="Times New Roman" w:hAnsi="Times New Roman" w:cs="Times New Roman"/>
        </w:rPr>
        <w:t xml:space="preserve">3540-1 </w:t>
      </w:r>
      <w:r w:rsidRPr="00C248B5">
        <w:rPr>
          <w:rFonts w:ascii="Times New Roman" w:hAnsi="Times New Roman" w:cs="Times New Roman"/>
        </w:rPr>
        <w:t xml:space="preserve">creates certain challenges in timing of submission to </w:t>
      </w:r>
      <w:r>
        <w:rPr>
          <w:rFonts w:ascii="Times New Roman" w:hAnsi="Times New Roman" w:cs="Times New Roman"/>
        </w:rPr>
        <w:t>EPA</w:t>
      </w:r>
      <w:r w:rsidRPr="00C248B5">
        <w:rPr>
          <w:rFonts w:ascii="Times New Roman" w:hAnsi="Times New Roman" w:cs="Times New Roman"/>
        </w:rPr>
        <w:t xml:space="preserve">. </w:t>
      </w:r>
      <w:r>
        <w:rPr>
          <w:rFonts w:ascii="Times New Roman" w:hAnsi="Times New Roman" w:cs="Times New Roman"/>
        </w:rPr>
        <w:t xml:space="preserve"> Bayer also noted that</w:t>
      </w:r>
      <w:r w:rsidRPr="004D63B4">
        <w:rPr>
          <w:rFonts w:ascii="Times New Roman" w:hAnsi="Times New Roman" w:cs="Times New Roman"/>
        </w:rPr>
        <w:t xml:space="preserve"> some research and development compounds are shipped in such small quantities that they qualify for customs free entry into the United States, and therefore no entry number would be needed. Making this field required under these circumstances could create an u</w:t>
      </w:r>
      <w:r w:rsidR="004330F1">
        <w:rPr>
          <w:rFonts w:ascii="Times New Roman" w:hAnsi="Times New Roman" w:cs="Times New Roman"/>
        </w:rPr>
        <w:t xml:space="preserve">nresolvable data gap in the </w:t>
      </w:r>
      <w:r w:rsidRPr="004D63B4">
        <w:rPr>
          <w:rFonts w:ascii="Times New Roman" w:hAnsi="Times New Roman" w:cs="Times New Roman"/>
        </w:rPr>
        <w:t xml:space="preserve">form. </w:t>
      </w:r>
      <w:r>
        <w:rPr>
          <w:rFonts w:ascii="Times New Roman" w:hAnsi="Times New Roman" w:cs="Times New Roman"/>
        </w:rPr>
        <w:t>EPA recommends that all applicable blocks on the NOA form be completed when submitting the form to EPA. The entry number is the primary date element that allows EPA to identify and communicate with Customs about a specific shipment. E</w:t>
      </w:r>
      <w:r w:rsidR="004330F1">
        <w:rPr>
          <w:rFonts w:ascii="Times New Roman" w:hAnsi="Times New Roman" w:cs="Times New Roman"/>
        </w:rPr>
        <w:t>PA will consider incomplete forms</w:t>
      </w:r>
      <w:r>
        <w:rPr>
          <w:rFonts w:ascii="Times New Roman" w:hAnsi="Times New Roman" w:cs="Times New Roman"/>
        </w:rPr>
        <w:t xml:space="preserve"> and resolve data gaps on a case-by-case basis. </w:t>
      </w:r>
    </w:p>
    <w:p w:rsidR="001F21C5" w:rsidRDefault="001F21C5" w:rsidP="001F21C5">
      <w:pPr>
        <w:rPr>
          <w:rFonts w:ascii="Times New Roman" w:hAnsi="Times New Roman"/>
          <w:b/>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Bayer believes t</w:t>
      </w:r>
      <w:r w:rsidR="004330F1">
        <w:rPr>
          <w:rFonts w:ascii="Times New Roman" w:hAnsi="Times New Roman"/>
        </w:rPr>
        <w:t>hat all data contained on EPA Form 3540-1</w:t>
      </w:r>
      <w:r w:rsidRPr="00F64BEC">
        <w:rPr>
          <w:rFonts w:ascii="Times New Roman" w:hAnsi="Times New Roman"/>
        </w:rPr>
        <w:t xml:space="preserve"> should be considered confidential and covered by confidentiality provisions of FIFRA with the exceptions of the information provided in blocks 4,5, 6 &amp; 7. </w:t>
      </w:r>
      <w:r>
        <w:rPr>
          <w:rFonts w:ascii="Times New Roman" w:hAnsi="Times New Roman"/>
        </w:rPr>
        <w:t xml:space="preserve"> EPA notes that a</w:t>
      </w:r>
      <w:r w:rsidRPr="00F64BEC">
        <w:rPr>
          <w:rFonts w:ascii="Times New Roman" w:hAnsi="Times New Roman"/>
        </w:rPr>
        <w:t>ll the</w:t>
      </w:r>
      <w:r w:rsidR="004330F1">
        <w:rPr>
          <w:rFonts w:ascii="Times New Roman" w:hAnsi="Times New Roman"/>
        </w:rPr>
        <w:t xml:space="preserve"> information provided on the form</w:t>
      </w:r>
      <w:r w:rsidRPr="00F64BEC">
        <w:rPr>
          <w:rFonts w:ascii="Times New Roman" w:hAnsi="Times New Roman"/>
        </w:rPr>
        <w:t>, with the exception of that in blocks 4, 5, 6, &amp;7, may be claimed as CBI by respondents</w:t>
      </w:r>
      <w:r>
        <w:rPr>
          <w:rFonts w:ascii="Times New Roman" w:hAnsi="Times New Roman"/>
        </w:rPr>
        <w:t>, and if claimed as such, would be covered by the confidentiality provisions of  FIFRA.  EPA</w:t>
      </w:r>
      <w:r w:rsidRPr="00F64BEC">
        <w:rPr>
          <w:rFonts w:ascii="Times New Roman" w:hAnsi="Times New Roman"/>
        </w:rPr>
        <w:t xml:space="preserve"> needs to know what information the respondent </w:t>
      </w:r>
      <w:r>
        <w:rPr>
          <w:rFonts w:ascii="Times New Roman" w:hAnsi="Times New Roman"/>
        </w:rPr>
        <w:t>is</w:t>
      </w:r>
      <w:r w:rsidRPr="00F64BEC">
        <w:rPr>
          <w:rFonts w:ascii="Times New Roman" w:hAnsi="Times New Roman"/>
        </w:rPr>
        <w:t xml:space="preserve"> claim</w:t>
      </w:r>
      <w:r>
        <w:rPr>
          <w:rFonts w:ascii="Times New Roman" w:hAnsi="Times New Roman"/>
        </w:rPr>
        <w:t xml:space="preserve">ing </w:t>
      </w:r>
      <w:r w:rsidRPr="00F64BEC">
        <w:rPr>
          <w:rFonts w:ascii="Times New Roman" w:hAnsi="Times New Roman"/>
        </w:rPr>
        <w:t>as CBI.</w:t>
      </w:r>
      <w:r>
        <w:rPr>
          <w:rFonts w:ascii="Times New Roman" w:hAnsi="Times New Roman"/>
        </w:rPr>
        <w:t xml:space="preserve"> </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believes that the current requirement to indicate clearly </w:t>
      </w:r>
      <w:r>
        <w:rPr>
          <w:rFonts w:ascii="Times New Roman" w:hAnsi="Times New Roman"/>
        </w:rPr>
        <w:t xml:space="preserve">in block 16 </w:t>
      </w:r>
      <w:r w:rsidRPr="00F64BEC">
        <w:rPr>
          <w:rFonts w:ascii="Times New Roman" w:hAnsi="Times New Roman"/>
        </w:rPr>
        <w:t xml:space="preserve">what information is </w:t>
      </w:r>
      <w:r>
        <w:rPr>
          <w:rFonts w:ascii="Times New Roman" w:hAnsi="Times New Roman"/>
        </w:rPr>
        <w:t xml:space="preserve">to be considered </w:t>
      </w:r>
      <w:r w:rsidRPr="00F64BEC">
        <w:rPr>
          <w:rFonts w:ascii="Times New Roman" w:hAnsi="Times New Roman"/>
        </w:rPr>
        <w:t>CBI provides respondents with flexibility in making CBI claims.</w:t>
      </w:r>
    </w:p>
    <w:p w:rsidR="001F21C5" w:rsidRPr="00F64BEC"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 xml:space="preserve">Bayer asked </w:t>
      </w:r>
      <w:r>
        <w:rPr>
          <w:rFonts w:ascii="Times New Roman" w:hAnsi="Times New Roman"/>
        </w:rPr>
        <w:t>EPA</w:t>
      </w:r>
      <w:r w:rsidRPr="00F64BEC">
        <w:rPr>
          <w:rFonts w:ascii="Times New Roman" w:hAnsi="Times New Roman"/>
        </w:rPr>
        <w:t xml:space="preserve"> to clarify whether the EPA Est</w:t>
      </w:r>
      <w:r>
        <w:rPr>
          <w:rFonts w:ascii="Times New Roman" w:hAnsi="Times New Roman"/>
        </w:rPr>
        <w:t>ablishment Number</w:t>
      </w:r>
      <w:r w:rsidRPr="00F64BEC">
        <w:rPr>
          <w:rFonts w:ascii="Times New Roman" w:hAnsi="Times New Roman"/>
        </w:rPr>
        <w:t xml:space="preserve"> is required for movement of unregistered pesticides between establishments operated by different producers.  </w:t>
      </w:r>
      <w:r>
        <w:rPr>
          <w:rFonts w:ascii="Times New Roman" w:hAnsi="Times New Roman"/>
        </w:rPr>
        <w:t>EPA agrees with the need for clarification. EPA will revise the instructions for block 17 from:</w:t>
      </w:r>
    </w:p>
    <w:p w:rsidR="001F21C5" w:rsidRPr="002A2227" w:rsidRDefault="001F21C5" w:rsidP="001F21C5">
      <w:pPr>
        <w:rPr>
          <w:rFonts w:ascii="Times New Roman" w:hAnsi="Times New Roman"/>
          <w:b/>
        </w:rPr>
      </w:pPr>
      <w:r w:rsidRPr="00F64BEC">
        <w:rPr>
          <w:rFonts w:ascii="Times New Roman" w:hAnsi="Times New Roman"/>
          <w:b/>
        </w:rPr>
        <w:t xml:space="preserve"> </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producer, enter the EPA establishment number for importing registered establishment.” </w:t>
      </w:r>
    </w:p>
    <w:p w:rsidR="001F21C5" w:rsidRPr="00F64BEC" w:rsidRDefault="001F21C5" w:rsidP="001F21C5">
      <w:pPr>
        <w:rPr>
          <w:rFonts w:ascii="Times New Roman" w:hAnsi="Times New Roman"/>
          <w:b/>
          <w:bCs/>
        </w:rPr>
      </w:pPr>
    </w:p>
    <w:p w:rsidR="001F21C5" w:rsidRPr="00F64BEC" w:rsidRDefault="001F21C5" w:rsidP="001F21C5">
      <w:pPr>
        <w:rPr>
          <w:rFonts w:ascii="Times New Roman" w:hAnsi="Times New Roman"/>
          <w:b/>
        </w:rPr>
      </w:pPr>
      <w:r>
        <w:rPr>
          <w:rFonts w:ascii="Times New Roman" w:hAnsi="Times New Roman"/>
        </w:rPr>
        <w:t>to:</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or different producer(s), enter the EPA establishment number for importing registered establishment.” </w:t>
      </w:r>
    </w:p>
    <w:p w:rsidR="001F21C5" w:rsidRPr="00F64BEC" w:rsidRDefault="001F21C5" w:rsidP="001F21C5">
      <w:pPr>
        <w:rPr>
          <w:rFonts w:ascii="Times New Roman" w:hAnsi="Times New Roman"/>
        </w:rPr>
      </w:pPr>
    </w:p>
    <w:p w:rsidR="001F21C5" w:rsidRPr="002A2227" w:rsidRDefault="001F21C5" w:rsidP="001F21C5">
      <w:pPr>
        <w:rPr>
          <w:rFonts w:ascii="Times New Roman" w:hAnsi="Times New Roman"/>
        </w:rPr>
      </w:pPr>
      <w:r>
        <w:rPr>
          <w:rFonts w:ascii="Times New Roman" w:hAnsi="Times New Roman"/>
          <w:b/>
        </w:rPr>
        <w:tab/>
      </w:r>
      <w:r>
        <w:rPr>
          <w:rFonts w:ascii="Times New Roman" w:hAnsi="Times New Roman"/>
        </w:rPr>
        <w:t>Bayer asked EPA to</w:t>
      </w:r>
      <w:r w:rsidRPr="00F64BEC">
        <w:rPr>
          <w:rFonts w:ascii="Times New Roman" w:hAnsi="Times New Roman"/>
        </w:rPr>
        <w:t xml:space="preserve"> give consideration to capital investm</w:t>
      </w:r>
      <w:r w:rsidR="004330F1">
        <w:rPr>
          <w:rFonts w:ascii="Times New Roman" w:hAnsi="Times New Roman"/>
        </w:rPr>
        <w:t>ents made to comply with the notice of arrival</w:t>
      </w:r>
      <w:r w:rsidRPr="00F64BEC">
        <w:rPr>
          <w:rFonts w:ascii="Times New Roman" w:hAnsi="Times New Roman"/>
        </w:rPr>
        <w:t xml:space="preserve"> requirement, and should include information considering potential impacts on commerce and business as a result of delays in shipment from resolving issues arising in the NOA process.</w:t>
      </w:r>
      <w:r>
        <w:rPr>
          <w:rFonts w:ascii="Times New Roman" w:hAnsi="Times New Roman"/>
        </w:rPr>
        <w:t xml:space="preserve"> </w:t>
      </w:r>
      <w:r w:rsidRPr="007C26A8">
        <w:rPr>
          <w:rFonts w:ascii="Times New Roman" w:hAnsi="Times New Roman"/>
        </w:rPr>
        <w:t>EPA Form 3540-1 is available as a pdf document, and can be completed, printed, and stored using office technology and technology systems that are required for the routine and usual functioning of a company.</w:t>
      </w:r>
      <w:r>
        <w:rPr>
          <w:rFonts w:ascii="Times New Roman" w:hAnsi="Times New Roman"/>
          <w:color w:val="000000"/>
        </w:rPr>
        <w:t xml:space="preserve">  In addition, this ICR renewal does not require new capital investments to acquire and install new systems.</w:t>
      </w:r>
      <w:r>
        <w:rPr>
          <w:rFonts w:ascii="Times New Roman" w:hAnsi="Times New Roman"/>
        </w:rPr>
        <w:t xml:space="preserve"> </w:t>
      </w:r>
      <w:r>
        <w:rPr>
          <w:rFonts w:ascii="Times New Roman" w:hAnsi="Times New Roman"/>
          <w:color w:val="000000"/>
        </w:rPr>
        <w:t>With regards to impacts on commerce and business as a result of delays in shipment from resolving issues arising in the NOA review process, EPA acknowledges that these are real costs associated with the regulation of the importation of pesticides.  EPA makes every effort to resolve issues in a timely and efficient manner.  Costs incurred during the review process, however, are not part of the burden of collecting, generating, or providing information that is the subject of this ICR.</w:t>
      </w:r>
    </w:p>
    <w:p w:rsidR="001F21C5" w:rsidRPr="00F64BEC"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F64BEC">
        <w:rPr>
          <w:rFonts w:ascii="Times New Roman" w:hAnsi="Times New Roman"/>
        </w:rPr>
        <w:t>Bayer</w:t>
      </w:r>
      <w:r>
        <w:rPr>
          <w:rFonts w:ascii="Times New Roman" w:hAnsi="Times New Roman"/>
        </w:rPr>
        <w:t xml:space="preserve"> also</w:t>
      </w:r>
      <w:r w:rsidRPr="00F64BEC">
        <w:rPr>
          <w:rFonts w:ascii="Times New Roman" w:hAnsi="Times New Roman"/>
        </w:rPr>
        <w:t xml:space="preserve"> noted that, in its experience, the submission of supportin</w:t>
      </w:r>
      <w:r w:rsidR="004330F1">
        <w:rPr>
          <w:rFonts w:ascii="Times New Roman" w:hAnsi="Times New Roman"/>
        </w:rPr>
        <w:t>g information along with the EPA Form 3540-1</w:t>
      </w:r>
      <w:r w:rsidRPr="00F64BEC">
        <w:rPr>
          <w:rFonts w:ascii="Times New Roman" w:hAnsi="Times New Roman"/>
        </w:rPr>
        <w:t xml:space="preserve"> is not voluntary. Bayer noted that documentation requests for supporting information are inconsistent between EPA regions, are time consuming and can lead to addition</w:t>
      </w:r>
      <w:r w:rsidR="004330F1">
        <w:rPr>
          <w:rFonts w:ascii="Times New Roman" w:hAnsi="Times New Roman"/>
        </w:rPr>
        <w:t>al delays or issues with the notice of arrival review</w:t>
      </w:r>
      <w:r w:rsidRPr="00F64BEC">
        <w:rPr>
          <w:rFonts w:ascii="Times New Roman" w:hAnsi="Times New Roman"/>
        </w:rPr>
        <w:t xml:space="preserve"> process </w:t>
      </w:r>
      <w:r w:rsidR="004330F1">
        <w:rPr>
          <w:rFonts w:ascii="Times New Roman" w:hAnsi="Times New Roman"/>
        </w:rPr>
        <w:t>for reasons unrelated to the notice of arrival</w:t>
      </w:r>
      <w:r w:rsidRPr="00F64BEC">
        <w:rPr>
          <w:rFonts w:ascii="Times New Roman" w:hAnsi="Times New Roman"/>
        </w:rPr>
        <w:t xml:space="preserve"> or human health and safety. </w:t>
      </w:r>
      <w:r w:rsidRPr="00FB627F">
        <w:rPr>
          <w:rFonts w:ascii="Times New Roman" w:hAnsi="Times New Roman"/>
        </w:rPr>
        <w:t>Bayer would ask that if such practices are to be normal that they not be given a “voluntary” designation but rather be officially incorporated and</w:t>
      </w:r>
      <w:r w:rsidR="004330F1">
        <w:rPr>
          <w:rFonts w:ascii="Times New Roman" w:hAnsi="Times New Roman"/>
        </w:rPr>
        <w:t xml:space="preserve"> standardized as part of the notice of arrival</w:t>
      </w:r>
      <w:r w:rsidRPr="00FB627F">
        <w:rPr>
          <w:rFonts w:ascii="Times New Roman" w:hAnsi="Times New Roman"/>
        </w:rPr>
        <w:t xml:space="preserve"> process.</w:t>
      </w:r>
      <w:r>
        <w:rPr>
          <w:rFonts w:ascii="Times New Roman" w:hAnsi="Times New Roman"/>
        </w:rPr>
        <w:t xml:space="preserve"> </w:t>
      </w:r>
      <w:r w:rsidR="007F54C6">
        <w:rPr>
          <w:rFonts w:ascii="Times New Roman" w:hAnsi="Times New Roman"/>
        </w:rPr>
        <w:t>In its response to Bayer, EPA noted that a</w:t>
      </w:r>
      <w:r>
        <w:rPr>
          <w:rFonts w:ascii="Times New Roman" w:hAnsi="Times New Roman"/>
        </w:rPr>
        <w:t xml:space="preserve">lthough §17(c) provides authority for the U.S. Government to require companies to provide information that is necessary to ensure that a pesticide shipment is in compliance with FIFRA, consistent with the purposes of the Paperwork Reduction Act, information should only be requested when needed. Supporting information is needed in some cases and not others.  </w:t>
      </w:r>
      <w:r w:rsidRPr="00F64BEC">
        <w:rPr>
          <w:rFonts w:ascii="Times New Roman" w:hAnsi="Times New Roman"/>
        </w:rPr>
        <w:t>Th</w:t>
      </w:r>
      <w:r>
        <w:rPr>
          <w:rFonts w:ascii="Times New Roman" w:hAnsi="Times New Roman"/>
        </w:rPr>
        <w:t>e</w:t>
      </w:r>
      <w:r w:rsidRPr="00F64BEC">
        <w:rPr>
          <w:rFonts w:ascii="Times New Roman" w:hAnsi="Times New Roman"/>
        </w:rPr>
        <w:t xml:space="preserve"> recommendation</w:t>
      </w:r>
      <w:r>
        <w:rPr>
          <w:rFonts w:ascii="Times New Roman" w:hAnsi="Times New Roman"/>
        </w:rPr>
        <w:t xml:space="preserve"> to provide the supp</w:t>
      </w:r>
      <w:r w:rsidR="004330F1">
        <w:rPr>
          <w:rFonts w:ascii="Times New Roman" w:hAnsi="Times New Roman"/>
        </w:rPr>
        <w:t xml:space="preserve">orting information with EPA Form 3540-1 </w:t>
      </w:r>
      <w:r>
        <w:rPr>
          <w:rFonts w:ascii="Times New Roman" w:hAnsi="Times New Roman"/>
        </w:rPr>
        <w:t>prior to arrival</w:t>
      </w:r>
      <w:r w:rsidRPr="00F64BEC">
        <w:rPr>
          <w:rFonts w:ascii="Times New Roman" w:hAnsi="Times New Roman"/>
        </w:rPr>
        <w:t xml:space="preserve"> is based on EPA’s experience that</w:t>
      </w:r>
      <w:r>
        <w:rPr>
          <w:rFonts w:ascii="Times New Roman" w:hAnsi="Times New Roman"/>
        </w:rPr>
        <w:t xml:space="preserve"> importers have learned that supplying</w:t>
      </w:r>
      <w:r w:rsidRPr="00F64BEC">
        <w:rPr>
          <w:rFonts w:ascii="Times New Roman" w:hAnsi="Times New Roman"/>
        </w:rPr>
        <w:t xml:space="preserve"> supporting information exp</w:t>
      </w:r>
      <w:r w:rsidR="004330F1">
        <w:rPr>
          <w:rFonts w:ascii="Times New Roman" w:hAnsi="Times New Roman"/>
        </w:rPr>
        <w:t xml:space="preserve">edites the notice of arrival </w:t>
      </w:r>
      <w:r>
        <w:rPr>
          <w:rFonts w:ascii="Times New Roman" w:hAnsi="Times New Roman"/>
        </w:rPr>
        <w:t>review process.  The decision to request supporti</w:t>
      </w:r>
      <w:r w:rsidR="004330F1">
        <w:rPr>
          <w:rFonts w:ascii="Times New Roman" w:hAnsi="Times New Roman"/>
        </w:rPr>
        <w:t>ng information</w:t>
      </w:r>
      <w:r>
        <w:rPr>
          <w:rFonts w:ascii="Times New Roman" w:hAnsi="Times New Roman"/>
        </w:rPr>
        <w:t xml:space="preserve"> for an imported pesticide, if the information not provided voluntarily by the importer, is made on a case-by-case basis by the regional office, depending on the unique circumstances of surrounding the importation of the pesticide product.  If an importer believes that it is more efficient to routinely submit supporting information, that company may incorporate such submission into its standard business operations without necessity of a Government requirement.</w:t>
      </w:r>
    </w:p>
    <w:p w:rsidR="007F54C6" w:rsidRDefault="007F54C6" w:rsidP="001F21C5">
      <w:pPr>
        <w:rPr>
          <w:rFonts w:ascii="Times New Roman" w:hAnsi="Times New Roman"/>
        </w:rPr>
      </w:pPr>
    </w:p>
    <w:p w:rsidR="007F54C6" w:rsidRDefault="007F54C6" w:rsidP="007F54C6">
      <w:pPr>
        <w:rPr>
          <w:rFonts w:ascii="Times New Roman" w:hAnsi="Times New Roman"/>
        </w:rPr>
      </w:pPr>
      <w:r>
        <w:rPr>
          <w:rFonts w:ascii="Times New Roman" w:hAnsi="Times New Roman"/>
        </w:rPr>
        <w:tab/>
        <w:t xml:space="preserve">EPA has since re-considered Bayer’s comment. As stated above, the agency maintains that information should only be requested when needed. </w:t>
      </w:r>
      <w:r w:rsidR="00CE255F">
        <w:rPr>
          <w:rFonts w:ascii="Times New Roman" w:hAnsi="Times New Roman"/>
        </w:rPr>
        <w:t>In practice, a copy of the</w:t>
      </w:r>
      <w:r>
        <w:rPr>
          <w:rFonts w:ascii="Times New Roman" w:hAnsi="Times New Roman"/>
        </w:rPr>
        <w:t xml:space="preserve"> product label </w:t>
      </w:r>
      <w:r w:rsidR="00CE255F">
        <w:rPr>
          <w:rFonts w:ascii="Times New Roman" w:hAnsi="Times New Roman"/>
        </w:rPr>
        <w:t xml:space="preserve">submitted by the importer </w:t>
      </w:r>
      <w:r>
        <w:rPr>
          <w:rFonts w:ascii="Times New Roman" w:hAnsi="Times New Roman"/>
        </w:rPr>
        <w:t>is routinely reviewed by regional staff as part of the notice of arrival process</w:t>
      </w:r>
      <w:r w:rsidR="00CE255F">
        <w:rPr>
          <w:rFonts w:ascii="Times New Roman" w:hAnsi="Times New Roman"/>
        </w:rPr>
        <w:t>;</w:t>
      </w:r>
      <w:r>
        <w:rPr>
          <w:rFonts w:ascii="Times New Roman" w:hAnsi="Times New Roman"/>
        </w:rPr>
        <w:t xml:space="preserve"> the label</w:t>
      </w:r>
      <w:r w:rsidR="00CE255F">
        <w:rPr>
          <w:rFonts w:ascii="Times New Roman" w:hAnsi="Times New Roman"/>
        </w:rPr>
        <w:t>, however,</w:t>
      </w:r>
      <w:r>
        <w:rPr>
          <w:rFonts w:ascii="Times New Roman" w:hAnsi="Times New Roman"/>
        </w:rPr>
        <w:t xml:space="preserve"> is not reviewed in every instance. The agency also recognizes that it may be more efficient for importers to submit the label with the NOA, rather than supply the label later in the review process upon receiving a request from EPA. Hence, EPA is including the label as a </w:t>
      </w:r>
      <w:r w:rsidR="00455751">
        <w:rPr>
          <w:rFonts w:ascii="Times New Roman" w:hAnsi="Times New Roman"/>
        </w:rPr>
        <w:t xml:space="preserve">recommended </w:t>
      </w:r>
      <w:r>
        <w:rPr>
          <w:rFonts w:ascii="Times New Roman" w:hAnsi="Times New Roman"/>
        </w:rPr>
        <w:t xml:space="preserve">data item in the </w:t>
      </w:r>
      <w:r w:rsidR="00455751">
        <w:rPr>
          <w:rFonts w:ascii="Times New Roman" w:hAnsi="Times New Roman"/>
        </w:rPr>
        <w:t>standard</w:t>
      </w:r>
      <w:r>
        <w:rPr>
          <w:rFonts w:ascii="Times New Roman" w:hAnsi="Times New Roman"/>
        </w:rPr>
        <w:t xml:space="preserve"> NOA package and accounting for the respondent burden of submitting the label to EPA as part of current practice.</w:t>
      </w:r>
    </w:p>
    <w:p w:rsidR="007F54C6" w:rsidRPr="00C0504A" w:rsidRDefault="007F54C6" w:rsidP="001F21C5">
      <w:pPr>
        <w:rPr>
          <w:rFonts w:ascii="Times New Roman" w:hAnsi="Times New Roman"/>
        </w:rPr>
      </w:pPr>
    </w:p>
    <w:p w:rsidR="001F21C5" w:rsidRPr="00C0504A" w:rsidRDefault="001F21C5" w:rsidP="00274718">
      <w:pPr>
        <w:keepNext/>
        <w:widowControl/>
        <w:ind w:firstLine="720"/>
        <w:rPr>
          <w:rFonts w:ascii="Times New Roman" w:hAnsi="Times New Roman"/>
          <w:b/>
          <w:bCs/>
        </w:rPr>
      </w:pPr>
      <w:r w:rsidRPr="00BE7FD6">
        <w:rPr>
          <w:rFonts w:ascii="Times New Roman" w:hAnsi="Times New Roman"/>
          <w:b/>
          <w:bCs/>
        </w:rPr>
        <w:t>3(c) Consultations</w:t>
      </w:r>
    </w:p>
    <w:p w:rsidR="001F21C5" w:rsidRPr="00C0504A" w:rsidRDefault="001F21C5" w:rsidP="00274718">
      <w:pPr>
        <w:keepNext/>
        <w:widowControl/>
        <w:rPr>
          <w:rFonts w:ascii="Times New Roman" w:hAnsi="Times New Roman"/>
          <w:b/>
          <w:bCs/>
        </w:rPr>
      </w:pPr>
    </w:p>
    <w:p w:rsidR="001F21C5" w:rsidRDefault="001F21C5" w:rsidP="00274718">
      <w:pPr>
        <w:keepNext/>
        <w:widowControl/>
        <w:rPr>
          <w:rFonts w:ascii="Times New Roman" w:hAnsi="Times New Roman"/>
        </w:rPr>
      </w:pPr>
      <w:r w:rsidRPr="00BE7FD6">
        <w:rPr>
          <w:rFonts w:ascii="Times New Roman" w:hAnsi="Times New Roman"/>
        </w:rPr>
        <w:tab/>
      </w:r>
      <w:r w:rsidRPr="005C15B9">
        <w:rPr>
          <w:rFonts w:ascii="Times New Roman" w:hAnsi="Times New Roman"/>
        </w:rPr>
        <w:t>As part of preparation of this ICR renewal, EPA co</w:t>
      </w:r>
      <w:r>
        <w:rPr>
          <w:rFonts w:ascii="Times New Roman" w:hAnsi="Times New Roman"/>
        </w:rPr>
        <w:t>ntacted representatives from importers and brokers</w:t>
      </w:r>
      <w:r w:rsidRPr="005C15B9">
        <w:rPr>
          <w:rFonts w:ascii="Times New Roman" w:hAnsi="Times New Roman"/>
        </w:rPr>
        <w:t xml:space="preserve"> seekin</w:t>
      </w:r>
      <w:r w:rsidR="004330F1">
        <w:rPr>
          <w:rFonts w:ascii="Times New Roman" w:hAnsi="Times New Roman"/>
        </w:rPr>
        <w:t>g feedback on the notice of arrival</w:t>
      </w:r>
      <w:r w:rsidRPr="005C15B9">
        <w:rPr>
          <w:rFonts w:ascii="Times New Roman" w:hAnsi="Times New Roman"/>
        </w:rPr>
        <w:t xml:space="preserve"> information reporting requirements and processes</w:t>
      </w:r>
      <w:r>
        <w:rPr>
          <w:rFonts w:ascii="Times New Roman" w:hAnsi="Times New Roman"/>
        </w:rPr>
        <w:t>,</w:t>
      </w:r>
      <w:r w:rsidRPr="005C15B9">
        <w:rPr>
          <w:rFonts w:ascii="Times New Roman" w:hAnsi="Times New Roman"/>
        </w:rPr>
        <w:t xml:space="preserve"> as well as an assessment of the burden estim</w:t>
      </w:r>
      <w:r>
        <w:rPr>
          <w:rFonts w:ascii="Times New Roman" w:hAnsi="Times New Roman"/>
        </w:rPr>
        <w:t>ates associated with this information collection</w:t>
      </w:r>
      <w:r w:rsidRPr="005C15B9">
        <w:rPr>
          <w:rFonts w:ascii="Times New Roman" w:hAnsi="Times New Roman"/>
        </w:rPr>
        <w:t>.</w:t>
      </w:r>
      <w:r>
        <w:rPr>
          <w:rFonts w:ascii="Times New Roman" w:hAnsi="Times New Roman"/>
        </w:rPr>
        <w:t xml:space="preserve"> The list of companies that participated in the consultation process, and a summary of the consultations is provided in the docket for this action.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Regarding clarity of instructions, two representatives, </w:t>
      </w:r>
      <w:r w:rsidRPr="005C4840">
        <w:rPr>
          <w:rFonts w:ascii="Times New Roman" w:hAnsi="Times New Roman"/>
        </w:rPr>
        <w:t>Bayer and Syngenta,</w:t>
      </w:r>
      <w:r>
        <w:rPr>
          <w:rFonts w:ascii="Times New Roman" w:hAnsi="Times New Roman"/>
        </w:rPr>
        <w:t xml:space="preserve"> asked EPA to clarify the instructions for submitting EPA Form 3540-1 and for completing blocks on the form designated as self-explanatory. For this ICR Renewal, EPA has clarified the instructions for submitting the form and for completing all data elements. </w:t>
      </w:r>
    </w:p>
    <w:p w:rsidR="001F21C5" w:rsidRDefault="001F21C5" w:rsidP="001F21C5">
      <w:pPr>
        <w:rPr>
          <w:rFonts w:ascii="Times New Roman" w:hAnsi="Times New Roman"/>
        </w:rPr>
      </w:pPr>
      <w:r>
        <w:rPr>
          <w:rFonts w:ascii="Times New Roman" w:hAnsi="Times New Roman"/>
        </w:rPr>
        <w:t xml:space="preserve"> </w:t>
      </w:r>
    </w:p>
    <w:p w:rsidR="001F21C5" w:rsidRDefault="001F21C5" w:rsidP="001F21C5">
      <w:pPr>
        <w:widowControl/>
        <w:spacing w:after="240"/>
        <w:rPr>
          <w:rFonts w:ascii="Times New Roman" w:hAnsi="Times New Roman"/>
          <w:color w:val="000000"/>
        </w:rPr>
      </w:pPr>
      <w:r>
        <w:rPr>
          <w:rFonts w:ascii="Times New Roman" w:hAnsi="Times New Roman"/>
          <w:color w:val="000000"/>
        </w:rPr>
        <w:tab/>
        <w:t>In addition, Bayer asked EPA to provide direction on EPA Form 3540-1 regarding what should be done if the shipment is delayed or there i</w:t>
      </w:r>
      <w:r w:rsidR="004330F1">
        <w:rPr>
          <w:rFonts w:ascii="Times New Roman" w:hAnsi="Times New Roman"/>
          <w:color w:val="000000"/>
        </w:rPr>
        <w:t>s a carrier change after the form</w:t>
      </w:r>
      <w:r>
        <w:rPr>
          <w:rFonts w:ascii="Times New Roman" w:hAnsi="Times New Roman"/>
          <w:color w:val="000000"/>
        </w:rPr>
        <w:t xml:space="preserve"> has been filed and approved (and therefore the entry date or shipper is incorrect). Bayer also asked whether direction could be placed on the form as to how much advance notice EPA would like a form received </w:t>
      </w:r>
      <w:r w:rsidR="004330F1">
        <w:rPr>
          <w:rFonts w:ascii="Times New Roman" w:hAnsi="Times New Roman"/>
          <w:color w:val="000000"/>
        </w:rPr>
        <w:t>by. If the information on EPA Form 3540-1</w:t>
      </w:r>
      <w:r>
        <w:rPr>
          <w:rFonts w:ascii="Times New Roman" w:hAnsi="Times New Roman"/>
          <w:color w:val="000000"/>
        </w:rPr>
        <w:t xml:space="preserve"> changes after it has been submitted and approved, EPA recommends that the importer contact the Region having jurisdiction of the state/territory of the port of entry where the shipment will arrive. Further, EPA recommends </w:t>
      </w:r>
      <w:r w:rsidR="004330F1">
        <w:rPr>
          <w:rFonts w:ascii="Times New Roman" w:hAnsi="Times New Roman"/>
          <w:color w:val="000000"/>
        </w:rPr>
        <w:t>that the importer submit the form</w:t>
      </w:r>
      <w:r>
        <w:rPr>
          <w:rFonts w:ascii="Times New Roman" w:hAnsi="Times New Roman"/>
          <w:color w:val="000000"/>
        </w:rPr>
        <w:t xml:space="preserve"> prior to the arrival of the pesticide or device at the port of entry. EPA leaves the exact tim</w:t>
      </w:r>
      <w:r w:rsidR="004330F1">
        <w:rPr>
          <w:rFonts w:ascii="Times New Roman" w:hAnsi="Times New Roman"/>
          <w:color w:val="000000"/>
        </w:rPr>
        <w:t>ing of the submission of the notice of arrival</w:t>
      </w:r>
      <w:r>
        <w:rPr>
          <w:rFonts w:ascii="Times New Roman" w:hAnsi="Times New Roman"/>
          <w:color w:val="000000"/>
        </w:rPr>
        <w:t xml:space="preserve"> to the importer’s discretion. Syngenta asked for clarification on net quantities and units of measure requirements. Due to the variety of packaging, EPA provides importers with discretion when reporting net quantities and units of measu</w:t>
      </w:r>
      <w:r w:rsidR="004330F1">
        <w:rPr>
          <w:rFonts w:ascii="Times New Roman" w:hAnsi="Times New Roman"/>
          <w:color w:val="000000"/>
        </w:rPr>
        <w:t xml:space="preserve">res.  On the </w:t>
      </w:r>
      <w:r w:rsidR="00C213CC">
        <w:rPr>
          <w:rFonts w:ascii="Times New Roman" w:hAnsi="Times New Roman"/>
          <w:color w:val="000000"/>
        </w:rPr>
        <w:t xml:space="preserve">revised </w:t>
      </w:r>
      <w:r w:rsidR="004330F1">
        <w:rPr>
          <w:rFonts w:ascii="Times New Roman" w:hAnsi="Times New Roman"/>
          <w:color w:val="000000"/>
        </w:rPr>
        <w:t>Form 3540</w:t>
      </w:r>
      <w:r>
        <w:rPr>
          <w:rFonts w:ascii="Times New Roman" w:hAnsi="Times New Roman"/>
          <w:color w:val="000000"/>
        </w:rPr>
        <w:t>-1, EPA provided clarification that the net weight is the net weight as identified on the product label of the pesticide or device on the immediate container, not including the wrapper or other packaging materials.</w:t>
      </w:r>
    </w:p>
    <w:p w:rsidR="001F21C5" w:rsidRPr="00C213CC" w:rsidRDefault="001F21C5" w:rsidP="001F21C5">
      <w:pPr>
        <w:widowControl/>
        <w:spacing w:after="240"/>
        <w:rPr>
          <w:rFonts w:ascii="Helv" w:hAnsi="Helv" w:cs="Helv"/>
          <w:b/>
          <w:bCs/>
          <w:sz w:val="20"/>
          <w:szCs w:val="20"/>
        </w:rPr>
      </w:pPr>
      <w:r>
        <w:rPr>
          <w:rFonts w:ascii="Times New Roman" w:hAnsi="Times New Roman"/>
          <w:color w:val="000000"/>
        </w:rPr>
        <w:tab/>
      </w:r>
      <w:r w:rsidRPr="00C213CC">
        <w:rPr>
          <w:rFonts w:ascii="Times New Roman" w:hAnsi="Times New Roman"/>
        </w:rPr>
        <w:t>Regarding the fre</w:t>
      </w:r>
      <w:r w:rsidR="004330F1" w:rsidRPr="00C213CC">
        <w:rPr>
          <w:rFonts w:ascii="Times New Roman" w:hAnsi="Times New Roman"/>
        </w:rPr>
        <w:t>quency of submission and the</w:t>
      </w:r>
      <w:r w:rsidRPr="00C213CC">
        <w:rPr>
          <w:rFonts w:ascii="Times New Roman" w:hAnsi="Times New Roman"/>
        </w:rPr>
        <w:t xml:space="preserve"> review process, </w:t>
      </w:r>
      <w:r w:rsidRPr="00C213CC">
        <w:rPr>
          <w:rFonts w:ascii="Times New Roman" w:hAnsi="Times New Roman"/>
          <w:bCs/>
        </w:rPr>
        <w:t xml:space="preserve">Syngenta noted that </w:t>
      </w:r>
      <w:r w:rsidR="004679AA" w:rsidRPr="00C213CC">
        <w:rPr>
          <w:rFonts w:ascii="Times New Roman" w:hAnsi="Times New Roman"/>
        </w:rPr>
        <w:t>EPA will not grant blanket notice of arrivals</w:t>
      </w:r>
      <w:r w:rsidRPr="00C213CC">
        <w:rPr>
          <w:rFonts w:ascii="Times New Roman" w:hAnsi="Times New Roman"/>
        </w:rPr>
        <w:t xml:space="preserve"> for multiple shipments arriving in defined period of time.</w:t>
      </w:r>
      <w:r w:rsidRPr="00C213CC">
        <w:rPr>
          <w:rFonts w:ascii="Helv" w:hAnsi="Helv" w:cs="Helv"/>
          <w:b/>
          <w:bCs/>
          <w:sz w:val="20"/>
          <w:szCs w:val="20"/>
        </w:rPr>
        <w:t xml:space="preserve"> </w:t>
      </w:r>
      <w:r w:rsidRPr="00C213CC">
        <w:rPr>
          <w:rFonts w:ascii="Times New Roman" w:hAnsi="Times New Roman"/>
        </w:rPr>
        <w:t>EPA is not con</w:t>
      </w:r>
      <w:r w:rsidR="004679AA" w:rsidRPr="00C213CC">
        <w:rPr>
          <w:rFonts w:ascii="Times New Roman" w:hAnsi="Times New Roman"/>
        </w:rPr>
        <w:t>templating granting blanket notices</w:t>
      </w:r>
      <w:r w:rsidRPr="00C213CC">
        <w:rPr>
          <w:rFonts w:ascii="Times New Roman" w:hAnsi="Times New Roman"/>
        </w:rPr>
        <w:t xml:space="preserve"> at this time. Bayer noted that some Regions require justification of CBI claims, which can take several weeks to resolve. EPA notes that d</w:t>
      </w:r>
      <w:r w:rsidR="004679AA" w:rsidRPr="00C213CC">
        <w:rPr>
          <w:rFonts w:ascii="Times New Roman" w:hAnsi="Times New Roman"/>
          <w:bCs/>
        </w:rPr>
        <w:t>uring review of a notice of arrival</w:t>
      </w:r>
      <w:r w:rsidRPr="00C213CC">
        <w:rPr>
          <w:rFonts w:ascii="Times New Roman" w:hAnsi="Times New Roman"/>
          <w:bCs/>
        </w:rPr>
        <w:t>, EPA regional staff may on occasion raise a question regarding confidentiality claims, but the Agency does not delay approval of a shipment based on such claims.</w:t>
      </w:r>
      <w:r w:rsidRPr="00C213CC">
        <w:rPr>
          <w:rFonts w:ascii="Helv" w:hAnsi="Helv" w:cs="Helv"/>
          <w:b/>
          <w:bCs/>
          <w:sz w:val="20"/>
          <w:szCs w:val="20"/>
        </w:rPr>
        <w:t xml:space="preserve"> </w:t>
      </w:r>
    </w:p>
    <w:p w:rsidR="00F35B4D" w:rsidRDefault="001F21C5" w:rsidP="001F21C5">
      <w:pPr>
        <w:widowControl/>
        <w:spacing w:after="240"/>
        <w:rPr>
          <w:rFonts w:ascii="Times New Roman" w:hAnsi="Times New Roman"/>
          <w:color w:val="000000"/>
        </w:rPr>
      </w:pPr>
      <w:r>
        <w:rPr>
          <w:rFonts w:ascii="Times New Roman" w:hAnsi="Times New Roman"/>
          <w:color w:val="000000"/>
        </w:rPr>
        <w:tab/>
        <w:t>Regarding the burd</w:t>
      </w:r>
      <w:r w:rsidR="003D048E">
        <w:rPr>
          <w:rFonts w:ascii="Times New Roman" w:hAnsi="Times New Roman"/>
          <w:color w:val="000000"/>
        </w:rPr>
        <w:t>en estimates, the respondent re</w:t>
      </w:r>
      <w:r>
        <w:rPr>
          <w:rFonts w:ascii="Times New Roman" w:hAnsi="Times New Roman"/>
          <w:color w:val="000000"/>
        </w:rPr>
        <w:t xml:space="preserve">presentatives provided a range of estimates for the burden hours required to complete EPA Form 3540-1. The estimates provided range from 0.18 hrs to 3.85 hrs. </w:t>
      </w:r>
      <w:r w:rsidR="00F35B4D" w:rsidRPr="00F35B4D">
        <w:rPr>
          <w:rFonts w:ascii="Times New Roman" w:hAnsi="Times New Roman"/>
          <w:color w:val="000000"/>
        </w:rPr>
        <w:t>EPA believes that an estimate of the burden per NOA calculated by averaging the estimate provided by the consultants</w:t>
      </w:r>
      <w:r w:rsidR="00F35B4D">
        <w:rPr>
          <w:rFonts w:ascii="Times New Roman" w:hAnsi="Times New Roman"/>
          <w:color w:val="000000"/>
        </w:rPr>
        <w:t xml:space="preserve"> would over-estimate the</w:t>
      </w:r>
      <w:r w:rsidR="00F35B4D" w:rsidRPr="00F35B4D">
        <w:rPr>
          <w:rFonts w:ascii="Times New Roman" w:hAnsi="Times New Roman"/>
          <w:color w:val="000000"/>
        </w:rPr>
        <w:t xml:space="preserve"> burden</w:t>
      </w:r>
      <w:r w:rsidR="00F35B4D">
        <w:rPr>
          <w:rFonts w:ascii="Times New Roman" w:hAnsi="Times New Roman"/>
          <w:color w:val="000000"/>
        </w:rPr>
        <w:t xml:space="preserve"> per response</w:t>
      </w:r>
      <w:r w:rsidR="00F35B4D" w:rsidRPr="00F35B4D">
        <w:rPr>
          <w:rFonts w:ascii="Times New Roman" w:hAnsi="Times New Roman"/>
          <w:color w:val="000000"/>
        </w:rPr>
        <w:t>. The respondents included burden estimates of activities that are customary and usual, and hence</w:t>
      </w:r>
      <w:r w:rsidR="00F35B4D">
        <w:rPr>
          <w:rFonts w:ascii="Times New Roman" w:hAnsi="Times New Roman"/>
          <w:color w:val="000000"/>
        </w:rPr>
        <w:t>, according to OMB guidance,</w:t>
      </w:r>
      <w:r w:rsidR="00F35B4D" w:rsidRPr="00F35B4D">
        <w:rPr>
          <w:rFonts w:ascii="Times New Roman" w:hAnsi="Times New Roman"/>
          <w:color w:val="000000"/>
        </w:rPr>
        <w:t xml:space="preserve"> would not be included in EPA burden calculation. EPA contacted by phone a representative from the brokerage firm Norman Jensen, which provided an estimate of 3.85 hours per shipment. The representative indicated that their estimate represented a “worst case scenario” for a shipment with multiple pesticide products that would require the submission of multiple NOAs</w:t>
      </w:r>
      <w:r w:rsidR="001179C9">
        <w:rPr>
          <w:rFonts w:ascii="Times New Roman" w:hAnsi="Times New Roman"/>
          <w:color w:val="000000"/>
        </w:rPr>
        <w:t>.</w:t>
      </w:r>
      <w:r w:rsidR="00F35B4D" w:rsidRPr="00F35B4D">
        <w:rPr>
          <w:rFonts w:ascii="Times New Roman" w:hAnsi="Times New Roman"/>
          <w:color w:val="000000"/>
        </w:rPr>
        <w:t xml:space="preserve"> Upon subtracting the burden associated with customary and usual activities and taking into account that EPA calculates the burden per NOA, the estimate provided by Norman Jensen is consistent with EPA’s estimate. </w:t>
      </w:r>
    </w:p>
    <w:p w:rsidR="001F21C5" w:rsidRDefault="00F35B4D" w:rsidP="001F21C5">
      <w:pPr>
        <w:widowControl/>
        <w:spacing w:after="240"/>
        <w:rPr>
          <w:rFonts w:ascii="Times New Roman" w:hAnsi="Times New Roman"/>
          <w:color w:val="000000"/>
        </w:rPr>
      </w:pPr>
      <w:r>
        <w:rPr>
          <w:rFonts w:ascii="Times New Roman" w:hAnsi="Times New Roman"/>
          <w:color w:val="000000"/>
        </w:rPr>
        <w:tab/>
      </w:r>
      <w:r w:rsidR="001F21C5">
        <w:rPr>
          <w:rFonts w:ascii="Times New Roman" w:hAnsi="Times New Roman"/>
          <w:color w:val="000000"/>
        </w:rPr>
        <w:t xml:space="preserve">For this ICR renewal, EPA increased the burden from .3 hrs to .43 hrs per response, on average, as discussion in section 6(f) below. </w:t>
      </w:r>
      <w:r w:rsidR="001F21C5">
        <w:rPr>
          <w:rFonts w:ascii="Times New Roman" w:hAnsi="Times New Roman"/>
        </w:rPr>
        <w:t>This change in burden hours per response is a result of changes to the data items on Form 35</w:t>
      </w:r>
      <w:r w:rsidR="00DA1C5D">
        <w:rPr>
          <w:rFonts w:ascii="Times New Roman" w:hAnsi="Times New Roman"/>
        </w:rPr>
        <w:t>4</w:t>
      </w:r>
      <w:r w:rsidR="001F21C5">
        <w:rPr>
          <w:rFonts w:ascii="Times New Roman" w:hAnsi="Times New Roman"/>
        </w:rPr>
        <w:t xml:space="preserve">0-1, and well as an accounting of the burden of voluntarily submitting certain information.  EPA’s estimate of the burden hours represents an average. </w:t>
      </w:r>
      <w:r w:rsidR="001F21C5" w:rsidRPr="00A87F90">
        <w:rPr>
          <w:rFonts w:ascii="Times New Roman" w:hAnsi="Times New Roman"/>
        </w:rPr>
        <w:t>Some respondents will spend less t</w:t>
      </w:r>
      <w:r w:rsidR="001F21C5">
        <w:rPr>
          <w:rFonts w:ascii="Times New Roman" w:hAnsi="Times New Roman"/>
        </w:rPr>
        <w:t>ime</w:t>
      </w:r>
      <w:r w:rsidR="001F21C5" w:rsidRPr="00A87F90">
        <w:rPr>
          <w:rFonts w:ascii="Times New Roman" w:hAnsi="Times New Roman"/>
        </w:rPr>
        <w:t xml:space="preserve"> and others </w:t>
      </w:r>
      <w:r w:rsidR="001F21C5">
        <w:rPr>
          <w:rFonts w:ascii="Times New Roman" w:hAnsi="Times New Roman"/>
        </w:rPr>
        <w:t>more</w:t>
      </w:r>
      <w:r w:rsidR="001F21C5" w:rsidRPr="00A87F90">
        <w:rPr>
          <w:rFonts w:ascii="Times New Roman" w:hAnsi="Times New Roman"/>
        </w:rPr>
        <w:t xml:space="preserve"> time than the</w:t>
      </w:r>
      <w:r w:rsidR="001F21C5">
        <w:rPr>
          <w:rFonts w:ascii="Times New Roman" w:hAnsi="Times New Roman"/>
        </w:rPr>
        <w:t xml:space="preserve"> estimated</w:t>
      </w:r>
      <w:r w:rsidR="001F21C5" w:rsidRPr="00A87F90">
        <w:rPr>
          <w:rFonts w:ascii="Times New Roman" w:hAnsi="Times New Roman"/>
        </w:rPr>
        <w:t xml:space="preserve"> average.</w:t>
      </w:r>
    </w:p>
    <w:p w:rsidR="000A5E90" w:rsidRDefault="001F21C5">
      <w:pPr>
        <w:rPr>
          <w:rFonts w:ascii="Times New Roman" w:hAnsi="Times New Roman"/>
        </w:rPr>
      </w:pPr>
      <w:r>
        <w:rPr>
          <w:rFonts w:ascii="Times New Roman" w:hAnsi="Times New Roman"/>
        </w:rPr>
        <w:tab/>
        <w:t xml:space="preserve">EPA appreciates the comments provided during the consultation period. </w:t>
      </w:r>
      <w:r w:rsidRPr="00877F4C">
        <w:rPr>
          <w:rFonts w:ascii="Times New Roman" w:hAnsi="Times New Roman"/>
        </w:rPr>
        <w:t>These communications permit an exchange of issues, problems and solutions on many issues.</w:t>
      </w:r>
    </w:p>
    <w:p w:rsidR="00877F4C" w:rsidRPr="00C0504A" w:rsidRDefault="00877F4C">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3(d) Effects of less frequent collection</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This collection represents the minimum collection frequency possible to comply with statutory requirements, which is that the Agency be notified of the arrival of each shipment into the United States.  </w:t>
      </w:r>
      <w:r w:rsidR="000475D9" w:rsidRPr="00A7599B" w:rsidDel="000475D9">
        <w:rPr>
          <w:rFonts w:ascii="Times New Roman" w:hAnsi="Times New Roman"/>
        </w:rPr>
        <w:t xml:space="preserve"> </w:t>
      </w:r>
    </w:p>
    <w:p w:rsidR="000C60AF" w:rsidRDefault="000C60AF">
      <w:pPr>
        <w:ind w:firstLine="720"/>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b/>
          <w:bCs/>
        </w:rPr>
        <w:t>3(e) General Guid</w:t>
      </w:r>
      <w:r w:rsidR="00BE7FD6" w:rsidRPr="00BE7FD6">
        <w:rPr>
          <w:rFonts w:ascii="Times New Roman" w:hAnsi="Times New Roman"/>
          <w:b/>
          <w:bCs/>
        </w:rPr>
        <w:t>elines</w:t>
      </w:r>
    </w:p>
    <w:p w:rsidR="00772F14" w:rsidRPr="00C0504A" w:rsidRDefault="00772F14">
      <w:pPr>
        <w:rPr>
          <w:rFonts w:ascii="Times New Roman" w:hAnsi="Times New Roman"/>
        </w:rPr>
      </w:pPr>
    </w:p>
    <w:p w:rsidR="00772F14" w:rsidRPr="00C0504A" w:rsidRDefault="00155A54">
      <w:pPr>
        <w:ind w:firstLine="720"/>
        <w:rPr>
          <w:rFonts w:ascii="Times New Roman" w:hAnsi="Times New Roman"/>
        </w:rPr>
      </w:pPr>
      <w:r>
        <w:rPr>
          <w:rFonts w:ascii="Times New Roman" w:hAnsi="Times New Roman"/>
        </w:rPr>
        <w:t>The only PRA-imposed guideline in 5 CFR 1320.6 that is exceeded in this collection is the recordkeeping retention period. A</w:t>
      </w:r>
      <w:r w:rsidRPr="00155A54">
        <w:rPr>
          <w:rFonts w:ascii="Times New Roman" w:hAnsi="Times New Roman"/>
        </w:rPr>
        <w:t xml:space="preserve">ny record required to be made, kept, and rendered for examination and inspection by Customs under </w:t>
      </w:r>
      <w:r>
        <w:rPr>
          <w:rFonts w:ascii="Times New Roman" w:hAnsi="Times New Roman"/>
        </w:rPr>
        <w:t>19 CFR 163.2 shall be kept for 5 years</w:t>
      </w:r>
      <w:r w:rsidRPr="00155A54">
        <w:rPr>
          <w:rFonts w:ascii="Times New Roman" w:hAnsi="Times New Roman"/>
        </w:rPr>
        <w:t>.</w:t>
      </w:r>
    </w:p>
    <w:p w:rsidR="00772F14" w:rsidRPr="00C0504A" w:rsidRDefault="00772F14">
      <w:pPr>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b/>
          <w:bCs/>
        </w:rPr>
        <w:t>3(f) Confidentiality</w:t>
      </w:r>
    </w:p>
    <w:p w:rsidR="00772F14" w:rsidRPr="00C0504A" w:rsidRDefault="00772F14" w:rsidP="00C213CC">
      <w:pPr>
        <w:keepNext/>
        <w:keepLines/>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rPr>
        <w:t xml:space="preserve">If information on Form 3540-1 is declared sensitive or confidential, it cannot be released to the public.  Certain information on Form 3540-1 (names and </w:t>
      </w:r>
      <w:r w:rsidR="00E52B2F">
        <w:rPr>
          <w:rFonts w:ascii="Times New Roman" w:hAnsi="Times New Roman"/>
        </w:rPr>
        <w:t xml:space="preserve">complete </w:t>
      </w:r>
      <w:r w:rsidRPr="00BE7FD6">
        <w:rPr>
          <w:rFonts w:ascii="Times New Roman" w:hAnsi="Times New Roman"/>
        </w:rPr>
        <w:t>addresses</w:t>
      </w:r>
      <w:r w:rsidR="00F537A2">
        <w:rPr>
          <w:rFonts w:ascii="Times New Roman" w:hAnsi="Times New Roman"/>
        </w:rPr>
        <w:t>,</w:t>
      </w:r>
      <w:r w:rsidRPr="00BE7FD6">
        <w:rPr>
          <w:rFonts w:ascii="Times New Roman" w:hAnsi="Times New Roman"/>
        </w:rPr>
        <w:t xml:space="preserve"> along with unit size, quantity, total net weight, country of origin, port of entry, entry number, and </w:t>
      </w:r>
      <w:r w:rsidR="00E52B2F">
        <w:rPr>
          <w:rFonts w:ascii="Times New Roman" w:hAnsi="Times New Roman"/>
        </w:rPr>
        <w:t xml:space="preserve">anticipated </w:t>
      </w:r>
      <w:r w:rsidRPr="00BE7FD6">
        <w:rPr>
          <w:rFonts w:ascii="Times New Roman" w:hAnsi="Times New Roman"/>
        </w:rPr>
        <w:t>entry</w:t>
      </w:r>
      <w:r w:rsidR="00F537A2">
        <w:rPr>
          <w:rFonts w:ascii="Times New Roman" w:hAnsi="Times New Roman"/>
        </w:rPr>
        <w:t xml:space="preserve"> date</w:t>
      </w:r>
      <w:r w:rsidRPr="00BE7FD6">
        <w:rPr>
          <w:rFonts w:ascii="Times New Roman" w:hAnsi="Times New Roman"/>
        </w:rPr>
        <w:t xml:space="preserve">) may be claimed as FIFRA Confidential Business Information (CBI).  </w:t>
      </w:r>
      <w:r w:rsidR="00F537A2">
        <w:rPr>
          <w:rFonts w:ascii="Times New Roman" w:hAnsi="Times New Roman"/>
        </w:rPr>
        <w:t>Other</w:t>
      </w:r>
      <w:r w:rsidRPr="00BE7FD6">
        <w:rPr>
          <w:rFonts w:ascii="Times New Roman" w:hAnsi="Times New Roman"/>
        </w:rPr>
        <w:t xml:space="preserve"> information</w:t>
      </w:r>
      <w:r w:rsidR="00F537A2">
        <w:rPr>
          <w:rFonts w:ascii="Times New Roman" w:hAnsi="Times New Roman"/>
        </w:rPr>
        <w:t xml:space="preserve"> (</w:t>
      </w:r>
      <w:r w:rsidRPr="00BE7FD6">
        <w:rPr>
          <w:rFonts w:ascii="Times New Roman" w:hAnsi="Times New Roman"/>
        </w:rPr>
        <w:t>EPA Registration Number</w:t>
      </w:r>
      <w:r w:rsidR="00F537A2">
        <w:rPr>
          <w:rFonts w:ascii="Times New Roman" w:hAnsi="Times New Roman"/>
        </w:rPr>
        <w:t xml:space="preserve"> and</w:t>
      </w:r>
      <w:r w:rsidRPr="00BE7FD6">
        <w:rPr>
          <w:rFonts w:ascii="Times New Roman" w:hAnsi="Times New Roman"/>
        </w:rPr>
        <w:t xml:space="preserve"> Producer Establishment Number, the brand name of product, and active ingredients and percentages of each</w:t>
      </w:r>
      <w:r w:rsidR="00F537A2">
        <w:rPr>
          <w:rFonts w:ascii="Times New Roman" w:hAnsi="Times New Roman"/>
        </w:rPr>
        <w:t>)</w:t>
      </w:r>
      <w:r w:rsidRPr="00BE7FD6">
        <w:rPr>
          <w:rFonts w:ascii="Times New Roman" w:hAnsi="Times New Roman"/>
        </w:rPr>
        <w:t xml:space="preserve"> may not be claimed as CBI pursuant to FIFRA section 7(d) and labeling requirements for pesticides/devices at 40 CFR § 156.10.</w:t>
      </w:r>
    </w:p>
    <w:p w:rsidR="00772F14" w:rsidRPr="00C0504A" w:rsidRDefault="00772F14">
      <w:pPr>
        <w:rPr>
          <w:rFonts w:ascii="Times New Roman" w:hAnsi="Times New Roman"/>
        </w:rPr>
      </w:pPr>
    </w:p>
    <w:p w:rsidR="00A936C2" w:rsidRDefault="00F537A2">
      <w:pPr>
        <w:keepNext/>
        <w:widowControl/>
        <w:ind w:firstLine="720"/>
        <w:rPr>
          <w:rFonts w:ascii="Times New Roman" w:hAnsi="Times New Roman"/>
        </w:rPr>
      </w:pPr>
      <w:r>
        <w:rPr>
          <w:rFonts w:ascii="Times New Roman" w:hAnsi="Times New Roman"/>
        </w:rPr>
        <w:t>Confidential data</w:t>
      </w:r>
      <w:r w:rsidR="00BE7FD6" w:rsidRPr="00BE7FD6">
        <w:rPr>
          <w:rFonts w:ascii="Times New Roman" w:hAnsi="Times New Roman"/>
        </w:rPr>
        <w:t xml:space="preserve"> submitted to EPA is handled in accordance with the provisions of the FIFRA CBI security manual.  Th</w:t>
      </w:r>
      <w:r>
        <w:rPr>
          <w:rFonts w:ascii="Times New Roman" w:hAnsi="Times New Roman"/>
        </w:rPr>
        <w:t>is</w:t>
      </w:r>
      <w:r w:rsidR="00BE7FD6" w:rsidRPr="00BE7FD6">
        <w:rPr>
          <w:rFonts w:ascii="Times New Roman" w:hAnsi="Times New Roman"/>
        </w:rPr>
        <w:t xml:space="preserve"> manual contains instructions to physical security measures; CBI copying and destruction procedures; transfer of CBI materials within EPA to contractors or to other government offices; computer security; CBI typing procedures; and internal office procedures.  The manual dictates </w:t>
      </w:r>
      <w:r>
        <w:rPr>
          <w:rFonts w:ascii="Times New Roman" w:hAnsi="Times New Roman"/>
        </w:rPr>
        <w:t xml:space="preserve">that </w:t>
      </w:r>
      <w:r w:rsidR="00BE7FD6" w:rsidRPr="00BE7FD6">
        <w:rPr>
          <w:rFonts w:ascii="Times New Roman" w:hAnsi="Times New Roman"/>
        </w:rPr>
        <w:t xml:space="preserve">all CBI must be marked or flagged as such, only authorized Agency personnel may be permitted access to CBI, all CBI must be kept in secure (double-locked) areas, and all CBI marked for destruction must be cleared by a Document Control Officer.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3(g) Sensitive Questions</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Not applicable.  No information of a sensitive or private nature is requested in the information collection activity.  </w:t>
      </w:r>
    </w:p>
    <w:p w:rsidR="00772F14" w:rsidRPr="00C0504A" w:rsidRDefault="00772F14">
      <w:pPr>
        <w:ind w:firstLine="720"/>
        <w:rPr>
          <w:rFonts w:ascii="Times New Roman" w:hAnsi="Times New Roman"/>
          <w:b/>
          <w:bCs/>
        </w:rPr>
      </w:pPr>
    </w:p>
    <w:p w:rsidR="00772F14" w:rsidRPr="00C0504A" w:rsidRDefault="00BE7FD6">
      <w:pPr>
        <w:rPr>
          <w:rFonts w:ascii="Times New Roman" w:hAnsi="Times New Roman"/>
        </w:rPr>
      </w:pPr>
      <w:r w:rsidRPr="00BE7FD6">
        <w:rPr>
          <w:rFonts w:ascii="Times New Roman" w:hAnsi="Times New Roman"/>
          <w:b/>
          <w:bCs/>
        </w:rPr>
        <w:t>4. The Respondents and Information Collected</w:t>
      </w:r>
    </w:p>
    <w:p w:rsidR="00772F14" w:rsidRPr="00C0504A" w:rsidRDefault="00772F14">
      <w:pPr>
        <w:rPr>
          <w:rFonts w:ascii="Times New Roman" w:hAnsi="Times New Roman"/>
          <w:u w:val="single"/>
        </w:rPr>
      </w:pPr>
    </w:p>
    <w:p w:rsidR="00772F14" w:rsidRPr="00C0504A" w:rsidRDefault="00BE7FD6">
      <w:pPr>
        <w:ind w:firstLine="720"/>
        <w:rPr>
          <w:rFonts w:ascii="Times New Roman" w:hAnsi="Times New Roman"/>
          <w:u w:val="single"/>
        </w:rPr>
      </w:pPr>
      <w:r w:rsidRPr="00BE7FD6">
        <w:rPr>
          <w:rFonts w:ascii="Times New Roman" w:hAnsi="Times New Roman"/>
          <w:b/>
          <w:bCs/>
        </w:rPr>
        <w:t>4(a) Respondents/North American Industry Classification System (NAICS) Codes.</w:t>
      </w:r>
    </w:p>
    <w:p w:rsidR="00772F14" w:rsidRPr="00C0504A" w:rsidRDefault="00772F14">
      <w:pPr>
        <w:ind w:firstLine="720"/>
        <w:rPr>
          <w:rFonts w:ascii="Times New Roman" w:hAnsi="Times New Roman"/>
        </w:rPr>
      </w:pPr>
    </w:p>
    <w:p w:rsidR="00FD536D" w:rsidRDefault="00FD536D">
      <w:pPr>
        <w:ind w:firstLine="720"/>
        <w:rPr>
          <w:rFonts w:ascii="Times New Roman" w:hAnsi="Times New Roman"/>
          <w:color w:val="000000"/>
        </w:rPr>
      </w:pPr>
      <w:r>
        <w:rPr>
          <w:rFonts w:ascii="Times New Roman" w:hAnsi="Times New Roman"/>
          <w:color w:val="000000"/>
        </w:rPr>
        <w:t xml:space="preserve">Respondents to this information collection are pesticide importers, which includes many types of business entities ranging from Commercial and Institutional Building Construction (NAICS 236220) to Pesticide and Other Agricultural Chemical Manufacturing (NAICS 325300) and even Public Administration: Executive Offices (NAICS 921110).  Other business and institutions that import pesticides include Agriculture, Forestry, Fishing and Hunting (Sector 11), Wholesale Trade, (Sector 42).  The majority of responses come from businesses that fall under NAICS </w:t>
      </w:r>
      <w:r w:rsidR="00166F58">
        <w:rPr>
          <w:rFonts w:ascii="Times New Roman" w:hAnsi="Times New Roman"/>
          <w:color w:val="000000"/>
        </w:rPr>
        <w:t xml:space="preserve">code </w:t>
      </w:r>
      <w:r>
        <w:rPr>
          <w:rFonts w:ascii="Times New Roman" w:hAnsi="Times New Roman"/>
          <w:color w:val="000000"/>
        </w:rPr>
        <w:t xml:space="preserve">325300. </w:t>
      </w:r>
    </w:p>
    <w:p w:rsidR="00814236" w:rsidRDefault="00814236">
      <w:pPr>
        <w:ind w:firstLine="720"/>
        <w:rPr>
          <w:rFonts w:ascii="Times New Roman" w:hAnsi="Times New Roman"/>
          <w:color w:val="000000"/>
        </w:rPr>
      </w:pPr>
    </w:p>
    <w:p w:rsidR="00772F14" w:rsidRPr="00C0504A" w:rsidRDefault="00BE7FD6" w:rsidP="003F7440">
      <w:pPr>
        <w:ind w:firstLine="720"/>
        <w:rPr>
          <w:rFonts w:ascii="Times New Roman" w:hAnsi="Times New Roman"/>
        </w:rPr>
      </w:pPr>
      <w:r w:rsidRPr="00BE7FD6">
        <w:rPr>
          <w:rFonts w:ascii="Times New Roman" w:hAnsi="Times New Roman"/>
          <w:b/>
          <w:bCs/>
        </w:rPr>
        <w:t>4(b) Information Requested</w:t>
      </w:r>
    </w:p>
    <w:p w:rsidR="00772F14" w:rsidRDefault="00857DB3" w:rsidP="003F7440">
      <w:pPr>
        <w:rPr>
          <w:rFonts w:ascii="Times New Roman" w:hAnsi="Times New Roman"/>
        </w:rPr>
      </w:pPr>
      <w:r>
        <w:rPr>
          <w:rFonts w:ascii="Times New Roman" w:hAnsi="Times New Roman"/>
        </w:rPr>
        <w:tab/>
      </w:r>
    </w:p>
    <w:p w:rsidR="00772F14" w:rsidRDefault="00F53E3C" w:rsidP="003F7440">
      <w:pPr>
        <w:ind w:firstLine="720"/>
        <w:rPr>
          <w:rFonts w:ascii="Times New Roman" w:hAnsi="Times New Roman"/>
          <w:b/>
        </w:rPr>
      </w:pPr>
      <w:r w:rsidRPr="0039251A">
        <w:rPr>
          <w:rFonts w:ascii="Times New Roman" w:hAnsi="Times New Roman"/>
          <w:b/>
        </w:rPr>
        <w:t>(i) Data items, including record keeping requirements</w:t>
      </w:r>
    </w:p>
    <w:p w:rsidR="00166F58" w:rsidRDefault="00166F58" w:rsidP="003F7440">
      <w:pPr>
        <w:ind w:firstLine="720"/>
        <w:rPr>
          <w:rFonts w:ascii="Times New Roman" w:hAnsi="Times New Roman"/>
          <w:b/>
        </w:rPr>
      </w:pPr>
    </w:p>
    <w:p w:rsidR="00166F58" w:rsidRPr="0039251A" w:rsidRDefault="00166F58" w:rsidP="003F7440">
      <w:pPr>
        <w:ind w:firstLine="720"/>
        <w:rPr>
          <w:rFonts w:ascii="Times New Roman" w:hAnsi="Times New Roman"/>
          <w:b/>
          <w:u w:val="single"/>
        </w:rPr>
      </w:pPr>
      <w:r>
        <w:rPr>
          <w:rFonts w:ascii="Times New Roman" w:hAnsi="Times New Roman"/>
        </w:rPr>
        <w:t>The data items that must be submitted for registered pesticides, unregistered pesticides and, devices are the same, except where indicated below.</w:t>
      </w:r>
    </w:p>
    <w:p w:rsidR="00772F14" w:rsidRDefault="00772F14">
      <w:pPr>
        <w:rPr>
          <w:rFonts w:ascii="Times New Roman" w:hAnsi="Times New Roman"/>
          <w:u w:val="single"/>
        </w:rPr>
      </w:pPr>
    </w:p>
    <w:p w:rsidR="00F53E3C" w:rsidRPr="0039251A" w:rsidRDefault="00F53E3C" w:rsidP="00F53E3C">
      <w:pPr>
        <w:pStyle w:val="ListParagraph"/>
        <w:numPr>
          <w:ilvl w:val="0"/>
          <w:numId w:val="10"/>
        </w:numPr>
        <w:rPr>
          <w:rFonts w:ascii="Times New Roman" w:hAnsi="Times New Roman"/>
          <w:b/>
        </w:rPr>
      </w:pPr>
      <w:r w:rsidRPr="0039251A">
        <w:rPr>
          <w:rFonts w:ascii="Times New Roman" w:hAnsi="Times New Roman"/>
          <w:b/>
        </w:rPr>
        <w:t>Currently approved data items.</w:t>
      </w:r>
    </w:p>
    <w:p w:rsidR="002A2477" w:rsidRPr="00C0504A" w:rsidRDefault="002A2477">
      <w:pPr>
        <w:rPr>
          <w:rFonts w:ascii="Times New Roman" w:hAnsi="Times New Roman"/>
          <w:u w:val="single"/>
        </w:rPr>
      </w:pPr>
    </w:p>
    <w:p w:rsidR="00772F14" w:rsidRPr="00C0504A" w:rsidRDefault="00BE7FD6">
      <w:pPr>
        <w:ind w:firstLine="720"/>
        <w:rPr>
          <w:rFonts w:ascii="Times New Roman" w:hAnsi="Times New Roman"/>
        </w:rPr>
      </w:pPr>
      <w:r w:rsidRPr="00BE7FD6">
        <w:rPr>
          <w:rFonts w:ascii="Times New Roman" w:hAnsi="Times New Roman"/>
        </w:rPr>
        <w:t xml:space="preserve">All data in this ICR that is recorded and reported is required by FIFRA Sections 3, 7, and 17, and 19 CFR Part 12.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Provide notification of: </w:t>
      </w:r>
    </w:p>
    <w:p w:rsidR="00772F14" w:rsidRPr="00C0504A" w:rsidRDefault="00BE7FD6" w:rsidP="00C7628F">
      <w:pPr>
        <w:numPr>
          <w:ilvl w:val="0"/>
          <w:numId w:val="2"/>
        </w:numPr>
        <w:tabs>
          <w:tab w:val="left" w:pos="990"/>
        </w:tabs>
        <w:ind w:left="720" w:firstLine="0"/>
        <w:rPr>
          <w:rFonts w:ascii="Times New Roman" w:hAnsi="Times New Roman"/>
        </w:rPr>
      </w:pPr>
      <w:r w:rsidRPr="00BE7FD6">
        <w:rPr>
          <w:rFonts w:ascii="Times New Roman" w:hAnsi="Times New Roman"/>
        </w:rPr>
        <w:t>name and complete address of broker or agent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complete address of importer or consignee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address of shipper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registration number (19 CFR 12.111 and FIFRA Sec. 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producer establishment number (19 CFR 12.112 and FIFRA Sec. 7)</w:t>
      </w:r>
    </w:p>
    <w:p w:rsidR="0094709C"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brand name of product (19 CFR 12.112 and FIFRA Sec. 17(c))</w:t>
      </w:r>
    </w:p>
    <w:p w:rsidR="000C60AF" w:rsidRDefault="00BE7FD6">
      <w:pPr>
        <w:numPr>
          <w:ilvl w:val="0"/>
          <w:numId w:val="2"/>
        </w:numPr>
        <w:tabs>
          <w:tab w:val="num" w:pos="990"/>
        </w:tabs>
        <w:ind w:firstLine="720"/>
        <w:rPr>
          <w:rFonts w:ascii="Times New Roman" w:hAnsi="Times New Roman"/>
        </w:rPr>
      </w:pPr>
      <w:r w:rsidRPr="00BE7FD6">
        <w:rPr>
          <w:rFonts w:ascii="Times New Roman" w:hAnsi="Times New Roman"/>
        </w:rPr>
        <w:t>active ingredients and percentage of each (19 CFR 12.112 and FIFRA Sec.17(c))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unit size, quantity, and total net weight (19 CFR 12.112 and FIFRA Sec. 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country of origin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port of entry, entry number, entry</w:t>
      </w:r>
      <w:r w:rsidR="0094709C">
        <w:rPr>
          <w:rFonts w:ascii="Times New Roman" w:hAnsi="Times New Roman"/>
        </w:rPr>
        <w:t xml:space="preserve"> date</w:t>
      </w:r>
      <w:r w:rsidRPr="00BE7FD6">
        <w:rPr>
          <w:rFonts w:ascii="Times New Roman" w:hAnsi="Times New Roman"/>
        </w:rPr>
        <w:t xml:space="preserve"> (19 CFR 12.113)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carrier (19 CFR 12.113)</w:t>
      </w:r>
    </w:p>
    <w:p w:rsidR="00772F14" w:rsidRDefault="0094709C" w:rsidP="005E3A00">
      <w:pPr>
        <w:numPr>
          <w:ilvl w:val="0"/>
          <w:numId w:val="2"/>
        </w:numPr>
        <w:tabs>
          <w:tab w:val="num" w:pos="990"/>
        </w:tabs>
        <w:ind w:firstLine="720"/>
        <w:rPr>
          <w:rFonts w:ascii="Times New Roman" w:hAnsi="Times New Roman"/>
        </w:rPr>
      </w:pPr>
      <w:r>
        <w:rPr>
          <w:rFonts w:ascii="Times New Roman" w:hAnsi="Times New Roman"/>
        </w:rPr>
        <w:t>location of good for examination after importation</w:t>
      </w:r>
      <w:r w:rsidR="00BE7FD6" w:rsidRPr="00BE7FD6">
        <w:rPr>
          <w:rFonts w:ascii="Times New Roman" w:hAnsi="Times New Roman"/>
        </w:rPr>
        <w:t xml:space="preserve"> (19 CFR  12.115)</w:t>
      </w:r>
    </w:p>
    <w:p w:rsidR="00772F14" w:rsidRPr="00C0504A" w:rsidRDefault="00772F14" w:rsidP="005E3A00">
      <w:pPr>
        <w:rPr>
          <w:rFonts w:ascii="Times New Roman" w:hAnsi="Times New Roman"/>
        </w:rPr>
      </w:pPr>
    </w:p>
    <w:p w:rsidR="0094709C" w:rsidRPr="0039251A" w:rsidRDefault="00F53E3C">
      <w:pPr>
        <w:ind w:firstLine="720"/>
        <w:rPr>
          <w:rFonts w:ascii="Times New Roman" w:hAnsi="Times New Roman"/>
          <w:b/>
        </w:rPr>
      </w:pPr>
      <w:r w:rsidRPr="0039251A">
        <w:rPr>
          <w:rFonts w:ascii="Times New Roman" w:hAnsi="Times New Roman"/>
          <w:b/>
        </w:rPr>
        <w:t xml:space="preserve">b. </w:t>
      </w:r>
      <w:r w:rsidR="00C213CC">
        <w:rPr>
          <w:rFonts w:ascii="Times New Roman" w:hAnsi="Times New Roman"/>
          <w:b/>
        </w:rPr>
        <w:t>Revisions</w:t>
      </w:r>
      <w:r w:rsidRPr="0039251A">
        <w:rPr>
          <w:rFonts w:ascii="Times New Roman" w:hAnsi="Times New Roman"/>
          <w:b/>
        </w:rPr>
        <w:t xml:space="preserve"> to the data items</w:t>
      </w:r>
    </w:p>
    <w:p w:rsidR="0094709C" w:rsidRDefault="0094709C" w:rsidP="0094709C">
      <w:pPr>
        <w:tabs>
          <w:tab w:val="num" w:pos="990"/>
        </w:tabs>
        <w:ind w:left="720"/>
        <w:rPr>
          <w:rFonts w:ascii="Times New Roman" w:hAnsi="Times New Roman"/>
        </w:rPr>
      </w:pPr>
    </w:p>
    <w:p w:rsidR="00F53E3C" w:rsidRDefault="0094709C" w:rsidP="00F53E3C">
      <w:pPr>
        <w:tabs>
          <w:tab w:val="num" w:pos="720"/>
        </w:tabs>
        <w:rPr>
          <w:rFonts w:ascii="Times New Roman" w:hAnsi="Times New Roman"/>
        </w:rPr>
      </w:pPr>
      <w:r>
        <w:rPr>
          <w:rFonts w:ascii="Times New Roman" w:hAnsi="Times New Roman"/>
        </w:rPr>
        <w:tab/>
        <w:t xml:space="preserve">EPA is </w:t>
      </w:r>
      <w:r w:rsidR="00C213CC">
        <w:rPr>
          <w:rFonts w:ascii="Times New Roman" w:hAnsi="Times New Roman"/>
        </w:rPr>
        <w:t>revising</w:t>
      </w:r>
      <w:r>
        <w:rPr>
          <w:rFonts w:ascii="Times New Roman" w:hAnsi="Times New Roman"/>
        </w:rPr>
        <w:t xml:space="preserve"> the following minor changes to </w:t>
      </w:r>
      <w:r w:rsidR="0055597A">
        <w:rPr>
          <w:rFonts w:ascii="Times New Roman" w:hAnsi="Times New Roman"/>
        </w:rPr>
        <w:t>the data items on EPA Form 3540-1</w:t>
      </w:r>
      <w:r>
        <w:rPr>
          <w:rFonts w:ascii="Times New Roman" w:hAnsi="Times New Roman"/>
        </w:rPr>
        <w:t xml:space="preserve"> under this information collection:</w:t>
      </w:r>
    </w:p>
    <w:p w:rsidR="000C60AF" w:rsidRDefault="0094709C" w:rsidP="00166F58">
      <w:pPr>
        <w:pStyle w:val="ListParagraph"/>
        <w:numPr>
          <w:ilvl w:val="0"/>
          <w:numId w:val="7"/>
        </w:numPr>
        <w:ind w:left="1080"/>
        <w:rPr>
          <w:rFonts w:ascii="Times New Roman" w:hAnsi="Times New Roman"/>
        </w:rPr>
      </w:pPr>
      <w:r>
        <w:rPr>
          <w:rFonts w:ascii="Times New Roman" w:hAnsi="Times New Roman"/>
        </w:rPr>
        <w:t xml:space="preserve">Requiring the </w:t>
      </w:r>
      <w:r w:rsidR="006E5BA5">
        <w:rPr>
          <w:rFonts w:ascii="Times New Roman" w:hAnsi="Times New Roman"/>
        </w:rPr>
        <w:t>complete address of the carrier (19 CFR 12.113).</w:t>
      </w:r>
      <w:r w:rsidR="005539ED">
        <w:rPr>
          <w:rFonts w:ascii="Times New Roman" w:hAnsi="Times New Roman"/>
        </w:rPr>
        <w:t xml:space="preserve"> Currently, only the name is required.</w:t>
      </w:r>
      <w:r w:rsidR="006E5BA5">
        <w:rPr>
          <w:rFonts w:ascii="Times New Roman" w:hAnsi="Times New Roman"/>
        </w:rPr>
        <w:t xml:space="preserve"> </w:t>
      </w:r>
      <w:r w:rsidR="00AC5E5E">
        <w:rPr>
          <w:rFonts w:ascii="Times New Roman" w:hAnsi="Times New Roman"/>
        </w:rPr>
        <w:t xml:space="preserve"> This information allows EPA to contact the carrier, if necessary, to resolve issues arising in the NOA review, and it assis</w:t>
      </w:r>
      <w:r w:rsidR="00F35B4D">
        <w:rPr>
          <w:rFonts w:ascii="Times New Roman" w:hAnsi="Times New Roman"/>
        </w:rPr>
        <w:t>ts EPA in identifying a shipment when coordinating review of the shipment with Customs.</w:t>
      </w:r>
      <w:r w:rsidR="00AC5E5E">
        <w:rPr>
          <w:rFonts w:ascii="Times New Roman" w:hAnsi="Times New Roman"/>
        </w:rPr>
        <w:t xml:space="preserve"> </w:t>
      </w:r>
    </w:p>
    <w:p w:rsidR="000C60AF" w:rsidRDefault="00881CBE">
      <w:pPr>
        <w:pStyle w:val="ListParagraph"/>
        <w:numPr>
          <w:ilvl w:val="0"/>
          <w:numId w:val="7"/>
        </w:numPr>
        <w:ind w:left="1080"/>
        <w:rPr>
          <w:rFonts w:ascii="Times New Roman" w:hAnsi="Times New Roman"/>
        </w:rPr>
      </w:pPr>
      <w:r>
        <w:rPr>
          <w:rFonts w:ascii="Times New Roman" w:hAnsi="Times New Roman"/>
        </w:rPr>
        <w:t>Adding the email and phone numbers to the address information</w:t>
      </w:r>
      <w:r w:rsidR="00126204">
        <w:rPr>
          <w:rFonts w:ascii="Times New Roman" w:hAnsi="Times New Roman"/>
        </w:rPr>
        <w:t xml:space="preserve"> required</w:t>
      </w:r>
      <w:r>
        <w:rPr>
          <w:rFonts w:ascii="Times New Roman" w:hAnsi="Times New Roman"/>
        </w:rPr>
        <w:t xml:space="preserve"> </w:t>
      </w:r>
      <w:r w:rsidR="00126204">
        <w:rPr>
          <w:rFonts w:ascii="Times New Roman" w:hAnsi="Times New Roman"/>
        </w:rPr>
        <w:t>f</w:t>
      </w:r>
      <w:r>
        <w:rPr>
          <w:rFonts w:ascii="Times New Roman" w:hAnsi="Times New Roman"/>
        </w:rPr>
        <w:t>or the importe</w:t>
      </w:r>
      <w:r w:rsidR="005539ED">
        <w:rPr>
          <w:rFonts w:ascii="Times New Roman" w:hAnsi="Times New Roman"/>
        </w:rPr>
        <w:t>r</w:t>
      </w:r>
      <w:r>
        <w:rPr>
          <w:rFonts w:ascii="Times New Roman" w:hAnsi="Times New Roman"/>
        </w:rPr>
        <w:t xml:space="preserve">, broker, shipper, </w:t>
      </w:r>
      <w:r w:rsidR="005539ED">
        <w:rPr>
          <w:rFonts w:ascii="Times New Roman" w:hAnsi="Times New Roman"/>
        </w:rPr>
        <w:t>carrier, and</w:t>
      </w:r>
      <w:r>
        <w:rPr>
          <w:rFonts w:ascii="Times New Roman" w:hAnsi="Times New Roman"/>
        </w:rPr>
        <w:t xml:space="preserve"> consignee</w:t>
      </w:r>
      <w:r w:rsidR="00E52B2F">
        <w:rPr>
          <w:rFonts w:ascii="Times New Roman" w:hAnsi="Times New Roman"/>
        </w:rPr>
        <w:t xml:space="preserve"> (19 CFR 12.112)</w:t>
      </w:r>
      <w:r>
        <w:rPr>
          <w:rFonts w:ascii="Times New Roman" w:hAnsi="Times New Roman"/>
        </w:rPr>
        <w:t>.</w:t>
      </w:r>
      <w:r w:rsidR="00E52B2F">
        <w:rPr>
          <w:rFonts w:ascii="Times New Roman" w:hAnsi="Times New Roman"/>
        </w:rPr>
        <w:t xml:space="preserve">  </w:t>
      </w:r>
      <w:r>
        <w:rPr>
          <w:rFonts w:ascii="Times New Roman" w:hAnsi="Times New Roman"/>
        </w:rPr>
        <w:t>The c</w:t>
      </w:r>
      <w:r w:rsidRPr="00881CBE">
        <w:rPr>
          <w:rFonts w:ascii="Times New Roman" w:hAnsi="Times New Roman"/>
        </w:rPr>
        <w:t xml:space="preserve">omplete address will be defined to include the physical address, telephone number (including cellular or mobile telephone), and email address. </w:t>
      </w:r>
      <w:r w:rsidR="00F35B4D" w:rsidRPr="00F35B4D">
        <w:rPr>
          <w:rFonts w:ascii="Times New Roman" w:hAnsi="Times New Roman"/>
        </w:rPr>
        <w:t>Email and phone number facilitate communications with parties involved in importing a p</w:t>
      </w:r>
      <w:r w:rsidR="00F35B4D">
        <w:rPr>
          <w:rFonts w:ascii="Times New Roman" w:hAnsi="Times New Roman"/>
        </w:rPr>
        <w:t>esticide or device, with the goal</w:t>
      </w:r>
      <w:r w:rsidR="00F35B4D" w:rsidRPr="00F35B4D">
        <w:rPr>
          <w:rFonts w:ascii="Times New Roman" w:hAnsi="Times New Roman"/>
        </w:rPr>
        <w:t xml:space="preserve"> of resolving issues quickly and avoiding delays</w:t>
      </w:r>
      <w:r w:rsidRPr="00881CBE">
        <w:rPr>
          <w:rFonts w:ascii="Times New Roman" w:hAnsi="Times New Roman"/>
        </w:rPr>
        <w:t xml:space="preserve"> </w:t>
      </w:r>
    </w:p>
    <w:p w:rsidR="00845B84" w:rsidRDefault="00845B84">
      <w:pPr>
        <w:pStyle w:val="ListParagraph"/>
        <w:numPr>
          <w:ilvl w:val="0"/>
          <w:numId w:val="7"/>
        </w:numPr>
        <w:ind w:left="1080"/>
        <w:rPr>
          <w:rFonts w:ascii="Times New Roman" w:hAnsi="Times New Roman"/>
        </w:rPr>
      </w:pPr>
      <w:r>
        <w:rPr>
          <w:rFonts w:ascii="Times New Roman" w:hAnsi="Times New Roman"/>
        </w:rPr>
        <w:t>Changing the entry date to anticipated entry date (19 CFR 12.113)</w:t>
      </w:r>
    </w:p>
    <w:p w:rsidR="00AC4BF1" w:rsidRDefault="00AC4BF1">
      <w:pPr>
        <w:pStyle w:val="ListParagraph"/>
        <w:numPr>
          <w:ilvl w:val="0"/>
          <w:numId w:val="7"/>
        </w:numPr>
        <w:ind w:left="1080"/>
        <w:rPr>
          <w:rFonts w:ascii="Times New Roman" w:hAnsi="Times New Roman"/>
        </w:rPr>
      </w:pPr>
      <w:r>
        <w:rPr>
          <w:rFonts w:ascii="Times New Roman" w:hAnsi="Times New Roman"/>
        </w:rPr>
        <w:t>Adding the recommendation that respondents importing a</w:t>
      </w:r>
      <w:r w:rsidR="00857DB3">
        <w:rPr>
          <w:rFonts w:ascii="Times New Roman" w:hAnsi="Times New Roman"/>
        </w:rPr>
        <w:t>n unregistered</w:t>
      </w:r>
      <w:r>
        <w:rPr>
          <w:rFonts w:ascii="Times New Roman" w:hAnsi="Times New Roman"/>
        </w:rPr>
        <w:t xml:space="preserve"> pesticide provide additional information, including the intended use and a description of why the product is being imported into the United States, in the remarks. Providing this information voluntarily on Form 3540-1 will expedite EPA’s review of the </w:t>
      </w:r>
      <w:r w:rsidR="00166F58">
        <w:rPr>
          <w:rFonts w:ascii="Times New Roman" w:hAnsi="Times New Roman"/>
        </w:rPr>
        <w:t>N</w:t>
      </w:r>
      <w:r>
        <w:rPr>
          <w:rFonts w:ascii="Times New Roman" w:hAnsi="Times New Roman"/>
        </w:rPr>
        <w:t xml:space="preserve">otice of </w:t>
      </w:r>
      <w:r w:rsidR="00166F58">
        <w:rPr>
          <w:rFonts w:ascii="Times New Roman" w:hAnsi="Times New Roman"/>
        </w:rPr>
        <w:t>A</w:t>
      </w:r>
      <w:r>
        <w:rPr>
          <w:rFonts w:ascii="Times New Roman" w:hAnsi="Times New Roman"/>
        </w:rPr>
        <w:t>rrival.</w:t>
      </w:r>
    </w:p>
    <w:p w:rsidR="00F92041" w:rsidRDefault="00F92041">
      <w:pPr>
        <w:pStyle w:val="ListParagraph"/>
        <w:numPr>
          <w:ilvl w:val="0"/>
          <w:numId w:val="7"/>
        </w:numPr>
        <w:ind w:left="1080"/>
        <w:rPr>
          <w:rFonts w:ascii="Times New Roman" w:hAnsi="Times New Roman"/>
        </w:rPr>
      </w:pPr>
      <w:r>
        <w:rPr>
          <w:rFonts w:ascii="Times New Roman" w:hAnsi="Times New Roman"/>
        </w:rPr>
        <w:t xml:space="preserve">Adding the recommendation that respondents of registered pesticides list the active ingredients and percentage of each. Most respondents already voluntarily provide this information. </w:t>
      </w:r>
      <w:r w:rsidR="00F35B4D" w:rsidRPr="00F35B4D">
        <w:rPr>
          <w:rFonts w:ascii="Times New Roman" w:hAnsi="Times New Roman"/>
        </w:rPr>
        <w:t xml:space="preserve">For unregistered pesticides, </w:t>
      </w:r>
      <w:r w:rsidR="00225491">
        <w:rPr>
          <w:rFonts w:ascii="Times New Roman" w:hAnsi="Times New Roman"/>
        </w:rPr>
        <w:t>this information</w:t>
      </w:r>
      <w:r w:rsidR="00F35B4D" w:rsidRPr="00F35B4D">
        <w:rPr>
          <w:rFonts w:ascii="Times New Roman" w:hAnsi="Times New Roman"/>
        </w:rPr>
        <w:t xml:space="preserve"> provides the identity of the active ingredient in the pesticide product. For registered pesticides, this information allows EPA to verify that the chemical composition of the pesticide product being imported matches the chemical composition</w:t>
      </w:r>
      <w:r w:rsidR="001179C9">
        <w:rPr>
          <w:rFonts w:ascii="Times New Roman" w:hAnsi="Times New Roman"/>
        </w:rPr>
        <w:t xml:space="preserve">  as a condition of the registration of the product in the United States. </w:t>
      </w:r>
      <w:r w:rsidR="00F35B4D">
        <w:rPr>
          <w:rFonts w:ascii="Times New Roman" w:hAnsi="Times New Roman"/>
        </w:rPr>
        <w:t xml:space="preserve"> </w:t>
      </w:r>
      <w:r>
        <w:rPr>
          <w:rFonts w:ascii="Times New Roman" w:hAnsi="Times New Roman"/>
        </w:rPr>
        <w:t>This addition is accounting for current practice.</w:t>
      </w:r>
      <w:r w:rsidR="00F35B4D">
        <w:rPr>
          <w:rFonts w:ascii="Times New Roman" w:hAnsi="Times New Roman"/>
        </w:rPr>
        <w:t xml:space="preserve"> </w:t>
      </w:r>
    </w:p>
    <w:p w:rsidR="007F54C6" w:rsidRPr="007F54C6" w:rsidRDefault="007F54C6" w:rsidP="007F54C6">
      <w:pPr>
        <w:pStyle w:val="ListParagraph"/>
        <w:numPr>
          <w:ilvl w:val="0"/>
          <w:numId w:val="7"/>
        </w:numPr>
        <w:ind w:left="1080"/>
        <w:rPr>
          <w:rFonts w:ascii="Times New Roman" w:hAnsi="Times New Roman"/>
        </w:rPr>
      </w:pPr>
      <w:r>
        <w:rPr>
          <w:rFonts w:ascii="Times New Roman" w:hAnsi="Times New Roman"/>
        </w:rPr>
        <w:t xml:space="preserve">Including the </w:t>
      </w:r>
      <w:r w:rsidR="00FC1559">
        <w:rPr>
          <w:rFonts w:ascii="Times New Roman" w:hAnsi="Times New Roman"/>
        </w:rPr>
        <w:t xml:space="preserve">product </w:t>
      </w:r>
      <w:r>
        <w:rPr>
          <w:rFonts w:ascii="Times New Roman" w:hAnsi="Times New Roman"/>
        </w:rPr>
        <w:t xml:space="preserve">label as part of the standard NOA package. </w:t>
      </w:r>
      <w:r w:rsidRPr="00F35B4D">
        <w:rPr>
          <w:rFonts w:ascii="Times New Roman" w:hAnsi="Times New Roman"/>
        </w:rPr>
        <w:t xml:space="preserve">The label allows EPA to verify compliance with </w:t>
      </w:r>
      <w:r>
        <w:rPr>
          <w:rFonts w:ascii="Times New Roman" w:hAnsi="Times New Roman"/>
        </w:rPr>
        <w:t xml:space="preserve">FIFRA </w:t>
      </w:r>
      <w:r w:rsidRPr="00F35B4D">
        <w:rPr>
          <w:rFonts w:ascii="Times New Roman" w:hAnsi="Times New Roman"/>
        </w:rPr>
        <w:t>labeling requirements</w:t>
      </w:r>
      <w:r>
        <w:rPr>
          <w:rFonts w:ascii="Times New Roman" w:hAnsi="Times New Roman"/>
        </w:rPr>
        <w:t xml:space="preserve"> and may help to resolve issues with a shipment.</w:t>
      </w:r>
      <w:r w:rsidRPr="00CC1AB8">
        <w:rPr>
          <w:rFonts w:ascii="Times New Roman" w:hAnsi="Times New Roman"/>
        </w:rPr>
        <w:t xml:space="preserve"> </w:t>
      </w:r>
      <w:r w:rsidR="0019391C">
        <w:rPr>
          <w:rFonts w:ascii="Times New Roman" w:hAnsi="Times New Roman"/>
        </w:rPr>
        <w:t xml:space="preserve">The label also communicates information that may help CBP Officers take appropriate precautionary measures when handling these shipments at the port. </w:t>
      </w:r>
      <w:r w:rsidRPr="00881CBE">
        <w:rPr>
          <w:rFonts w:ascii="Times New Roman" w:hAnsi="Times New Roman"/>
        </w:rPr>
        <w:t xml:space="preserve">This addition is accounting for current practice. </w:t>
      </w:r>
    </w:p>
    <w:p w:rsidR="000C60AF" w:rsidRDefault="00F92041">
      <w:pPr>
        <w:pStyle w:val="ListParagraph"/>
        <w:numPr>
          <w:ilvl w:val="0"/>
          <w:numId w:val="7"/>
        </w:numPr>
        <w:ind w:left="1080"/>
        <w:rPr>
          <w:rFonts w:ascii="Times New Roman" w:hAnsi="Times New Roman"/>
        </w:rPr>
      </w:pPr>
      <w:r>
        <w:rPr>
          <w:rFonts w:ascii="Times New Roman" w:hAnsi="Times New Roman"/>
        </w:rPr>
        <w:t xml:space="preserve">Adding </w:t>
      </w:r>
      <w:r w:rsidR="00881CBE" w:rsidRPr="00881CBE">
        <w:rPr>
          <w:rFonts w:ascii="Times New Roman" w:hAnsi="Times New Roman"/>
        </w:rPr>
        <w:t xml:space="preserve">the recommendation that respondents include supporting documentation, </w:t>
      </w:r>
      <w:r w:rsidR="007F54C6">
        <w:rPr>
          <w:rFonts w:ascii="Times New Roman" w:hAnsi="Times New Roman"/>
        </w:rPr>
        <w:t xml:space="preserve"> such as a</w:t>
      </w:r>
      <w:r w:rsidR="00881CBE" w:rsidRPr="00881CBE">
        <w:rPr>
          <w:rFonts w:ascii="Times New Roman" w:hAnsi="Times New Roman"/>
        </w:rPr>
        <w:t xml:space="preserve"> material safety data sheet</w:t>
      </w:r>
      <w:r w:rsidR="007F54C6">
        <w:rPr>
          <w:rFonts w:ascii="Times New Roman" w:hAnsi="Times New Roman"/>
        </w:rPr>
        <w:t>s</w:t>
      </w:r>
      <w:r w:rsidR="00881CBE" w:rsidRPr="00881CBE">
        <w:rPr>
          <w:rFonts w:ascii="Times New Roman" w:hAnsi="Times New Roman"/>
        </w:rPr>
        <w:t xml:space="preserve">, </w:t>
      </w:r>
      <w:r w:rsidR="007A1B24">
        <w:rPr>
          <w:rFonts w:ascii="Times New Roman" w:hAnsi="Times New Roman"/>
        </w:rPr>
        <w:t>Customs</w:t>
      </w:r>
      <w:r w:rsidR="00881CBE" w:rsidRPr="00881CBE">
        <w:rPr>
          <w:rFonts w:ascii="Times New Roman" w:hAnsi="Times New Roman"/>
        </w:rPr>
        <w:t xml:space="preserve"> forms 7501</w:t>
      </w:r>
      <w:r w:rsidR="00166F58">
        <w:rPr>
          <w:rFonts w:ascii="Times New Roman" w:hAnsi="Times New Roman"/>
        </w:rPr>
        <w:t xml:space="preserve"> or </w:t>
      </w:r>
      <w:r w:rsidR="00881CBE" w:rsidRPr="00881CBE">
        <w:rPr>
          <w:rFonts w:ascii="Times New Roman" w:hAnsi="Times New Roman"/>
        </w:rPr>
        <w:t>3461 other information submitted</w:t>
      </w:r>
      <w:r w:rsidR="00E52B2F">
        <w:rPr>
          <w:rFonts w:ascii="Times New Roman" w:hAnsi="Times New Roman"/>
        </w:rPr>
        <w:t xml:space="preserve"> to </w:t>
      </w:r>
      <w:r w:rsidR="007A1B24">
        <w:rPr>
          <w:rFonts w:ascii="Times New Roman" w:hAnsi="Times New Roman"/>
        </w:rPr>
        <w:t>Customs</w:t>
      </w:r>
      <w:r w:rsidR="00881CBE" w:rsidRPr="00881CBE">
        <w:rPr>
          <w:rFonts w:ascii="Times New Roman" w:hAnsi="Times New Roman"/>
        </w:rPr>
        <w:t xml:space="preserve"> pursuant to 19 CFR 142.3(5)</w:t>
      </w:r>
      <w:r w:rsidR="007F54C6">
        <w:rPr>
          <w:rFonts w:ascii="Times New Roman" w:hAnsi="Times New Roman"/>
        </w:rPr>
        <w:t xml:space="preserve">, that may assist EPA in evaluating the shipment. </w:t>
      </w:r>
      <w:r w:rsidR="007F54C6" w:rsidRPr="00F35B4D">
        <w:rPr>
          <w:rFonts w:ascii="Times New Roman" w:hAnsi="Times New Roman"/>
        </w:rPr>
        <w:t>The Customs entry forms allow EPA to verify that the information submitted on an NOA is accur</w:t>
      </w:r>
      <w:r w:rsidR="007F54C6">
        <w:rPr>
          <w:rFonts w:ascii="Times New Roman" w:hAnsi="Times New Roman"/>
        </w:rPr>
        <w:t>ate</w:t>
      </w:r>
      <w:r w:rsidR="007F54C6" w:rsidRPr="00F35B4D">
        <w:rPr>
          <w:rFonts w:ascii="Times New Roman" w:hAnsi="Times New Roman"/>
        </w:rPr>
        <w:t>. The MSDS provides EPA inspectors with information about the proper handling of the shipment when an inspection is required.</w:t>
      </w:r>
      <w:r w:rsidR="007F54C6">
        <w:rPr>
          <w:rFonts w:ascii="Times New Roman" w:hAnsi="Times New Roman"/>
        </w:rPr>
        <w:t xml:space="preserve"> </w:t>
      </w:r>
      <w:r w:rsidR="00881CBE" w:rsidRPr="00881CBE">
        <w:rPr>
          <w:rFonts w:ascii="Times New Roman" w:hAnsi="Times New Roman"/>
        </w:rPr>
        <w:t xml:space="preserve">This addition is accounting for current practice. </w:t>
      </w:r>
    </w:p>
    <w:p w:rsidR="000C60AF" w:rsidRDefault="000C60AF">
      <w:pPr>
        <w:tabs>
          <w:tab w:val="num" w:pos="720"/>
        </w:tabs>
        <w:rPr>
          <w:rFonts w:ascii="Times New Roman" w:hAnsi="Times New Roman"/>
        </w:rPr>
      </w:pPr>
    </w:p>
    <w:p w:rsidR="00772F14" w:rsidRPr="0039251A" w:rsidRDefault="00F53E3C">
      <w:pPr>
        <w:ind w:firstLine="720"/>
        <w:rPr>
          <w:rFonts w:ascii="Times New Roman" w:hAnsi="Times New Roman"/>
          <w:b/>
        </w:rPr>
      </w:pPr>
      <w:r w:rsidRPr="0039251A">
        <w:rPr>
          <w:rFonts w:ascii="Times New Roman" w:hAnsi="Times New Roman"/>
          <w:b/>
        </w:rPr>
        <w:t>(ii) Respondent Activities</w:t>
      </w:r>
    </w:p>
    <w:p w:rsidR="00772F14" w:rsidRPr="00C0504A" w:rsidRDefault="00772F14">
      <w:pPr>
        <w:ind w:firstLine="720"/>
        <w:rPr>
          <w:rFonts w:ascii="Times New Roman" w:hAnsi="Times New Roman"/>
        </w:rPr>
      </w:pP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Read instructions on reverse side of Form 3540-1</w:t>
      </w:r>
      <w:r w:rsidR="00EB2100">
        <w:rPr>
          <w:rFonts w:ascii="Times New Roman" w:hAnsi="Times New Roman"/>
        </w:rPr>
        <w:t xml:space="preserve">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activities-</w:t>
      </w:r>
      <w:r w:rsidR="007A1B24">
        <w:rPr>
          <w:rFonts w:ascii="Times New Roman" w:hAnsi="Times New Roman"/>
        </w:rPr>
        <w:t>CBP</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Gather information</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Enter information on Form 3540-1</w:t>
      </w:r>
      <w:r w:rsidR="00CE255F">
        <w:rPr>
          <w:rFonts w:ascii="Times New Roman" w:hAnsi="Times New Roman"/>
        </w:rPr>
        <w:t xml:space="preserve"> </w:t>
      </w:r>
      <w:r w:rsidRPr="00BE7FD6">
        <w:rPr>
          <w:rFonts w:ascii="Times New Roman" w:hAnsi="Times New Roman"/>
        </w:rPr>
        <w:t xml:space="preserve">and submit </w:t>
      </w:r>
      <w:r w:rsidR="007F54C6">
        <w:rPr>
          <w:rFonts w:ascii="Times New Roman" w:hAnsi="Times New Roman"/>
        </w:rPr>
        <w:t xml:space="preserve">Form, including </w:t>
      </w:r>
      <w:r w:rsidR="00053573">
        <w:rPr>
          <w:rFonts w:ascii="Times New Roman" w:hAnsi="Times New Roman"/>
        </w:rPr>
        <w:t xml:space="preserve"> the</w:t>
      </w:r>
      <w:r w:rsidR="007F54C6">
        <w:rPr>
          <w:rFonts w:ascii="Times New Roman" w:hAnsi="Times New Roman"/>
        </w:rPr>
        <w:t xml:space="preserve"> label, </w:t>
      </w:r>
      <w:r w:rsidRPr="00BE7FD6">
        <w:rPr>
          <w:rFonts w:ascii="Times New Roman" w:hAnsi="Times New Roman"/>
        </w:rPr>
        <w:t>to EPA prior to arrival of pesticide or device product</w:t>
      </w:r>
      <w:r w:rsidR="00EB2100">
        <w:rPr>
          <w:rFonts w:ascii="Times New Roman" w:hAnsi="Times New Roman"/>
        </w:rPr>
        <w:t xml:space="preserve"> </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Respond to questions if further inquires are made by EPA</w:t>
      </w:r>
    </w:p>
    <w:p w:rsidR="00772F14" w:rsidRPr="00C0504A" w:rsidRDefault="000212A9" w:rsidP="005E3A00">
      <w:pPr>
        <w:numPr>
          <w:ilvl w:val="0"/>
          <w:numId w:val="3"/>
        </w:numPr>
        <w:tabs>
          <w:tab w:val="clear" w:pos="1440"/>
          <w:tab w:val="left" w:pos="1080"/>
          <w:tab w:val="num" w:pos="1260"/>
        </w:tabs>
        <w:ind w:left="1260" w:hanging="540"/>
        <w:rPr>
          <w:rFonts w:ascii="Times New Roman" w:hAnsi="Times New Roman"/>
        </w:rPr>
      </w:pPr>
      <w:r>
        <w:rPr>
          <w:rFonts w:ascii="Times New Roman" w:hAnsi="Times New Roman"/>
        </w:rPr>
        <w:t xml:space="preserve">Submit </w:t>
      </w:r>
      <w:r w:rsidR="00BE7FD6" w:rsidRPr="00BE7FD6">
        <w:rPr>
          <w:rFonts w:ascii="Times New Roman" w:hAnsi="Times New Roman"/>
        </w:rPr>
        <w:t>Form 3540-1</w:t>
      </w:r>
      <w:r w:rsidR="00B55B70">
        <w:rPr>
          <w:rFonts w:ascii="Times New Roman" w:hAnsi="Times New Roman"/>
        </w:rPr>
        <w:t>, after it is reviewed</w:t>
      </w:r>
      <w:r w:rsidR="00126204">
        <w:rPr>
          <w:rFonts w:ascii="Times New Roman" w:hAnsi="Times New Roman"/>
        </w:rPr>
        <w:t xml:space="preserve"> and signed</w:t>
      </w:r>
      <w:r w:rsidR="00B55B70">
        <w:rPr>
          <w:rFonts w:ascii="Times New Roman" w:hAnsi="Times New Roman"/>
        </w:rPr>
        <w:t xml:space="preserve"> by EPA,</w:t>
      </w:r>
      <w:r w:rsidR="00BE7FD6" w:rsidRPr="00BE7FD6">
        <w:rPr>
          <w:rFonts w:ascii="Times New Roman" w:hAnsi="Times New Roman"/>
        </w:rPr>
        <w:t xml:space="preserve"> to Customs and Border Protection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and review information for accuracy</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Store, file, and maintain the information</w:t>
      </w:r>
    </w:p>
    <w:p w:rsidR="00B55B70" w:rsidRPr="00C0504A" w:rsidRDefault="00B55B70">
      <w:pPr>
        <w:rPr>
          <w:rFonts w:ascii="Times New Roman" w:hAnsi="Times New Roman"/>
        </w:rPr>
      </w:pPr>
    </w:p>
    <w:p w:rsidR="00772F14" w:rsidRPr="00C0504A" w:rsidRDefault="007A1B24">
      <w:pPr>
        <w:ind w:firstLine="720"/>
        <w:rPr>
          <w:rFonts w:ascii="Times New Roman" w:hAnsi="Times New Roman"/>
        </w:rPr>
      </w:pPr>
      <w:r>
        <w:rPr>
          <w:rFonts w:ascii="Times New Roman" w:hAnsi="Times New Roman"/>
        </w:rPr>
        <w:t>C</w:t>
      </w:r>
      <w:r w:rsidR="005C7CB6">
        <w:rPr>
          <w:rFonts w:ascii="Times New Roman" w:hAnsi="Times New Roman"/>
        </w:rPr>
        <w:t>BP means ”</w:t>
      </w:r>
      <w:r w:rsidR="00BE7FD6" w:rsidRPr="00BE7FD6">
        <w:rPr>
          <w:rFonts w:ascii="Times New Roman" w:hAnsi="Times New Roman"/>
        </w:rPr>
        <w:t>Customary and Usual Business Practice</w:t>
      </w:r>
      <w:r w:rsidR="005C7CB6">
        <w:rPr>
          <w:rFonts w:ascii="Times New Roman" w:hAnsi="Times New Roman"/>
        </w:rPr>
        <w:t>;</w:t>
      </w:r>
      <w:r w:rsidR="00BE7FD6" w:rsidRPr="00BE7FD6">
        <w:rPr>
          <w:rFonts w:ascii="Times New Roman" w:hAnsi="Times New Roman"/>
        </w:rPr>
        <w:t xml:space="preserve">"  </w:t>
      </w:r>
      <w:r w:rsidR="003F7440">
        <w:rPr>
          <w:rFonts w:ascii="Times New Roman" w:hAnsi="Times New Roman"/>
        </w:rPr>
        <w:t>d</w:t>
      </w:r>
      <w:r w:rsidR="00BE7FD6" w:rsidRPr="00BE7FD6">
        <w:rPr>
          <w:rFonts w:ascii="Times New Roman" w:hAnsi="Times New Roman"/>
        </w:rPr>
        <w:t xml:space="preserve">uring the course of normal and prudent business operations, a </w:t>
      </w:r>
      <w:r w:rsidR="000212A9">
        <w:rPr>
          <w:rFonts w:ascii="Times New Roman" w:hAnsi="Times New Roman"/>
        </w:rPr>
        <w:t>respondent</w:t>
      </w:r>
      <w:r w:rsidR="00BE7FD6" w:rsidRPr="00BE7FD6">
        <w:rPr>
          <w:rFonts w:ascii="Times New Roman" w:hAnsi="Times New Roman"/>
        </w:rPr>
        <w:t xml:space="preserve"> would plan </w:t>
      </w:r>
      <w:r w:rsidR="00845B84">
        <w:rPr>
          <w:rFonts w:ascii="Times New Roman" w:hAnsi="Times New Roman"/>
        </w:rPr>
        <w:t xml:space="preserve">activities for this </w:t>
      </w:r>
      <w:r w:rsidR="00BE7FD6" w:rsidRPr="00BE7FD6">
        <w:rPr>
          <w:rFonts w:ascii="Times New Roman" w:hAnsi="Times New Roman"/>
        </w:rPr>
        <w:t>information collection</w:t>
      </w:r>
      <w:r w:rsidR="00845B84">
        <w:rPr>
          <w:rFonts w:ascii="Times New Roman" w:hAnsi="Times New Roman"/>
        </w:rPr>
        <w:t>,</w:t>
      </w:r>
      <w:r w:rsidR="00BE7FD6" w:rsidRPr="00BE7FD6">
        <w:rPr>
          <w:rFonts w:ascii="Times New Roman" w:hAnsi="Times New Roman"/>
        </w:rPr>
        <w:t xml:space="preserve"> arrange for the collection, review the information for accuracy</w:t>
      </w:r>
      <w:r w:rsidR="00772F14" w:rsidRPr="00C0504A">
        <w:rPr>
          <w:rFonts w:ascii="Times New Roman" w:hAnsi="Times New Roman"/>
        </w:rPr>
        <w:t>, and arrange to maintain or store the information detailed under 4(b) above.  The Information to be kept is generally information that prudent businesses would maintai</w:t>
      </w:r>
      <w:r w:rsidR="000212A9">
        <w:rPr>
          <w:rFonts w:ascii="Times New Roman" w:hAnsi="Times New Roman"/>
        </w:rPr>
        <w:t>n.</w:t>
      </w:r>
    </w:p>
    <w:p w:rsidR="00772F14" w:rsidRPr="00C0504A" w:rsidRDefault="00772F14">
      <w:pPr>
        <w:rPr>
          <w:rFonts w:ascii="Times New Roman" w:hAnsi="Times New Roman"/>
        </w:rPr>
      </w:pPr>
    </w:p>
    <w:p w:rsidR="00A936C2" w:rsidRDefault="00BE7FD6">
      <w:pPr>
        <w:keepNext/>
        <w:rPr>
          <w:rFonts w:ascii="Times New Roman" w:hAnsi="Times New Roman"/>
        </w:rPr>
      </w:pPr>
      <w:r w:rsidRPr="00BE7FD6">
        <w:rPr>
          <w:rFonts w:ascii="Times New Roman" w:hAnsi="Times New Roman"/>
          <w:b/>
          <w:bCs/>
        </w:rPr>
        <w:t>5. The Information Collected-Agency Activities, Collection Methodology, and Information Management</w:t>
      </w:r>
      <w:r w:rsidRPr="00BE7FD6">
        <w:rPr>
          <w:rFonts w:ascii="Times New Roman" w:hAnsi="Times New Roman"/>
        </w:rPr>
        <w:t>.</w:t>
      </w:r>
    </w:p>
    <w:p w:rsidR="00A936C2" w:rsidRDefault="00A936C2">
      <w:pPr>
        <w:keepNext/>
        <w:rPr>
          <w:rFonts w:ascii="Times New Roman" w:hAnsi="Times New Roman"/>
        </w:rPr>
      </w:pPr>
    </w:p>
    <w:p w:rsidR="00A936C2" w:rsidRDefault="00BE7FD6">
      <w:pPr>
        <w:keepNext/>
        <w:ind w:firstLine="720"/>
        <w:rPr>
          <w:rFonts w:ascii="Times New Roman" w:hAnsi="Times New Roman"/>
          <w:b/>
          <w:bCs/>
        </w:rPr>
      </w:pPr>
      <w:r w:rsidRPr="00BE7FD6">
        <w:rPr>
          <w:rFonts w:ascii="Times New Roman" w:hAnsi="Times New Roman"/>
          <w:b/>
          <w:bCs/>
        </w:rPr>
        <w:t>5(a) Agency Activities</w:t>
      </w:r>
    </w:p>
    <w:p w:rsidR="00A936C2" w:rsidRDefault="00A936C2">
      <w:pPr>
        <w:keepNext/>
        <w:rPr>
          <w:rFonts w:ascii="Times New Roman" w:hAnsi="Times New Roman"/>
          <w:b/>
          <w:bCs/>
        </w:rPr>
      </w:pPr>
    </w:p>
    <w:p w:rsidR="00A936C2" w:rsidRDefault="003822C6">
      <w:pPr>
        <w:keepNext/>
        <w:ind w:firstLine="720"/>
        <w:rPr>
          <w:rFonts w:ascii="Times New Roman" w:hAnsi="Times New Roman"/>
        </w:rPr>
      </w:pPr>
      <w:r>
        <w:rPr>
          <w:rFonts w:ascii="Times New Roman" w:hAnsi="Times New Roman"/>
        </w:rPr>
        <w:t>EPA</w:t>
      </w:r>
      <w:r w:rsidR="00D55BDD" w:rsidRPr="00D55BDD">
        <w:rPr>
          <w:rFonts w:ascii="Times New Roman" w:hAnsi="Times New Roman"/>
        </w:rPr>
        <w:t xml:space="preserve"> regional personnel review</w:t>
      </w:r>
      <w:r w:rsidR="00D55BDD">
        <w:rPr>
          <w:rFonts w:ascii="Times New Roman" w:hAnsi="Times New Roman"/>
        </w:rPr>
        <w:t xml:space="preserve"> Form 3540</w:t>
      </w:r>
      <w:r w:rsidR="00D55BDD" w:rsidRPr="00166F58">
        <w:rPr>
          <w:rFonts w:ascii="Times New Roman" w:hAnsi="Times New Roman"/>
        </w:rPr>
        <w:t>-</w:t>
      </w:r>
      <w:r w:rsidR="00166F58" w:rsidRPr="00166F58">
        <w:rPr>
          <w:rFonts w:ascii="Times New Roman" w:hAnsi="Times New Roman"/>
        </w:rPr>
        <w:t xml:space="preserve">1 </w:t>
      </w:r>
      <w:r w:rsidR="00D55BDD" w:rsidRPr="00166F58">
        <w:rPr>
          <w:rFonts w:ascii="Times New Roman" w:hAnsi="Times New Roman"/>
        </w:rPr>
        <w:t>for</w:t>
      </w:r>
      <w:r w:rsidR="00D55BDD" w:rsidRPr="00D55BDD">
        <w:rPr>
          <w:rFonts w:ascii="Times New Roman" w:hAnsi="Times New Roman"/>
        </w:rPr>
        <w:t xml:space="preserve"> accuracy and completeness of the submitted information and maintain files of the NOA for inspection and targeting.  If all information is </w:t>
      </w:r>
      <w:r w:rsidR="00D55BDD">
        <w:rPr>
          <w:rFonts w:ascii="Times New Roman" w:hAnsi="Times New Roman"/>
        </w:rPr>
        <w:t>complete and accurate</w:t>
      </w:r>
      <w:r w:rsidR="00D55BDD" w:rsidRPr="00D55BDD">
        <w:rPr>
          <w:rFonts w:ascii="Times New Roman" w:hAnsi="Times New Roman"/>
        </w:rPr>
        <w:t xml:space="preserve">, the Agency reviewer signs and returns the form to the importer.  </w:t>
      </w:r>
      <w:r w:rsidR="00567F79">
        <w:rPr>
          <w:rFonts w:ascii="Times New Roman" w:hAnsi="Times New Roman"/>
        </w:rPr>
        <w:t>An incomplete NOA</w:t>
      </w:r>
      <w:r w:rsidR="00D55BDD">
        <w:rPr>
          <w:rFonts w:ascii="Times New Roman" w:hAnsi="Times New Roman"/>
        </w:rPr>
        <w:t xml:space="preserve"> </w:t>
      </w:r>
      <w:r w:rsidR="00D55BDD" w:rsidRPr="003001FC">
        <w:rPr>
          <w:rFonts w:ascii="Times New Roman" w:hAnsi="Times New Roman"/>
        </w:rPr>
        <w:t xml:space="preserve">may require additional follow-up </w:t>
      </w:r>
      <w:r w:rsidR="00D55BDD">
        <w:rPr>
          <w:rFonts w:ascii="Times New Roman" w:hAnsi="Times New Roman"/>
        </w:rPr>
        <w:t>in order to</w:t>
      </w:r>
      <w:r w:rsidR="00D55BDD" w:rsidRPr="003001FC">
        <w:rPr>
          <w:rFonts w:ascii="Times New Roman" w:hAnsi="Times New Roman"/>
        </w:rPr>
        <w:t xml:space="preserve"> determin</w:t>
      </w:r>
      <w:r w:rsidR="00D55BDD">
        <w:rPr>
          <w:rFonts w:ascii="Times New Roman" w:hAnsi="Times New Roman"/>
        </w:rPr>
        <w:t>e</w:t>
      </w:r>
      <w:r w:rsidR="00D55BDD" w:rsidRPr="003001FC">
        <w:rPr>
          <w:rFonts w:ascii="Times New Roman" w:hAnsi="Times New Roman"/>
        </w:rPr>
        <w:t xml:space="preserve"> the disposition of the pesticide</w:t>
      </w:r>
      <w:r w:rsidR="00D55BDD">
        <w:rPr>
          <w:rFonts w:ascii="Times New Roman" w:hAnsi="Times New Roman"/>
        </w:rPr>
        <w:t xml:space="preserve"> or </w:t>
      </w:r>
      <w:r w:rsidR="00D55BDD" w:rsidRPr="003001FC">
        <w:rPr>
          <w:rFonts w:ascii="Times New Roman" w:hAnsi="Times New Roman"/>
        </w:rPr>
        <w:t>device shipment.</w:t>
      </w:r>
      <w:r>
        <w:rPr>
          <w:rFonts w:ascii="Times New Roman" w:hAnsi="Times New Roman"/>
        </w:rPr>
        <w:t xml:space="preserve"> </w:t>
      </w:r>
      <w:r w:rsidR="00D55BDD">
        <w:rPr>
          <w:rFonts w:ascii="Times New Roman" w:hAnsi="Times New Roman"/>
        </w:rPr>
        <w:t xml:space="preserve"> </w:t>
      </w:r>
      <w:r>
        <w:rPr>
          <w:rFonts w:ascii="Times New Roman" w:hAnsi="Times New Roman"/>
        </w:rPr>
        <w:t xml:space="preserve">EPA regional personnel also work with </w:t>
      </w:r>
      <w:r w:rsidR="007A1B24">
        <w:rPr>
          <w:rFonts w:ascii="Times New Roman" w:hAnsi="Times New Roman"/>
        </w:rPr>
        <w:t>Customs</w:t>
      </w:r>
      <w:r>
        <w:rPr>
          <w:rFonts w:ascii="Times New Roman" w:hAnsi="Times New Roman"/>
        </w:rPr>
        <w:t xml:space="preserve"> agents at the port of entry to resolve discrepancies between information submitted on Form 3540-1 and </w:t>
      </w:r>
      <w:r w:rsidR="0055597A">
        <w:rPr>
          <w:rFonts w:ascii="Times New Roman" w:hAnsi="Times New Roman"/>
        </w:rPr>
        <w:t>Customs</w:t>
      </w:r>
      <w:r>
        <w:rPr>
          <w:rFonts w:ascii="Times New Roman" w:hAnsi="Times New Roman"/>
        </w:rPr>
        <w:t xml:space="preserve"> entry documents.    </w:t>
      </w:r>
    </w:p>
    <w:p w:rsidR="00C515D0" w:rsidRPr="00C0504A" w:rsidRDefault="00C515D0">
      <w:pPr>
        <w:ind w:firstLine="720"/>
        <w:rPr>
          <w:rFonts w:ascii="Times New Roman" w:hAnsi="Times New Roman"/>
        </w:rPr>
      </w:pPr>
    </w:p>
    <w:p w:rsidR="00772F14" w:rsidRPr="00C0504A" w:rsidRDefault="00BE7FD6" w:rsidP="005C7CB6">
      <w:pPr>
        <w:keepNext/>
        <w:keepLines/>
        <w:ind w:firstLine="720"/>
        <w:rPr>
          <w:rFonts w:ascii="Times New Roman" w:hAnsi="Times New Roman"/>
        </w:rPr>
      </w:pPr>
      <w:r w:rsidRPr="00BE7FD6">
        <w:rPr>
          <w:rFonts w:ascii="Times New Roman" w:hAnsi="Times New Roman"/>
          <w:b/>
          <w:bCs/>
        </w:rPr>
        <w:t>5(b) Collection Methodology and Management</w:t>
      </w:r>
    </w:p>
    <w:p w:rsidR="00772F14" w:rsidRPr="00C0504A" w:rsidRDefault="00772F14" w:rsidP="005C7CB6">
      <w:pPr>
        <w:keepNext/>
        <w:keepLines/>
        <w:rPr>
          <w:rFonts w:ascii="Times New Roman" w:hAnsi="Times New Roman"/>
        </w:rPr>
      </w:pPr>
    </w:p>
    <w:p w:rsidR="00772F14" w:rsidRPr="00C0504A" w:rsidRDefault="00772F14" w:rsidP="005C7CB6">
      <w:pPr>
        <w:keepNext/>
        <w:keepLines/>
        <w:ind w:firstLine="720"/>
        <w:rPr>
          <w:rFonts w:ascii="Times New Roman" w:hAnsi="Times New Roman"/>
        </w:rPr>
      </w:pPr>
      <w:r w:rsidRPr="00C0504A">
        <w:rPr>
          <w:rFonts w:ascii="Times New Roman" w:hAnsi="Times New Roman"/>
        </w:rPr>
        <w:t>The information collected is produced by all importers as part of Custo</w:t>
      </w:r>
      <w:r w:rsidR="00BE7FD6" w:rsidRPr="00BE7FD6">
        <w:rPr>
          <w:rFonts w:ascii="Times New Roman" w:hAnsi="Times New Roman"/>
        </w:rPr>
        <w:t xml:space="preserve">mary </w:t>
      </w:r>
      <w:r w:rsidR="00166F58">
        <w:rPr>
          <w:rFonts w:ascii="Times New Roman" w:hAnsi="Times New Roman"/>
        </w:rPr>
        <w:t xml:space="preserve">and Usual </w:t>
      </w:r>
      <w:r w:rsidR="00BE7FD6" w:rsidRPr="00BE7FD6">
        <w:rPr>
          <w:rFonts w:ascii="Times New Roman" w:hAnsi="Times New Roman"/>
        </w:rPr>
        <w:t>Business Practice, as described above.  This collection request concerns the entry and submission of this information using the Form 3540-1.</w:t>
      </w:r>
    </w:p>
    <w:p w:rsidR="00772F14" w:rsidRDefault="00BE7FD6">
      <w:pPr>
        <w:rPr>
          <w:rFonts w:ascii="Times New Roman" w:hAnsi="Times New Roman"/>
        </w:rPr>
      </w:pPr>
      <w:r w:rsidRPr="00BE7FD6">
        <w:rPr>
          <w:rFonts w:ascii="Times New Roman" w:hAnsi="Times New Roman"/>
        </w:rPr>
        <w:t xml:space="preserve">  </w:t>
      </w:r>
    </w:p>
    <w:p w:rsidR="00126204" w:rsidRPr="00C0504A" w:rsidRDefault="00567F79" w:rsidP="00126204">
      <w:pPr>
        <w:ind w:firstLine="720"/>
        <w:rPr>
          <w:rFonts w:ascii="Times New Roman" w:hAnsi="Times New Roman"/>
        </w:rPr>
      </w:pPr>
      <w:r>
        <w:rPr>
          <w:rFonts w:ascii="Times New Roman" w:hAnsi="Times New Roman"/>
        </w:rPr>
        <w:t>In addition to the revisions</w:t>
      </w:r>
      <w:r w:rsidR="00BA265F">
        <w:rPr>
          <w:rFonts w:ascii="Times New Roman" w:hAnsi="Times New Roman"/>
        </w:rPr>
        <w:t xml:space="preserve"> of </w:t>
      </w:r>
      <w:r>
        <w:rPr>
          <w:rFonts w:ascii="Times New Roman" w:hAnsi="Times New Roman"/>
        </w:rPr>
        <w:t>the data</w:t>
      </w:r>
      <w:r w:rsidR="00166F58">
        <w:rPr>
          <w:rFonts w:ascii="Times New Roman" w:hAnsi="Times New Roman"/>
        </w:rPr>
        <w:t xml:space="preserve"> items</w:t>
      </w:r>
      <w:r>
        <w:rPr>
          <w:rFonts w:ascii="Times New Roman" w:hAnsi="Times New Roman"/>
        </w:rPr>
        <w:t xml:space="preserve"> discussed in 4(b), </w:t>
      </w:r>
      <w:r w:rsidR="00126204">
        <w:rPr>
          <w:rFonts w:ascii="Times New Roman" w:hAnsi="Times New Roman"/>
        </w:rPr>
        <w:t>EPA is proposing the f</w:t>
      </w:r>
      <w:r w:rsidR="00126204" w:rsidRPr="00C63655">
        <w:rPr>
          <w:rFonts w:ascii="Times New Roman" w:hAnsi="Times New Roman"/>
        </w:rPr>
        <w:t xml:space="preserve">ollowing changes </w:t>
      </w:r>
      <w:r w:rsidR="00126204">
        <w:rPr>
          <w:rFonts w:ascii="Times New Roman" w:hAnsi="Times New Roman"/>
        </w:rPr>
        <w:t>to</w:t>
      </w:r>
      <w:r w:rsidR="00126204" w:rsidRPr="00C63655">
        <w:rPr>
          <w:rFonts w:ascii="Times New Roman" w:hAnsi="Times New Roman"/>
        </w:rPr>
        <w:t xml:space="preserve"> Form 3540-1 to improve</w:t>
      </w:r>
      <w:r w:rsidR="00126204">
        <w:rPr>
          <w:rFonts w:ascii="Times New Roman" w:hAnsi="Times New Roman"/>
        </w:rPr>
        <w:t xml:space="preserve"> the</w:t>
      </w:r>
      <w:r w:rsidR="00126204" w:rsidRPr="00C63655">
        <w:rPr>
          <w:rFonts w:ascii="Times New Roman" w:hAnsi="Times New Roman"/>
        </w:rPr>
        <w:t xml:space="preserve"> information</w:t>
      </w:r>
      <w:r w:rsidR="00126204">
        <w:rPr>
          <w:rFonts w:ascii="Times New Roman" w:hAnsi="Times New Roman"/>
        </w:rPr>
        <w:t xml:space="preserve"> collected </w:t>
      </w:r>
      <w:r w:rsidR="00126204" w:rsidRPr="00C63655">
        <w:rPr>
          <w:rFonts w:ascii="Times New Roman" w:hAnsi="Times New Roman"/>
        </w:rPr>
        <w:t xml:space="preserve">and </w:t>
      </w:r>
      <w:r w:rsidR="00126204">
        <w:rPr>
          <w:rFonts w:ascii="Times New Roman" w:hAnsi="Times New Roman"/>
        </w:rPr>
        <w:t xml:space="preserve">review process for </w:t>
      </w:r>
      <w:r>
        <w:rPr>
          <w:rFonts w:ascii="Times New Roman" w:hAnsi="Times New Roman"/>
        </w:rPr>
        <w:t>importers:</w:t>
      </w:r>
    </w:p>
    <w:p w:rsidR="00126204" w:rsidRPr="00EA55FA" w:rsidRDefault="00126204" w:rsidP="00126204">
      <w:pPr>
        <w:pStyle w:val="ListParagraph"/>
        <w:numPr>
          <w:ilvl w:val="0"/>
          <w:numId w:val="4"/>
        </w:numPr>
        <w:rPr>
          <w:rFonts w:ascii="Times New Roman" w:hAnsi="Times New Roman"/>
        </w:rPr>
      </w:pPr>
      <w:r>
        <w:rPr>
          <w:rFonts w:ascii="Times New Roman" w:hAnsi="Times New Roman"/>
        </w:rPr>
        <w:t xml:space="preserve">Change </w:t>
      </w:r>
      <w:r w:rsidRPr="00C63655">
        <w:rPr>
          <w:rFonts w:ascii="Times New Roman" w:hAnsi="Times New Roman"/>
        </w:rPr>
        <w:t xml:space="preserve">“Broker” </w:t>
      </w:r>
      <w:r>
        <w:rPr>
          <w:rFonts w:ascii="Times New Roman" w:hAnsi="Times New Roman"/>
        </w:rPr>
        <w:t>to “Licensed Broker” in Block 1</w:t>
      </w:r>
      <w:r w:rsidRPr="00EA55FA">
        <w:rPr>
          <w:rFonts w:ascii="Times New Roman" w:hAnsi="Times New Roman"/>
        </w:rPr>
        <w:t xml:space="preserve"> and “Importer” to “Importer of Record”</w:t>
      </w:r>
      <w:r>
        <w:rPr>
          <w:rFonts w:ascii="Times New Roman" w:hAnsi="Times New Roman"/>
        </w:rPr>
        <w:t xml:space="preserve"> in Block 2.</w:t>
      </w:r>
      <w:r w:rsidRPr="00EA55FA">
        <w:rPr>
          <w:rFonts w:ascii="Times New Roman" w:hAnsi="Times New Roman"/>
        </w:rPr>
        <w:t xml:space="preserve">  EPA </w:t>
      </w:r>
      <w:r w:rsidR="00C213CC">
        <w:rPr>
          <w:rFonts w:ascii="Times New Roman" w:hAnsi="Times New Roman"/>
        </w:rPr>
        <w:t xml:space="preserve">is </w:t>
      </w:r>
      <w:r w:rsidRPr="00EA55FA">
        <w:rPr>
          <w:rFonts w:ascii="Times New Roman" w:hAnsi="Times New Roman"/>
        </w:rPr>
        <w:t>also remov</w:t>
      </w:r>
      <w:r w:rsidR="00C213CC">
        <w:rPr>
          <w:rFonts w:ascii="Times New Roman" w:hAnsi="Times New Roman"/>
        </w:rPr>
        <w:t>ing</w:t>
      </w:r>
      <w:r w:rsidRPr="00EA55FA">
        <w:rPr>
          <w:rFonts w:ascii="Times New Roman" w:hAnsi="Times New Roman"/>
        </w:rPr>
        <w:t xml:space="preserve"> the term “Agent”</w:t>
      </w:r>
      <w:r>
        <w:rPr>
          <w:rFonts w:ascii="Times New Roman" w:hAnsi="Times New Roman"/>
        </w:rPr>
        <w:t xml:space="preserve"> in Blocks 1, 19 and 20. These changes will improve the form’s consistency</w:t>
      </w:r>
      <w:r w:rsidRPr="00EA55FA">
        <w:rPr>
          <w:rFonts w:ascii="Times New Roman" w:hAnsi="Times New Roman"/>
        </w:rPr>
        <w:t xml:space="preserve"> with the terminology used </w:t>
      </w:r>
      <w:r>
        <w:rPr>
          <w:rFonts w:ascii="Times New Roman" w:hAnsi="Times New Roman"/>
        </w:rPr>
        <w:t xml:space="preserve">by </w:t>
      </w:r>
      <w:r w:rsidR="007A1B24">
        <w:rPr>
          <w:rFonts w:ascii="Times New Roman" w:hAnsi="Times New Roman"/>
        </w:rPr>
        <w:t>Customs</w:t>
      </w:r>
      <w:r w:rsidR="0003678B">
        <w:rPr>
          <w:rFonts w:ascii="Times New Roman" w:hAnsi="Times New Roman"/>
        </w:rPr>
        <w:t>.</w:t>
      </w:r>
    </w:p>
    <w:p w:rsidR="007F54C6" w:rsidRPr="007F54C6" w:rsidRDefault="007F54C6" w:rsidP="007F54C6">
      <w:pPr>
        <w:pStyle w:val="ListParagraph"/>
        <w:numPr>
          <w:ilvl w:val="0"/>
          <w:numId w:val="4"/>
        </w:numPr>
        <w:rPr>
          <w:rFonts w:ascii="Times New Roman" w:hAnsi="Times New Roman"/>
        </w:rPr>
      </w:pPr>
      <w:r>
        <w:rPr>
          <w:rFonts w:ascii="Times New Roman" w:hAnsi="Times New Roman"/>
        </w:rPr>
        <w:t>Include in the Instructions for completing Form 3549-1 and in the Remarks (Block 19) a recommendation that a copy of the</w:t>
      </w:r>
      <w:r w:rsidR="00CE255F">
        <w:rPr>
          <w:rFonts w:ascii="Times New Roman" w:hAnsi="Times New Roman"/>
        </w:rPr>
        <w:t xml:space="preserve"> </w:t>
      </w:r>
      <w:r>
        <w:rPr>
          <w:rFonts w:ascii="Times New Roman" w:hAnsi="Times New Roman"/>
        </w:rPr>
        <w:t xml:space="preserve">label be submitted with the NOA. </w:t>
      </w:r>
    </w:p>
    <w:p w:rsidR="00126204" w:rsidRDefault="00126204" w:rsidP="00126204">
      <w:pPr>
        <w:pStyle w:val="ListParagraph"/>
        <w:numPr>
          <w:ilvl w:val="0"/>
          <w:numId w:val="4"/>
        </w:numPr>
        <w:rPr>
          <w:rFonts w:ascii="Times New Roman" w:hAnsi="Times New Roman"/>
        </w:rPr>
      </w:pPr>
      <w:r>
        <w:rPr>
          <w:rFonts w:ascii="Times New Roman" w:hAnsi="Times New Roman"/>
        </w:rPr>
        <w:t xml:space="preserve">Include in the </w:t>
      </w:r>
      <w:r w:rsidRPr="00C63655">
        <w:rPr>
          <w:rFonts w:ascii="Times New Roman" w:hAnsi="Times New Roman"/>
        </w:rPr>
        <w:t xml:space="preserve">Instructions for completing </w:t>
      </w:r>
      <w:r>
        <w:rPr>
          <w:rFonts w:ascii="Times New Roman" w:hAnsi="Times New Roman"/>
        </w:rPr>
        <w:t>Form 3540-1</w:t>
      </w:r>
      <w:r w:rsidRPr="00C63655">
        <w:rPr>
          <w:rFonts w:ascii="Times New Roman" w:hAnsi="Times New Roman"/>
        </w:rPr>
        <w:t xml:space="preserve"> </w:t>
      </w:r>
      <w:r>
        <w:rPr>
          <w:rFonts w:ascii="Times New Roman" w:hAnsi="Times New Roman"/>
        </w:rPr>
        <w:t xml:space="preserve">a </w:t>
      </w:r>
      <w:r w:rsidRPr="00C63655">
        <w:rPr>
          <w:rFonts w:ascii="Times New Roman" w:hAnsi="Times New Roman"/>
        </w:rPr>
        <w:t xml:space="preserve">recommendation </w:t>
      </w:r>
      <w:r>
        <w:rPr>
          <w:rFonts w:ascii="Times New Roman" w:hAnsi="Times New Roman"/>
        </w:rPr>
        <w:t xml:space="preserve">to the importer to voluntarily </w:t>
      </w:r>
      <w:r w:rsidRPr="00C63655">
        <w:rPr>
          <w:rFonts w:ascii="Times New Roman" w:hAnsi="Times New Roman"/>
        </w:rPr>
        <w:t>provide all information</w:t>
      </w:r>
      <w:r>
        <w:rPr>
          <w:rFonts w:ascii="Times New Roman" w:hAnsi="Times New Roman"/>
        </w:rPr>
        <w:t>, including supporting documentation,</w:t>
      </w:r>
      <w:r w:rsidRPr="00C63655">
        <w:rPr>
          <w:rFonts w:ascii="Times New Roman" w:hAnsi="Times New Roman"/>
        </w:rPr>
        <w:t xml:space="preserve"> at the time of submission </w:t>
      </w:r>
      <w:r>
        <w:rPr>
          <w:rFonts w:ascii="Times New Roman" w:hAnsi="Times New Roman"/>
        </w:rPr>
        <w:t xml:space="preserve">of Form 3540-1 to EPA </w:t>
      </w:r>
      <w:r w:rsidRPr="00C63655">
        <w:rPr>
          <w:rFonts w:ascii="Times New Roman" w:hAnsi="Times New Roman"/>
        </w:rPr>
        <w:t xml:space="preserve">prior to the arrival of the shipment </w:t>
      </w:r>
      <w:r>
        <w:rPr>
          <w:rFonts w:ascii="Times New Roman" w:hAnsi="Times New Roman"/>
        </w:rPr>
        <w:t xml:space="preserve">in </w:t>
      </w:r>
      <w:r w:rsidRPr="00C63655">
        <w:rPr>
          <w:rFonts w:ascii="Times New Roman" w:hAnsi="Times New Roman"/>
        </w:rPr>
        <w:t>the U</w:t>
      </w:r>
      <w:r w:rsidR="005539ED">
        <w:rPr>
          <w:rFonts w:ascii="Times New Roman" w:hAnsi="Times New Roman"/>
        </w:rPr>
        <w:t>nited States</w:t>
      </w:r>
      <w:r>
        <w:rPr>
          <w:rFonts w:ascii="Times New Roman" w:hAnsi="Times New Roman"/>
        </w:rPr>
        <w:t xml:space="preserve"> in order to expedite the revie</w:t>
      </w:r>
      <w:r w:rsidR="00166F58">
        <w:rPr>
          <w:rFonts w:ascii="Times New Roman" w:hAnsi="Times New Roman"/>
        </w:rPr>
        <w:t>w</w:t>
      </w:r>
      <w:r w:rsidRPr="00C63655">
        <w:rPr>
          <w:rFonts w:ascii="Times New Roman" w:hAnsi="Times New Roman"/>
        </w:rPr>
        <w:t xml:space="preserve"> of </w:t>
      </w:r>
      <w:r>
        <w:rPr>
          <w:rFonts w:ascii="Times New Roman" w:hAnsi="Times New Roman"/>
        </w:rPr>
        <w:t xml:space="preserve">the </w:t>
      </w:r>
      <w:r w:rsidRPr="00C63655">
        <w:rPr>
          <w:rFonts w:ascii="Times New Roman" w:hAnsi="Times New Roman"/>
        </w:rPr>
        <w:t>pesticide</w:t>
      </w:r>
      <w:r>
        <w:rPr>
          <w:rFonts w:ascii="Times New Roman" w:hAnsi="Times New Roman"/>
        </w:rPr>
        <w:t xml:space="preserve"> or device shipment.</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Include in the instructions for the Remarks in Block 1</w:t>
      </w:r>
      <w:r w:rsidR="007F54C6">
        <w:rPr>
          <w:rFonts w:ascii="Times New Roman" w:hAnsi="Times New Roman"/>
        </w:rPr>
        <w:t>9</w:t>
      </w:r>
      <w:r>
        <w:rPr>
          <w:rFonts w:ascii="Times New Roman" w:hAnsi="Times New Roman"/>
        </w:rPr>
        <w:t xml:space="preserve"> a reminder that </w:t>
      </w:r>
      <w:r w:rsidR="00567F79">
        <w:rPr>
          <w:rFonts w:ascii="Times New Roman" w:hAnsi="Times New Roman"/>
        </w:rPr>
        <w:t>respondents</w:t>
      </w:r>
      <w:r>
        <w:rPr>
          <w:rFonts w:ascii="Times New Roman" w:hAnsi="Times New Roman"/>
        </w:rPr>
        <w:t xml:space="preserve"> can voluntarily submit additional information.  P</w:t>
      </w:r>
      <w:r w:rsidRPr="00C63655">
        <w:rPr>
          <w:rFonts w:ascii="Times New Roman" w:hAnsi="Times New Roman"/>
        </w:rPr>
        <w:t>esticides</w:t>
      </w:r>
      <w:r>
        <w:rPr>
          <w:rFonts w:ascii="Times New Roman" w:hAnsi="Times New Roman"/>
        </w:rPr>
        <w:t xml:space="preserve"> or </w:t>
      </w:r>
      <w:r w:rsidRPr="00C63655">
        <w:rPr>
          <w:rFonts w:ascii="Times New Roman" w:hAnsi="Times New Roman"/>
        </w:rPr>
        <w:t>devices</w:t>
      </w:r>
      <w:r>
        <w:rPr>
          <w:rFonts w:ascii="Times New Roman" w:hAnsi="Times New Roman"/>
        </w:rPr>
        <w:t xml:space="preserve"> without an EPA registration number</w:t>
      </w:r>
      <w:r w:rsidRPr="00C63655">
        <w:rPr>
          <w:rFonts w:ascii="Times New Roman" w:hAnsi="Times New Roman"/>
        </w:rPr>
        <w:t xml:space="preserve"> </w:t>
      </w:r>
      <w:r>
        <w:rPr>
          <w:rFonts w:ascii="Times New Roman" w:hAnsi="Times New Roman"/>
        </w:rPr>
        <w:t>often require</w:t>
      </w:r>
      <w:r w:rsidR="00567F79">
        <w:rPr>
          <w:rFonts w:ascii="Times New Roman" w:hAnsi="Times New Roman"/>
        </w:rPr>
        <w:t xml:space="preserve"> consultation between </w:t>
      </w:r>
      <w:r w:rsidRPr="00C63655">
        <w:rPr>
          <w:rFonts w:ascii="Times New Roman" w:hAnsi="Times New Roman"/>
        </w:rPr>
        <w:t>the EPA reviewer</w:t>
      </w:r>
      <w:r w:rsidR="00567F79">
        <w:rPr>
          <w:rFonts w:ascii="Times New Roman" w:hAnsi="Times New Roman"/>
        </w:rPr>
        <w:t xml:space="preserve"> and the respondent </w:t>
      </w:r>
      <w:r w:rsidRPr="00C63655">
        <w:rPr>
          <w:rFonts w:ascii="Times New Roman" w:hAnsi="Times New Roman"/>
        </w:rPr>
        <w:t xml:space="preserve">and </w:t>
      </w:r>
      <w:r>
        <w:rPr>
          <w:rFonts w:ascii="Times New Roman" w:hAnsi="Times New Roman"/>
        </w:rPr>
        <w:t xml:space="preserve">many </w:t>
      </w:r>
      <w:r w:rsidR="00567F79">
        <w:rPr>
          <w:rFonts w:ascii="Times New Roman" w:hAnsi="Times New Roman"/>
        </w:rPr>
        <w:t>respondents</w:t>
      </w:r>
      <w:r w:rsidRPr="00C63655">
        <w:rPr>
          <w:rFonts w:ascii="Times New Roman" w:hAnsi="Times New Roman"/>
        </w:rPr>
        <w:t xml:space="preserve"> are not aware they can submit additional information.  </w:t>
      </w:r>
    </w:p>
    <w:p w:rsidR="00126204" w:rsidRPr="00C0504A" w:rsidRDefault="00126204" w:rsidP="00126204">
      <w:pPr>
        <w:pStyle w:val="ListParagraph"/>
        <w:numPr>
          <w:ilvl w:val="0"/>
          <w:numId w:val="4"/>
        </w:numPr>
        <w:rPr>
          <w:rFonts w:ascii="Times New Roman" w:hAnsi="Times New Roman"/>
        </w:rPr>
      </w:pPr>
      <w:r w:rsidRPr="00C63655">
        <w:rPr>
          <w:rFonts w:ascii="Times New Roman" w:hAnsi="Times New Roman"/>
        </w:rPr>
        <w:t>C</w:t>
      </w:r>
      <w:r>
        <w:rPr>
          <w:rFonts w:ascii="Times New Roman" w:hAnsi="Times New Roman"/>
        </w:rPr>
        <w:t>larify the instructions for</w:t>
      </w:r>
      <w:r w:rsidRPr="00C63655">
        <w:rPr>
          <w:rFonts w:ascii="Times New Roman" w:hAnsi="Times New Roman"/>
        </w:rPr>
        <w:t xml:space="preserve"> Blocks 3, 4, 5, 6, 7, 11, 13, 16 and 17. </w:t>
      </w:r>
      <w:r w:rsidR="00567F79">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sidRPr="00C63655">
        <w:rPr>
          <w:rFonts w:ascii="Times New Roman" w:hAnsi="Times New Roman"/>
        </w:rPr>
        <w:t>closely 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 in</w:t>
      </w:r>
      <w:r>
        <w:rPr>
          <w:rFonts w:ascii="Times New Roman" w:hAnsi="Times New Roman"/>
        </w:rPr>
        <w:t xml:space="preserve"> proposing</w:t>
      </w:r>
      <w:r w:rsidRPr="00C63655">
        <w:rPr>
          <w:rFonts w:ascii="Times New Roman" w:hAnsi="Times New Roman"/>
        </w:rPr>
        <w:t xml:space="preserve"> these changes.</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 xml:space="preserve">Add instructions for </w:t>
      </w:r>
      <w:r w:rsidRPr="00C63655">
        <w:rPr>
          <w:rFonts w:ascii="Times New Roman" w:hAnsi="Times New Roman"/>
        </w:rPr>
        <w:t xml:space="preserve">Blocks 1, 2, 8, 9, 10, 12, 14, 15, </w:t>
      </w:r>
      <w:r w:rsidR="00F551D7">
        <w:rPr>
          <w:rFonts w:ascii="Times New Roman" w:hAnsi="Times New Roman"/>
        </w:rPr>
        <w:t xml:space="preserve">and </w:t>
      </w:r>
      <w:r w:rsidRPr="00C63655">
        <w:rPr>
          <w:rFonts w:ascii="Times New Roman" w:hAnsi="Times New Roman"/>
        </w:rPr>
        <w:t>18</w:t>
      </w:r>
      <w:r>
        <w:rPr>
          <w:rFonts w:ascii="Times New Roman" w:hAnsi="Times New Roman"/>
        </w:rPr>
        <w:t xml:space="preserve">.  The added </w:t>
      </w:r>
      <w:r w:rsidRPr="00C63655">
        <w:rPr>
          <w:rFonts w:ascii="Times New Roman" w:hAnsi="Times New Roman"/>
        </w:rPr>
        <w:t xml:space="preserve">instructions primarily provide information for those </w:t>
      </w:r>
      <w:r w:rsidR="002E1844">
        <w:rPr>
          <w:rFonts w:ascii="Times New Roman" w:hAnsi="Times New Roman"/>
        </w:rPr>
        <w:t xml:space="preserve">respondents </w:t>
      </w:r>
      <w:r w:rsidRPr="00C63655">
        <w:rPr>
          <w:rFonts w:ascii="Times New Roman" w:hAnsi="Times New Roman"/>
        </w:rPr>
        <w:t>not familiar with importing pesticides and devices</w:t>
      </w:r>
      <w:r>
        <w:rPr>
          <w:rFonts w:ascii="Times New Roman" w:hAnsi="Times New Roman"/>
        </w:rPr>
        <w:t>, and</w:t>
      </w:r>
      <w:r w:rsidR="002E1844">
        <w:rPr>
          <w:rFonts w:ascii="Times New Roman" w:hAnsi="Times New Roman"/>
        </w:rPr>
        <w:t xml:space="preserve"> </w:t>
      </w:r>
      <w:r w:rsidR="00BA265F">
        <w:rPr>
          <w:rFonts w:ascii="Times New Roman" w:hAnsi="Times New Roman"/>
        </w:rPr>
        <w:t xml:space="preserve">clarify </w:t>
      </w:r>
      <w:r w:rsidR="0003678B">
        <w:rPr>
          <w:rFonts w:ascii="Times New Roman" w:hAnsi="Times New Roman"/>
        </w:rPr>
        <w:t xml:space="preserve">the </w:t>
      </w:r>
      <w:r>
        <w:rPr>
          <w:rFonts w:ascii="Times New Roman" w:hAnsi="Times New Roman"/>
        </w:rPr>
        <w:t>information</w:t>
      </w:r>
      <w:r w:rsidR="0003678B">
        <w:rPr>
          <w:rFonts w:ascii="Times New Roman" w:hAnsi="Times New Roman"/>
        </w:rPr>
        <w:t xml:space="preserve"> that</w:t>
      </w:r>
      <w:r>
        <w:rPr>
          <w:rFonts w:ascii="Times New Roman" w:hAnsi="Times New Roman"/>
        </w:rPr>
        <w:t xml:space="preserve"> is</w:t>
      </w:r>
      <w:r w:rsidR="00F551D7">
        <w:rPr>
          <w:rFonts w:ascii="Times New Roman" w:hAnsi="Times New Roman"/>
        </w:rPr>
        <w:t xml:space="preserve"> need</w:t>
      </w:r>
      <w:r w:rsidR="0003678B">
        <w:rPr>
          <w:rFonts w:ascii="Times New Roman" w:hAnsi="Times New Roman"/>
        </w:rPr>
        <w:t>ed</w:t>
      </w:r>
      <w:r w:rsidR="00F551D7">
        <w:rPr>
          <w:rFonts w:ascii="Times New Roman" w:hAnsi="Times New Roman"/>
        </w:rPr>
        <w:t xml:space="preserve"> for those who are</w:t>
      </w:r>
      <w:r w:rsidR="00BA265F">
        <w:rPr>
          <w:rFonts w:ascii="Times New Roman" w:hAnsi="Times New Roman"/>
        </w:rPr>
        <w:t xml:space="preserve"> familiar with import requirements</w:t>
      </w:r>
      <w:r>
        <w:rPr>
          <w:rFonts w:ascii="Times New Roman" w:hAnsi="Times New Roman"/>
        </w:rPr>
        <w:t>.</w:t>
      </w:r>
      <w:r w:rsidRPr="00C63655">
        <w:rPr>
          <w:rFonts w:ascii="Times New Roman" w:hAnsi="Times New Roman"/>
        </w:rPr>
        <w:t xml:space="preserve"> </w:t>
      </w:r>
      <w:r w:rsidR="00F551D7">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Pr>
          <w:rFonts w:ascii="Times New Roman" w:hAnsi="Times New Roman"/>
        </w:rPr>
        <w:t xml:space="preserve">closely </w:t>
      </w:r>
      <w:r w:rsidRPr="00C63655">
        <w:rPr>
          <w:rFonts w:ascii="Times New Roman" w:hAnsi="Times New Roman"/>
        </w:rPr>
        <w:t>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w:t>
      </w:r>
      <w:r>
        <w:rPr>
          <w:rFonts w:ascii="Times New Roman" w:hAnsi="Times New Roman"/>
        </w:rPr>
        <w:t xml:space="preserve"> in proposing these changes</w:t>
      </w:r>
      <w:r w:rsidRPr="00C63655">
        <w:rPr>
          <w:rFonts w:ascii="Times New Roman" w:hAnsi="Times New Roman"/>
        </w:rPr>
        <w:t xml:space="preserve">. </w:t>
      </w:r>
    </w:p>
    <w:p w:rsidR="00126204" w:rsidRPr="00C0504A" w:rsidRDefault="00126204">
      <w:pPr>
        <w:rPr>
          <w:rFonts w:ascii="Times New Roman" w:hAnsi="Times New Roman"/>
        </w:rPr>
      </w:pPr>
    </w:p>
    <w:p w:rsidR="001121ED" w:rsidRDefault="001121ED">
      <w:pPr>
        <w:ind w:firstLine="720"/>
        <w:rPr>
          <w:rFonts w:ascii="Times New Roman" w:hAnsi="Times New Roman"/>
        </w:rPr>
      </w:pPr>
      <w:r>
        <w:rPr>
          <w:rFonts w:ascii="Times New Roman" w:hAnsi="Times New Roman"/>
        </w:rPr>
        <w:t xml:space="preserve">The currently approved version and </w:t>
      </w:r>
      <w:r w:rsidR="00C213CC">
        <w:rPr>
          <w:rFonts w:ascii="Times New Roman" w:hAnsi="Times New Roman"/>
        </w:rPr>
        <w:t xml:space="preserve">revised </w:t>
      </w:r>
      <w:r>
        <w:rPr>
          <w:rFonts w:ascii="Times New Roman" w:hAnsi="Times New Roman"/>
        </w:rPr>
        <w:t>version</w:t>
      </w:r>
      <w:r w:rsidR="00C213CC">
        <w:rPr>
          <w:rFonts w:ascii="Times New Roman" w:hAnsi="Times New Roman"/>
        </w:rPr>
        <w:t>s</w:t>
      </w:r>
      <w:r>
        <w:rPr>
          <w:rFonts w:ascii="Times New Roman" w:hAnsi="Times New Roman"/>
        </w:rPr>
        <w:t xml:space="preserve"> of EPA Form 35</w:t>
      </w:r>
      <w:r w:rsidR="00DA1C5D">
        <w:rPr>
          <w:rFonts w:ascii="Times New Roman" w:hAnsi="Times New Roman"/>
        </w:rPr>
        <w:t>4</w:t>
      </w:r>
      <w:r>
        <w:rPr>
          <w:rFonts w:ascii="Times New Roman" w:hAnsi="Times New Roman"/>
        </w:rPr>
        <w:t>01-1 are included in the docket for this action.</w:t>
      </w:r>
      <w:r w:rsidR="00C213CC">
        <w:rPr>
          <w:rFonts w:ascii="Times New Roman" w:hAnsi="Times New Roman"/>
        </w:rPr>
        <w:t xml:space="preserve"> In addition, EPA revised the instructions based on comments received during the first comment period. The final revised version is also in the docket.</w:t>
      </w:r>
    </w:p>
    <w:p w:rsidR="001121ED" w:rsidRDefault="001121ED">
      <w:pPr>
        <w:ind w:firstLine="720"/>
        <w:rPr>
          <w:rFonts w:ascii="Times New Roman" w:hAnsi="Times New Roman"/>
        </w:rPr>
      </w:pPr>
    </w:p>
    <w:p w:rsidR="003F6041" w:rsidRPr="00C0504A" w:rsidRDefault="00BE7FD6">
      <w:pPr>
        <w:ind w:firstLine="720"/>
        <w:rPr>
          <w:rFonts w:ascii="Times New Roman" w:hAnsi="Times New Roman"/>
        </w:rPr>
      </w:pPr>
      <w:r w:rsidRPr="00BE7FD6">
        <w:rPr>
          <w:rFonts w:ascii="Times New Roman" w:hAnsi="Times New Roman"/>
        </w:rPr>
        <w:t xml:space="preserve">NOA information is entered once onto </w:t>
      </w:r>
      <w:r w:rsidR="00C515D0">
        <w:rPr>
          <w:rFonts w:ascii="Times New Roman" w:hAnsi="Times New Roman"/>
        </w:rPr>
        <w:t>Form 35</w:t>
      </w:r>
      <w:r w:rsidR="00DA1C5D">
        <w:rPr>
          <w:rFonts w:ascii="Times New Roman" w:hAnsi="Times New Roman"/>
        </w:rPr>
        <w:t>4</w:t>
      </w:r>
      <w:r w:rsidR="00C515D0">
        <w:rPr>
          <w:rFonts w:ascii="Times New Roman" w:hAnsi="Times New Roman"/>
        </w:rPr>
        <w:t>0-1</w:t>
      </w:r>
      <w:r w:rsidRPr="00BE7FD6">
        <w:rPr>
          <w:rFonts w:ascii="Times New Roman" w:hAnsi="Times New Roman"/>
        </w:rPr>
        <w:t xml:space="preserve">, signed, and submitted to EPA.  </w:t>
      </w:r>
      <w:r w:rsidR="001D569A">
        <w:rPr>
          <w:rFonts w:ascii="Times New Roman" w:hAnsi="Times New Roman"/>
        </w:rPr>
        <w:t>Form 35</w:t>
      </w:r>
      <w:r w:rsidR="00DA1C5D">
        <w:rPr>
          <w:rFonts w:ascii="Times New Roman" w:hAnsi="Times New Roman"/>
        </w:rPr>
        <w:t>4</w:t>
      </w:r>
      <w:r w:rsidR="001D569A">
        <w:rPr>
          <w:rFonts w:ascii="Times New Roman" w:hAnsi="Times New Roman"/>
        </w:rPr>
        <w:t>0</w:t>
      </w:r>
      <w:r w:rsidR="00FD52C0">
        <w:rPr>
          <w:rFonts w:ascii="Times New Roman" w:hAnsi="Times New Roman"/>
        </w:rPr>
        <w:t>-1</w:t>
      </w:r>
      <w:r w:rsidR="001D569A">
        <w:rPr>
          <w:rFonts w:ascii="Times New Roman" w:hAnsi="Times New Roman"/>
        </w:rPr>
        <w:t xml:space="preserve"> i</w:t>
      </w:r>
      <w:r w:rsidR="005867E2">
        <w:rPr>
          <w:rFonts w:ascii="Times New Roman" w:hAnsi="Times New Roman"/>
        </w:rPr>
        <w:t>s reviewed by</w:t>
      </w:r>
      <w:r w:rsidR="001D569A">
        <w:rPr>
          <w:rFonts w:ascii="Times New Roman" w:hAnsi="Times New Roman"/>
        </w:rPr>
        <w:t xml:space="preserve"> EPA</w:t>
      </w:r>
      <w:r w:rsidR="005867E2">
        <w:rPr>
          <w:rFonts w:ascii="Times New Roman" w:hAnsi="Times New Roman"/>
        </w:rPr>
        <w:t xml:space="preserve">, and, if approved, </w:t>
      </w:r>
      <w:r w:rsidR="001D569A">
        <w:rPr>
          <w:rFonts w:ascii="Times New Roman" w:hAnsi="Times New Roman"/>
        </w:rPr>
        <w:t>s</w:t>
      </w:r>
      <w:r w:rsidR="005867E2">
        <w:rPr>
          <w:rFonts w:ascii="Times New Roman" w:hAnsi="Times New Roman"/>
        </w:rPr>
        <w:t>i</w:t>
      </w:r>
      <w:r w:rsidRPr="00BE7FD6">
        <w:rPr>
          <w:rFonts w:ascii="Times New Roman" w:hAnsi="Times New Roman"/>
        </w:rPr>
        <w:t>gned</w:t>
      </w:r>
      <w:r w:rsidR="005867E2">
        <w:rPr>
          <w:rFonts w:ascii="Times New Roman" w:hAnsi="Times New Roman"/>
        </w:rPr>
        <w:t xml:space="preserve"> by the EPA reviewer.</w:t>
      </w:r>
      <w:r w:rsidR="001D569A">
        <w:rPr>
          <w:rFonts w:ascii="Times New Roman" w:hAnsi="Times New Roman"/>
        </w:rPr>
        <w:t xml:space="preserve"> </w:t>
      </w:r>
      <w:r w:rsidR="005867E2">
        <w:rPr>
          <w:rFonts w:ascii="Times New Roman" w:hAnsi="Times New Roman"/>
        </w:rPr>
        <w:t>The form is</w:t>
      </w:r>
      <w:r w:rsidR="00145A97">
        <w:rPr>
          <w:rFonts w:ascii="Times New Roman" w:hAnsi="Times New Roman"/>
        </w:rPr>
        <w:t xml:space="preserve"> then</w:t>
      </w:r>
      <w:r w:rsidR="005867E2">
        <w:rPr>
          <w:rFonts w:ascii="Times New Roman" w:hAnsi="Times New Roman"/>
        </w:rPr>
        <w:t xml:space="preserve"> r</w:t>
      </w:r>
      <w:r w:rsidRPr="00BE7FD6">
        <w:rPr>
          <w:rFonts w:ascii="Times New Roman" w:hAnsi="Times New Roman"/>
        </w:rPr>
        <w:t xml:space="preserve">eturned to the importer for submission as a shipping document to accompany the shipment upon its arrival at the U.S. port of entry.  </w:t>
      </w:r>
      <w:r w:rsidR="007A1B24">
        <w:rPr>
          <w:rFonts w:ascii="Times New Roman" w:hAnsi="Times New Roman"/>
        </w:rPr>
        <w:t>Customs</w:t>
      </w:r>
      <w:r w:rsidRPr="00BE7FD6">
        <w:rPr>
          <w:rFonts w:ascii="Times New Roman" w:hAnsi="Times New Roman"/>
        </w:rPr>
        <w:t xml:space="preserve"> inspectors compare Form 3540-1 </w:t>
      </w:r>
      <w:r w:rsidR="00865B9F">
        <w:rPr>
          <w:rFonts w:ascii="Times New Roman" w:hAnsi="Times New Roman"/>
        </w:rPr>
        <w:t>with</w:t>
      </w:r>
      <w:r w:rsidR="00865B9F" w:rsidRPr="00865B9F">
        <w:rPr>
          <w:rFonts w:ascii="Times New Roman" w:hAnsi="Times New Roman"/>
        </w:rPr>
        <w:t xml:space="preserve"> entry documents for the shipment of pesticides or de</w:t>
      </w:r>
      <w:r w:rsidR="00865B9F">
        <w:rPr>
          <w:rFonts w:ascii="Times New Roman" w:hAnsi="Times New Roman"/>
        </w:rPr>
        <w:t xml:space="preserve">vices </w:t>
      </w:r>
      <w:r w:rsidR="00865B9F" w:rsidRPr="00865B9F">
        <w:rPr>
          <w:rFonts w:ascii="Times New Roman" w:hAnsi="Times New Roman"/>
        </w:rPr>
        <w:t>and notify the Administrator of any discrepancies.</w:t>
      </w:r>
    </w:p>
    <w:p w:rsidR="002B33C9" w:rsidRPr="00C0504A" w:rsidRDefault="002B33C9" w:rsidP="002B33C9">
      <w:pPr>
        <w:rPr>
          <w:rFonts w:ascii="Times New Roman" w:hAnsi="Times New Roman"/>
        </w:rPr>
      </w:pPr>
    </w:p>
    <w:p w:rsidR="00DB038B" w:rsidRPr="00C0504A" w:rsidRDefault="00DB038B">
      <w:pPr>
        <w:ind w:firstLine="720"/>
        <w:rPr>
          <w:rFonts w:ascii="Times New Roman" w:hAnsi="Times New Roman"/>
        </w:rPr>
      </w:pPr>
      <w:r w:rsidRPr="00C0504A">
        <w:rPr>
          <w:rFonts w:ascii="Times New Roman" w:hAnsi="Times New Roman"/>
        </w:rPr>
        <w:t xml:space="preserve">EPA is currently </w:t>
      </w:r>
      <w:r w:rsidR="005C766E" w:rsidRPr="00C0504A">
        <w:rPr>
          <w:rFonts w:ascii="Times New Roman" w:hAnsi="Times New Roman"/>
        </w:rPr>
        <w:t>participating in</w:t>
      </w:r>
      <w:r w:rsidRPr="00C0504A">
        <w:rPr>
          <w:rFonts w:ascii="Times New Roman" w:hAnsi="Times New Roman"/>
        </w:rPr>
        <w:t xml:space="preserve"> an interagency initiative known as the International Trade Data System (ITDS).  The goal of ITDS is to make the Federal government’s compliance monitoring of international trade less burdensome and more efficient by integrating and automating the government-wide collection, use, and dissemination of international trade data.  Under the ITDS concept, agencies harmonize their data requirements</w:t>
      </w:r>
      <w:r w:rsidR="005A1FED">
        <w:rPr>
          <w:rFonts w:ascii="Times New Roman" w:hAnsi="Times New Roman"/>
        </w:rPr>
        <w:t xml:space="preserve"> with </w:t>
      </w:r>
      <w:r w:rsidR="007A1B24">
        <w:rPr>
          <w:rFonts w:ascii="Times New Roman" w:hAnsi="Times New Roman"/>
        </w:rPr>
        <w:t>Customs</w:t>
      </w:r>
      <w:r w:rsidR="005867E2">
        <w:rPr>
          <w:rFonts w:ascii="Times New Roman" w:hAnsi="Times New Roman"/>
        </w:rPr>
        <w:t>,</w:t>
      </w:r>
      <w:r w:rsidR="005A1FED">
        <w:rPr>
          <w:rFonts w:ascii="Times New Roman" w:hAnsi="Times New Roman"/>
        </w:rPr>
        <w:t xml:space="preserve"> thereby</w:t>
      </w:r>
      <w:r w:rsidRPr="00C0504A">
        <w:rPr>
          <w:rFonts w:ascii="Times New Roman" w:hAnsi="Times New Roman"/>
        </w:rPr>
        <w:t xml:space="preserve"> eliminating redundancies and minor definitional differences.</w:t>
      </w:r>
    </w:p>
    <w:p w:rsidR="00DB038B" w:rsidRPr="00C0504A" w:rsidRDefault="00DB038B">
      <w:pPr>
        <w:ind w:firstLine="720"/>
        <w:rPr>
          <w:rFonts w:ascii="Times New Roman" w:hAnsi="Times New Roman"/>
        </w:rPr>
      </w:pPr>
    </w:p>
    <w:p w:rsidR="003822C6" w:rsidRPr="003822C6" w:rsidRDefault="00BE7FD6" w:rsidP="003822C6">
      <w:pPr>
        <w:ind w:firstLine="720"/>
        <w:rPr>
          <w:rFonts w:ascii="Times New Roman" w:hAnsi="Times New Roman"/>
        </w:rPr>
      </w:pPr>
      <w:r w:rsidRPr="00BE7FD6">
        <w:rPr>
          <w:rFonts w:ascii="Times New Roman" w:hAnsi="Times New Roman"/>
        </w:rPr>
        <w:t xml:space="preserve">ITDS </w:t>
      </w:r>
      <w:r w:rsidR="003F7440">
        <w:rPr>
          <w:rFonts w:ascii="Times New Roman" w:hAnsi="Times New Roman"/>
        </w:rPr>
        <w:t xml:space="preserve">is </w:t>
      </w:r>
      <w:r w:rsidRPr="00BE7FD6">
        <w:rPr>
          <w:rFonts w:ascii="Times New Roman" w:hAnsi="Times New Roman"/>
        </w:rPr>
        <w:t xml:space="preserve">the organizational framework for </w:t>
      </w:r>
      <w:r w:rsidR="007A1B24">
        <w:rPr>
          <w:rFonts w:ascii="Times New Roman" w:hAnsi="Times New Roman"/>
        </w:rPr>
        <w:t>Customs</w:t>
      </w:r>
      <w:r w:rsidRPr="00BE7FD6">
        <w:rPr>
          <w:rFonts w:ascii="Times New Roman" w:hAnsi="Times New Roman"/>
        </w:rPr>
        <w:t xml:space="preserve"> and more than 40 participating government agencies to integrate import requirements into a modernized, upgraded Automated Commercial Environment </w:t>
      </w:r>
      <w:r w:rsidR="003822C6">
        <w:rPr>
          <w:rFonts w:ascii="Times New Roman" w:hAnsi="Times New Roman"/>
        </w:rPr>
        <w:t>(A</w:t>
      </w:r>
      <w:r w:rsidRPr="00BE7FD6">
        <w:rPr>
          <w:rFonts w:ascii="Times New Roman" w:hAnsi="Times New Roman"/>
        </w:rPr>
        <w:t>CE</w:t>
      </w:r>
      <w:r w:rsidR="003822C6">
        <w:rPr>
          <w:rFonts w:ascii="Times New Roman" w:hAnsi="Times New Roman"/>
        </w:rPr>
        <w:t>)</w:t>
      </w:r>
      <w:r w:rsidRPr="00BE7FD6">
        <w:rPr>
          <w:rFonts w:ascii="Times New Roman" w:hAnsi="Times New Roman"/>
        </w:rPr>
        <w:t xml:space="preserve">, which is being designed by </w:t>
      </w:r>
      <w:r w:rsidR="007A1B24">
        <w:rPr>
          <w:rFonts w:ascii="Times New Roman" w:hAnsi="Times New Roman"/>
        </w:rPr>
        <w:t>Customs</w:t>
      </w:r>
      <w:r w:rsidRPr="00BE7FD6">
        <w:rPr>
          <w:rFonts w:ascii="Times New Roman" w:hAnsi="Times New Roman"/>
        </w:rPr>
        <w:t xml:space="preserve"> to process imports and exports.  EPA is currently working with </w:t>
      </w:r>
      <w:r w:rsidR="007A1B24">
        <w:rPr>
          <w:rFonts w:ascii="Times New Roman" w:hAnsi="Times New Roman"/>
        </w:rPr>
        <w:t>Customs</w:t>
      </w:r>
      <w:r w:rsidRPr="00BE7FD6">
        <w:rPr>
          <w:rFonts w:ascii="Times New Roman" w:hAnsi="Times New Roman"/>
        </w:rPr>
        <w:t xml:space="preserve"> to integrate into the ACE system the Agency’s six import regulatory programs, including the current process for notification of arrival of pesticides and devices. In the future, EPA anticipates that most importers will submit the notice of arrival electronically in the ACE system</w:t>
      </w:r>
      <w:r w:rsidR="003822C6">
        <w:rPr>
          <w:rFonts w:ascii="Times New Roman" w:hAnsi="Times New Roman"/>
        </w:rPr>
        <w:t xml:space="preserve">, and that </w:t>
      </w:r>
      <w:r w:rsidR="003822C6" w:rsidRPr="003822C6">
        <w:rPr>
          <w:rFonts w:ascii="Times New Roman" w:hAnsi="Times New Roman"/>
        </w:rPr>
        <w:t>the notice of arrival process will be done electronically and almost instantaneously</w:t>
      </w:r>
      <w:r w:rsidR="005A1FED">
        <w:rPr>
          <w:rFonts w:ascii="Times New Roman" w:hAnsi="Times New Roman"/>
        </w:rPr>
        <w:t xml:space="preserve"> among </w:t>
      </w:r>
      <w:r w:rsidR="003822C6" w:rsidRPr="003822C6">
        <w:rPr>
          <w:rFonts w:ascii="Times New Roman" w:hAnsi="Times New Roman"/>
        </w:rPr>
        <w:t>importers, EPA, and Customs</w:t>
      </w:r>
      <w:r w:rsidR="00A87F90">
        <w:rPr>
          <w:rFonts w:ascii="Times New Roman" w:hAnsi="Times New Roman"/>
        </w:rPr>
        <w:t xml:space="preserve"> for most shipments of pesticides or devices</w:t>
      </w:r>
      <w:r w:rsidR="003822C6" w:rsidRPr="003822C6">
        <w:rPr>
          <w:rFonts w:ascii="Times New Roman" w:hAnsi="Times New Roman"/>
        </w:rPr>
        <w:t xml:space="preserve">. </w:t>
      </w:r>
    </w:p>
    <w:p w:rsidR="00772F14" w:rsidRPr="00C0504A" w:rsidRDefault="00772F14">
      <w:pPr>
        <w:rPr>
          <w:rFonts w:ascii="Times New Roman" w:hAnsi="Times New Roman"/>
          <w:b/>
          <w:bCs/>
        </w:rPr>
      </w:pPr>
    </w:p>
    <w:p w:rsidR="00772F14" w:rsidRPr="00C0504A" w:rsidRDefault="00BE7FD6">
      <w:pPr>
        <w:ind w:left="720"/>
        <w:rPr>
          <w:rFonts w:ascii="Times New Roman" w:hAnsi="Times New Roman"/>
        </w:rPr>
      </w:pPr>
      <w:r w:rsidRPr="00BE7FD6">
        <w:rPr>
          <w:rFonts w:ascii="Times New Roman" w:hAnsi="Times New Roman"/>
          <w:b/>
          <w:bCs/>
        </w:rPr>
        <w:t>5(c) Small Entity Flexibility</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The burden</w:t>
      </w:r>
      <w:r w:rsidR="00A87F90">
        <w:rPr>
          <w:rFonts w:ascii="Times New Roman" w:hAnsi="Times New Roman"/>
        </w:rPr>
        <w:t xml:space="preserve"> of this information collection</w:t>
      </w:r>
      <w:r w:rsidRPr="00BE7FD6">
        <w:rPr>
          <w:rFonts w:ascii="Times New Roman" w:hAnsi="Times New Roman"/>
        </w:rPr>
        <w:t xml:space="preserve"> is minimal and affects all importers.  It cannot be reduced and still meet requirements</w:t>
      </w:r>
      <w:r w:rsidR="00A87F90">
        <w:rPr>
          <w:rFonts w:ascii="Times New Roman" w:hAnsi="Times New Roman"/>
        </w:rPr>
        <w:t xml:space="preserve"> outlined in Section 2(a)</w:t>
      </w:r>
      <w:r w:rsidRPr="00BE7FD6">
        <w:rPr>
          <w:rFonts w:ascii="Times New Roman" w:hAnsi="Times New Roman"/>
        </w:rPr>
        <w:t xml:space="preserve">. The information collection does not disproportionately impact small businesses, </w:t>
      </w:r>
      <w:r w:rsidR="00A87F90">
        <w:rPr>
          <w:rFonts w:ascii="Times New Roman" w:hAnsi="Times New Roman"/>
        </w:rPr>
        <w:t xml:space="preserve">because </w:t>
      </w:r>
      <w:r w:rsidRPr="00BE7FD6">
        <w:rPr>
          <w:rFonts w:ascii="Times New Roman" w:hAnsi="Times New Roman"/>
        </w:rPr>
        <w:t>the information requested is gathered during "customary</w:t>
      </w:r>
      <w:r w:rsidR="00EF0F45">
        <w:rPr>
          <w:rFonts w:ascii="Times New Roman" w:hAnsi="Times New Roman"/>
        </w:rPr>
        <w:t xml:space="preserve"> and usual</w:t>
      </w:r>
      <w:r w:rsidRPr="00BE7FD6">
        <w:rPr>
          <w:rFonts w:ascii="Times New Roman" w:hAnsi="Times New Roman"/>
        </w:rPr>
        <w:t xml:space="preserve"> business </w:t>
      </w:r>
      <w:r w:rsidR="00A87F90">
        <w:rPr>
          <w:rFonts w:ascii="Times New Roman" w:hAnsi="Times New Roman"/>
        </w:rPr>
        <w:t>practices</w:t>
      </w:r>
      <w:r w:rsidRPr="00BE7FD6">
        <w:rPr>
          <w:rFonts w:ascii="Times New Roman" w:hAnsi="Times New Roman"/>
        </w:rPr>
        <w:t>."</w:t>
      </w:r>
    </w:p>
    <w:p w:rsidR="00772F14" w:rsidRPr="00C0504A" w:rsidRDefault="00772F14">
      <w:pPr>
        <w:rPr>
          <w:rFonts w:ascii="Times New Roman" w:hAnsi="Times New Roman"/>
        </w:rPr>
      </w:pPr>
    </w:p>
    <w:p w:rsidR="00772F14" w:rsidRPr="00C0504A" w:rsidRDefault="00BE7FD6">
      <w:pPr>
        <w:keepNext/>
        <w:keepLines/>
        <w:ind w:firstLine="720"/>
        <w:rPr>
          <w:rFonts w:ascii="Times New Roman" w:hAnsi="Times New Roman"/>
          <w:b/>
          <w:bCs/>
        </w:rPr>
      </w:pPr>
      <w:r w:rsidRPr="00BE7FD6">
        <w:rPr>
          <w:rFonts w:ascii="Times New Roman" w:hAnsi="Times New Roman"/>
          <w:b/>
          <w:bCs/>
        </w:rPr>
        <w:t>5(d) Collection Schedule</w:t>
      </w:r>
    </w:p>
    <w:p w:rsidR="00772F14" w:rsidRPr="00C0504A" w:rsidRDefault="00772F14">
      <w:pPr>
        <w:keepNext/>
        <w:keepLines/>
        <w:rPr>
          <w:rFonts w:ascii="Times New Roman" w:hAnsi="Times New Roman"/>
          <w:b/>
          <w:bCs/>
        </w:rPr>
      </w:pPr>
    </w:p>
    <w:p w:rsidR="00772F14" w:rsidRPr="00C0504A" w:rsidRDefault="00BE7FD6">
      <w:pPr>
        <w:keepLines/>
        <w:ind w:firstLine="720"/>
        <w:rPr>
          <w:rFonts w:ascii="Times New Roman" w:hAnsi="Times New Roman"/>
          <w:b/>
          <w:bCs/>
        </w:rPr>
      </w:pPr>
      <w:r w:rsidRPr="00BE7FD6">
        <w:rPr>
          <w:rFonts w:ascii="Times New Roman" w:hAnsi="Times New Roman"/>
        </w:rPr>
        <w:t>A Notice of Arrival submission is required on each occasion that a pesticide</w:t>
      </w:r>
      <w:r w:rsidR="00A87F90">
        <w:rPr>
          <w:rFonts w:ascii="Times New Roman" w:hAnsi="Times New Roman"/>
        </w:rPr>
        <w:t xml:space="preserve"> or </w:t>
      </w:r>
      <w:r w:rsidRPr="00BE7FD6">
        <w:rPr>
          <w:rFonts w:ascii="Times New Roman" w:hAnsi="Times New Roman"/>
        </w:rPr>
        <w:t>device shipment arrives</w:t>
      </w:r>
      <w:r w:rsidR="00A87F90">
        <w:rPr>
          <w:rFonts w:ascii="Times New Roman" w:hAnsi="Times New Roman"/>
        </w:rPr>
        <w:t xml:space="preserve"> for entry</w:t>
      </w:r>
      <w:r w:rsidRPr="00BE7FD6">
        <w:rPr>
          <w:rFonts w:ascii="Times New Roman" w:hAnsi="Times New Roman"/>
        </w:rPr>
        <w:t xml:space="preserve"> in the United States</w:t>
      </w:r>
      <w:r w:rsidR="00A87F90">
        <w:rPr>
          <w:rFonts w:ascii="Times New Roman" w:hAnsi="Times New Roman"/>
        </w:rPr>
        <w:t>.</w:t>
      </w:r>
      <w:r w:rsidRPr="00BE7FD6">
        <w:rPr>
          <w:rFonts w:ascii="Times New Roman" w:hAnsi="Times New Roman"/>
        </w:rPr>
        <w:t xml:space="preserve"> </w:t>
      </w:r>
    </w:p>
    <w:p w:rsidR="00772F14" w:rsidRPr="00C0504A" w:rsidRDefault="00772F14">
      <w:pPr>
        <w:rPr>
          <w:rFonts w:ascii="Times New Roman" w:hAnsi="Times New Roman"/>
        </w:rPr>
      </w:pPr>
    </w:p>
    <w:p w:rsidR="00F53E3C" w:rsidRDefault="00BE7FD6" w:rsidP="00F53E3C">
      <w:pPr>
        <w:rPr>
          <w:rFonts w:ascii="Times New Roman" w:hAnsi="Times New Roman"/>
          <w:b/>
          <w:bCs/>
        </w:rPr>
      </w:pPr>
      <w:r w:rsidRPr="00BE7FD6">
        <w:rPr>
          <w:rFonts w:ascii="Times New Roman" w:hAnsi="Times New Roman"/>
          <w:b/>
          <w:bCs/>
        </w:rPr>
        <w:t>6. Estimating the Burden and Cost of the Collection.</w:t>
      </w:r>
    </w:p>
    <w:p w:rsidR="00A87F90" w:rsidRDefault="00A87F90">
      <w:pPr>
        <w:ind w:firstLine="720"/>
        <w:rPr>
          <w:rFonts w:ascii="Times New Roman" w:hAnsi="Times New Roman"/>
          <w:b/>
          <w:bCs/>
        </w:rPr>
      </w:pPr>
    </w:p>
    <w:p w:rsidR="00D059CC" w:rsidRDefault="00BE7FD6">
      <w:pPr>
        <w:ind w:firstLine="720"/>
        <w:rPr>
          <w:rFonts w:ascii="Times New Roman" w:hAnsi="Times New Roman"/>
          <w:b/>
          <w:bCs/>
        </w:rPr>
      </w:pPr>
      <w:r w:rsidRPr="00BE7FD6">
        <w:rPr>
          <w:rFonts w:ascii="Times New Roman" w:hAnsi="Times New Roman"/>
          <w:b/>
          <w:bCs/>
        </w:rPr>
        <w:t>6(</w:t>
      </w:r>
      <w:r w:rsidR="00050251">
        <w:rPr>
          <w:rFonts w:ascii="Times New Roman" w:hAnsi="Times New Roman"/>
          <w:b/>
          <w:bCs/>
        </w:rPr>
        <w:t>a</w:t>
      </w:r>
      <w:r w:rsidRPr="00BE7FD6">
        <w:rPr>
          <w:rFonts w:ascii="Times New Roman" w:hAnsi="Times New Roman"/>
          <w:b/>
          <w:bCs/>
        </w:rPr>
        <w:t>) Estimating Respondent Burden</w:t>
      </w:r>
    </w:p>
    <w:p w:rsidR="00772F14" w:rsidRPr="00C0504A" w:rsidRDefault="00772F14">
      <w:pPr>
        <w:rPr>
          <w:rFonts w:ascii="Times New Roman" w:hAnsi="Times New Roman"/>
          <w:b/>
          <w:bCs/>
        </w:rPr>
      </w:pPr>
    </w:p>
    <w:p w:rsidR="00601B91" w:rsidRPr="00601B91" w:rsidRDefault="00050251" w:rsidP="00601B91">
      <w:pPr>
        <w:ind w:firstLine="720"/>
        <w:rPr>
          <w:rFonts w:ascii="Times New Roman" w:hAnsi="Times New Roman"/>
        </w:rPr>
      </w:pPr>
      <w:r>
        <w:rPr>
          <w:rFonts w:ascii="Times New Roman" w:hAnsi="Times New Roman"/>
        </w:rPr>
        <w:t>In calculating the respondent burden, EPA estimates that</w:t>
      </w:r>
      <w:r w:rsidR="00601B91">
        <w:rPr>
          <w:rFonts w:ascii="Times New Roman" w:hAnsi="Times New Roman"/>
        </w:rPr>
        <w:t>, on average,</w:t>
      </w:r>
      <w:r>
        <w:rPr>
          <w:rFonts w:ascii="Times New Roman" w:hAnsi="Times New Roman"/>
        </w:rPr>
        <w:t xml:space="preserve"> importers will submit </w:t>
      </w:r>
      <w:r w:rsidR="00601B91">
        <w:rPr>
          <w:rFonts w:ascii="Times New Roman" w:hAnsi="Times New Roman"/>
        </w:rPr>
        <w:t>35</w:t>
      </w:r>
      <w:r>
        <w:rPr>
          <w:rFonts w:ascii="Times New Roman" w:hAnsi="Times New Roman"/>
        </w:rPr>
        <w:t xml:space="preserve">,000 responses to this information collection annually during this renewal ICR. </w:t>
      </w:r>
      <w:r w:rsidRPr="00BE7FD6">
        <w:rPr>
          <w:rFonts w:ascii="Times New Roman" w:hAnsi="Times New Roman"/>
        </w:rPr>
        <w:t>This estimate is based on a projected increase in the number of NOAs EPA receives</w:t>
      </w:r>
      <w:r w:rsidR="00891D5A">
        <w:rPr>
          <w:rFonts w:ascii="Times New Roman" w:hAnsi="Times New Roman"/>
        </w:rPr>
        <w:t>.</w:t>
      </w:r>
      <w:r w:rsidRPr="00BE7FD6">
        <w:rPr>
          <w:rFonts w:ascii="Times New Roman" w:hAnsi="Times New Roman"/>
        </w:rPr>
        <w:t xml:space="preserve"> For the last renewal, EPA estimated the annual number of responses at 25,000.</w:t>
      </w:r>
      <w:r>
        <w:rPr>
          <w:rFonts w:ascii="Times New Roman" w:hAnsi="Times New Roman"/>
        </w:rPr>
        <w:t xml:space="preserve"> </w:t>
      </w:r>
      <w:r w:rsidRPr="00BE7FD6">
        <w:rPr>
          <w:rFonts w:ascii="Times New Roman" w:hAnsi="Times New Roman"/>
        </w:rPr>
        <w:t xml:space="preserve"> In 2010, EPA received </w:t>
      </w:r>
      <w:r w:rsidR="00601B91">
        <w:rPr>
          <w:rFonts w:ascii="Times New Roman" w:hAnsi="Times New Roman"/>
        </w:rPr>
        <w:t xml:space="preserve">approximately </w:t>
      </w:r>
      <w:r w:rsidRPr="00BE7FD6">
        <w:rPr>
          <w:rFonts w:ascii="Times New Roman" w:hAnsi="Times New Roman"/>
        </w:rPr>
        <w:t xml:space="preserve">27,000 NOAs and </w:t>
      </w:r>
      <w:r w:rsidR="00D70345">
        <w:rPr>
          <w:rFonts w:ascii="Times New Roman" w:hAnsi="Times New Roman"/>
        </w:rPr>
        <w:t xml:space="preserve">in </w:t>
      </w:r>
      <w:r w:rsidR="00601B91">
        <w:rPr>
          <w:rFonts w:ascii="Times New Roman" w:hAnsi="Times New Roman"/>
        </w:rPr>
        <w:t>2011, EPA received approximately 30,000 NOAs.  If this</w:t>
      </w:r>
      <w:r w:rsidR="00601B91" w:rsidRPr="00601B91">
        <w:rPr>
          <w:rFonts w:ascii="Times New Roman" w:hAnsi="Times New Roman"/>
        </w:rPr>
        <w:t xml:space="preserve"> trend continues, EPA anticipates that over the next three years, EPA will rece</w:t>
      </w:r>
      <w:r w:rsidR="00601B91">
        <w:rPr>
          <w:rFonts w:ascii="Times New Roman" w:hAnsi="Times New Roman"/>
        </w:rPr>
        <w:t>ive, on average, 35</w:t>
      </w:r>
      <w:r w:rsidR="008D2CC7">
        <w:rPr>
          <w:rFonts w:ascii="Times New Roman" w:hAnsi="Times New Roman"/>
        </w:rPr>
        <w:t>,</w:t>
      </w:r>
      <w:r w:rsidR="00601B91">
        <w:rPr>
          <w:rFonts w:ascii="Times New Roman" w:hAnsi="Times New Roman"/>
        </w:rPr>
        <w:t>000 NOAs annually.</w:t>
      </w:r>
      <w:r w:rsidR="008B0693">
        <w:rPr>
          <w:rFonts w:ascii="Times New Roman" w:hAnsi="Times New Roman"/>
        </w:rPr>
        <w:t xml:space="preserve"> </w:t>
      </w:r>
      <w:r w:rsidR="00601B91" w:rsidRPr="00601B91">
        <w:rPr>
          <w:rFonts w:ascii="Times New Roman" w:hAnsi="Times New Roman"/>
        </w:rPr>
        <w:t>EPA believes that the increase in NOAs may be due, in part, to the changing nature of the pesticide industry. As pesticide manufacturers have adjusted to the global economy, they may have shifted some of their manufa</w:t>
      </w:r>
      <w:r w:rsidR="008B0693">
        <w:rPr>
          <w:rFonts w:ascii="Times New Roman" w:hAnsi="Times New Roman"/>
        </w:rPr>
        <w:t>cturing to overseas locations.</w:t>
      </w:r>
      <w:r w:rsidR="00601B91" w:rsidRPr="00601B91">
        <w:rPr>
          <w:rFonts w:ascii="Times New Roman" w:hAnsi="Times New Roman"/>
        </w:rPr>
        <w:t xml:space="preserve"> </w:t>
      </w:r>
    </w:p>
    <w:p w:rsidR="00050251" w:rsidRDefault="00050251">
      <w:pPr>
        <w:ind w:firstLine="720"/>
        <w:rPr>
          <w:rFonts w:ascii="Times New Roman" w:hAnsi="Times New Roman"/>
        </w:rPr>
      </w:pPr>
    </w:p>
    <w:p w:rsidR="00F91098" w:rsidRDefault="00F91098" w:rsidP="00F91098">
      <w:pPr>
        <w:numPr>
          <w:ilvl w:val="12"/>
          <w:numId w:val="0"/>
        </w:numPr>
        <w:rPr>
          <w:rFonts w:ascii="Times New Roman" w:hAnsi="Times New Roman"/>
        </w:rPr>
      </w:pPr>
      <w:r>
        <w:rPr>
          <w:rFonts w:ascii="Times New Roman" w:hAnsi="Times New Roman"/>
        </w:rPr>
        <w:tab/>
        <w:t xml:space="preserve">On average, the burden associated with this information collection activity is approximately 0.43 hours (26 minutes) per response. This estimate is based on an average response time across </w:t>
      </w:r>
      <w:r>
        <w:rPr>
          <w:rFonts w:ascii="Times New Roman" w:hAnsi="Times New Roman"/>
          <w:i/>
          <w:iCs/>
        </w:rPr>
        <w:t>all</w:t>
      </w:r>
      <w:r>
        <w:rPr>
          <w:rFonts w:ascii="Times New Roman" w:hAnsi="Times New Roman"/>
        </w:rPr>
        <w:t xml:space="preserve"> response types. The response time includes an estimated average of 4 minutes of managerial time, 9 minutes of technical time and 13 minutes of clerical time, which is broken down approximately as follows:</w:t>
      </w:r>
    </w:p>
    <w:p w:rsidR="00F91098" w:rsidRDefault="00F91098" w:rsidP="00F91098">
      <w:pPr>
        <w:numPr>
          <w:ilvl w:val="12"/>
          <w:numId w:val="0"/>
        </w:numPr>
        <w:rPr>
          <w:rFonts w:ascii="Times New Roman" w:hAnsi="Times New Roman"/>
        </w:rPr>
      </w:pPr>
    </w:p>
    <w:p w:rsidR="00F91098" w:rsidRDefault="00F91098" w:rsidP="00F91098">
      <w:pPr>
        <w:spacing w:line="2" w:lineRule="exact"/>
      </w:pP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managerial and technical minutes to read and hear any instructions.</w:t>
      </w:r>
    </w:p>
    <w:p w:rsidR="007F54C6" w:rsidRPr="007F54C6" w:rsidRDefault="007F54C6" w:rsidP="007F54C6">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minutes of technical and clerical time to gather infor</w:t>
      </w:r>
      <w:r w:rsidR="00FC1559">
        <w:rPr>
          <w:rFonts w:ascii="Times New Roman" w:hAnsi="Times New Roman"/>
        </w:rPr>
        <w:t>mation, including the</w:t>
      </w:r>
      <w:r w:rsidR="00CE255F">
        <w:rPr>
          <w:rFonts w:ascii="Times New Roman" w:hAnsi="Times New Roman"/>
        </w:rPr>
        <w:t xml:space="preserve"> </w:t>
      </w:r>
      <w:r>
        <w:rPr>
          <w:rFonts w:ascii="Times New Roman" w:hAnsi="Times New Roman"/>
        </w:rPr>
        <w:t>label or supporting information.</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 managerial and technical minutes to process compile and review information.</w:t>
      </w:r>
    </w:p>
    <w:p w:rsidR="00F91098" w:rsidRDefault="007F54C6"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w:t>
      </w:r>
      <w:r w:rsidR="00F91098">
        <w:rPr>
          <w:rFonts w:ascii="Times New Roman" w:hAnsi="Times New Roman"/>
        </w:rPr>
        <w:t xml:space="preserve"> technical and clerical minutes to complete the form</w:t>
      </w:r>
      <w:r>
        <w:rPr>
          <w:rFonts w:ascii="Times New Roman" w:hAnsi="Times New Roman"/>
        </w:rPr>
        <w:t xml:space="preserve"> and attach</w:t>
      </w:r>
      <w:r w:rsidR="00CE255F">
        <w:rPr>
          <w:rFonts w:ascii="Times New Roman" w:hAnsi="Times New Roman"/>
        </w:rPr>
        <w:t xml:space="preserve"> the </w:t>
      </w:r>
      <w:r>
        <w:rPr>
          <w:rFonts w:ascii="Times New Roman" w:hAnsi="Times New Roman"/>
        </w:rPr>
        <w:t>label.</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mail the form.</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file the form and supporting information.</w:t>
      </w:r>
    </w:p>
    <w:p w:rsidR="000E7C34" w:rsidRDefault="000E7C34">
      <w:pPr>
        <w:pStyle w:val="ListParagraph"/>
        <w:tabs>
          <w:tab w:val="left" w:pos="-1440"/>
          <w:tab w:val="left" w:pos="-720"/>
          <w:tab w:val="decimal" w:pos="0"/>
        </w:tabs>
        <w:ind w:left="1440"/>
        <w:rPr>
          <w:rFonts w:ascii="Times New Roman" w:hAnsi="Times New Roman"/>
        </w:rPr>
      </w:pPr>
    </w:p>
    <w:p w:rsidR="00B04024" w:rsidRDefault="00EF0F45">
      <w:pPr>
        <w:ind w:firstLine="720"/>
        <w:rPr>
          <w:rFonts w:ascii="Times New Roman" w:hAnsi="Times New Roman"/>
        </w:rPr>
      </w:pPr>
      <w:r>
        <w:rPr>
          <w:rFonts w:ascii="Times New Roman" w:hAnsi="Times New Roman"/>
        </w:rPr>
        <w:t xml:space="preserve">Because EPA recommends that importers of unregistered pesticides voluntarily supply information about the intended use and an explanation of why the product is being imported, the responses types have been divided into two types. </w:t>
      </w:r>
      <w:r w:rsidR="00B04024">
        <w:rPr>
          <w:rFonts w:ascii="Times New Roman" w:hAnsi="Times New Roman"/>
        </w:rPr>
        <w:t>The number of respondents expected for each response type is based on the number of each type of response</w:t>
      </w:r>
      <w:r w:rsidR="00B9245F">
        <w:rPr>
          <w:rFonts w:ascii="Times New Roman" w:hAnsi="Times New Roman"/>
        </w:rPr>
        <w:t>, exhibited in Table 1</w:t>
      </w:r>
      <w:r w:rsidR="00B04024">
        <w:rPr>
          <w:rFonts w:ascii="Times New Roman" w:hAnsi="Times New Roman"/>
        </w:rPr>
        <w:t xml:space="preserve">. </w:t>
      </w:r>
    </w:p>
    <w:p w:rsidR="0048769C" w:rsidRDefault="0048769C">
      <w:pPr>
        <w:ind w:firstLine="720"/>
        <w:rPr>
          <w:rFonts w:ascii="Times New Roman" w:hAnsi="Times New Roman"/>
        </w:rPr>
      </w:pPr>
    </w:p>
    <w:p w:rsidR="00B04024" w:rsidRPr="0048769C" w:rsidRDefault="00F53E3C" w:rsidP="00C213CC">
      <w:pPr>
        <w:keepNext/>
        <w:keepLines/>
        <w:ind w:firstLine="720"/>
        <w:rPr>
          <w:rFonts w:ascii="Times New Roman" w:hAnsi="Times New Roman"/>
          <w:b/>
        </w:rPr>
      </w:pPr>
      <w:r w:rsidRPr="00F53E3C">
        <w:rPr>
          <w:rFonts w:ascii="Times New Roman" w:hAnsi="Times New Roman"/>
          <w:b/>
        </w:rPr>
        <w:t>Table 1: Number of Responses by Type</w:t>
      </w:r>
    </w:p>
    <w:tbl>
      <w:tblPr>
        <w:tblW w:w="936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6"/>
        <w:gridCol w:w="2192"/>
        <w:gridCol w:w="1526"/>
        <w:gridCol w:w="1526"/>
      </w:tblGrid>
      <w:tr w:rsidR="00601B91" w:rsidRPr="003809D2" w:rsidTr="00601B91">
        <w:trPr>
          <w:cantSplit/>
        </w:trPr>
        <w:tc>
          <w:tcPr>
            <w:tcW w:w="4950" w:type="dxa"/>
            <w:vAlign w:val="center"/>
          </w:tcPr>
          <w:p w:rsidR="00601B91" w:rsidRPr="00F53E3C" w:rsidRDefault="00601B91" w:rsidP="00C213CC">
            <w:pPr>
              <w:keepNext/>
              <w:keepLines/>
              <w:numPr>
                <w:ilvl w:val="12"/>
                <w:numId w:val="0"/>
              </w:numPr>
              <w:spacing w:before="134" w:after="72"/>
              <w:rPr>
                <w:rFonts w:ascii="Times New Roman" w:hAnsi="Times New Roman"/>
                <w:sz w:val="20"/>
                <w:szCs w:val="20"/>
              </w:rPr>
            </w:pPr>
            <w:bookmarkStart w:id="2" w:name="_Hlk250528208"/>
            <w:r w:rsidRPr="00F53E3C">
              <w:rPr>
                <w:rFonts w:ascii="Times New Roman" w:hAnsi="Times New Roman"/>
                <w:b/>
                <w:bCs/>
                <w:sz w:val="20"/>
                <w:szCs w:val="20"/>
              </w:rPr>
              <w:t>Type of Response</w:t>
            </w:r>
          </w:p>
        </w:tc>
        <w:tc>
          <w:tcPr>
            <w:tcW w:w="261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Number of Responses</w:t>
            </w:r>
          </w:p>
        </w:tc>
        <w:tc>
          <w:tcPr>
            <w:tcW w:w="180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Percent of Total</w:t>
            </w:r>
            <w:r w:rsidR="008D2CC7">
              <w:rPr>
                <w:rFonts w:ascii="Times New Roman" w:hAnsi="Times New Roman"/>
                <w:b/>
                <w:bCs/>
                <w:sz w:val="20"/>
                <w:szCs w:val="20"/>
              </w:rPr>
              <w:t xml:space="preserve"> </w:t>
            </w:r>
            <w:r w:rsidR="003E4F30">
              <w:rPr>
                <w:rFonts w:ascii="Times New Roman" w:hAnsi="Times New Roman"/>
                <w:b/>
                <w:bCs/>
                <w:sz w:val="20"/>
                <w:szCs w:val="20"/>
              </w:rPr>
              <w:t>(%)</w:t>
            </w:r>
          </w:p>
        </w:tc>
        <w:tc>
          <w:tcPr>
            <w:tcW w:w="1800" w:type="dxa"/>
          </w:tcPr>
          <w:p w:rsidR="000E7C34" w:rsidRDefault="00601B91">
            <w:pPr>
              <w:keepNext/>
              <w:keepLines/>
              <w:numPr>
                <w:ilvl w:val="12"/>
                <w:numId w:val="0"/>
              </w:numPr>
              <w:spacing w:before="134" w:after="72"/>
              <w:jc w:val="center"/>
              <w:rPr>
                <w:rFonts w:ascii="Times New Roman" w:hAnsi="Times New Roman"/>
                <w:b/>
                <w:bCs/>
                <w:sz w:val="20"/>
                <w:szCs w:val="20"/>
              </w:rPr>
            </w:pPr>
            <w:r>
              <w:rPr>
                <w:rFonts w:ascii="Times New Roman" w:hAnsi="Times New Roman"/>
                <w:b/>
                <w:bCs/>
                <w:sz w:val="20"/>
                <w:szCs w:val="20"/>
              </w:rPr>
              <w:t>Burden Hours per Response</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bookmarkStart w:id="3" w:name="_Hlk250471742"/>
            <w:r>
              <w:rPr>
                <w:rFonts w:ascii="Times New Roman" w:hAnsi="Times New Roman"/>
                <w:sz w:val="20"/>
                <w:szCs w:val="20"/>
              </w:rPr>
              <w:t>Registered Pesticides and Devices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24</w:t>
            </w:r>
            <w:r w:rsidRPr="00F53E3C">
              <w:rPr>
                <w:rFonts w:ascii="Times New Roman" w:hAnsi="Times New Roman"/>
                <w:sz w:val="20"/>
                <w:szCs w:val="20"/>
              </w:rPr>
              <w:t>,</w:t>
            </w:r>
            <w:r>
              <w:rPr>
                <w:rFonts w:ascii="Times New Roman" w:hAnsi="Times New Roman"/>
                <w:sz w:val="20"/>
                <w:szCs w:val="20"/>
              </w:rPr>
              <w:t>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70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0.40</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r>
              <w:rPr>
                <w:rFonts w:ascii="Times New Roman" w:hAnsi="Times New Roman"/>
                <w:sz w:val="20"/>
                <w:szCs w:val="20"/>
              </w:rPr>
              <w:t>Unregistered Pesticides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10,5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30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0.50</w:t>
            </w:r>
          </w:p>
        </w:tc>
      </w:tr>
      <w:bookmarkEnd w:id="2"/>
      <w:bookmarkEnd w:id="3"/>
    </w:tbl>
    <w:p w:rsidR="00B04024" w:rsidRDefault="00B04024">
      <w:pPr>
        <w:ind w:firstLine="720"/>
        <w:rPr>
          <w:rFonts w:ascii="Times New Roman" w:hAnsi="Times New Roman"/>
        </w:rPr>
      </w:pPr>
    </w:p>
    <w:p w:rsidR="002F6B52" w:rsidRDefault="002F6B52" w:rsidP="002F6B52">
      <w:pPr>
        <w:tabs>
          <w:tab w:val="left" w:pos="-1440"/>
          <w:tab w:val="left" w:pos="-720"/>
          <w:tab w:val="decimal" w:pos="0"/>
        </w:tabs>
        <w:ind w:firstLine="720"/>
        <w:rPr>
          <w:rFonts w:ascii="Times New Roman" w:hAnsi="Times New Roman"/>
        </w:rPr>
      </w:pPr>
      <w:r>
        <w:rPr>
          <w:rFonts w:ascii="Times New Roman" w:hAnsi="Times New Roman"/>
        </w:rPr>
        <w:t>As discussed above, importers must submit EPA Form 35</w:t>
      </w:r>
      <w:r w:rsidR="00DA1C5D">
        <w:rPr>
          <w:rFonts w:ascii="Times New Roman" w:hAnsi="Times New Roman"/>
        </w:rPr>
        <w:t>4</w:t>
      </w:r>
      <w:r>
        <w:rPr>
          <w:rFonts w:ascii="Times New Roman" w:hAnsi="Times New Roman"/>
        </w:rPr>
        <w:t xml:space="preserve">0-1 prior to the arrival in the United States of a shipment of a pesticide or device. In estimating the burden per response, EPA assumes that </w:t>
      </w:r>
      <w:r w:rsidR="00EF0F45">
        <w:rPr>
          <w:rFonts w:ascii="Times New Roman" w:hAnsi="Times New Roman"/>
        </w:rPr>
        <w:t xml:space="preserve">all </w:t>
      </w:r>
      <w:r>
        <w:rPr>
          <w:rFonts w:ascii="Times New Roman" w:hAnsi="Times New Roman"/>
        </w:rPr>
        <w:t>importers will</w:t>
      </w:r>
      <w:r w:rsidR="007F54C6">
        <w:rPr>
          <w:rFonts w:ascii="Times New Roman" w:hAnsi="Times New Roman"/>
        </w:rPr>
        <w:t xml:space="preserve"> include </w:t>
      </w:r>
      <w:r w:rsidR="00CE255F">
        <w:rPr>
          <w:rFonts w:ascii="Times New Roman" w:hAnsi="Times New Roman"/>
        </w:rPr>
        <w:t>a copy of the product</w:t>
      </w:r>
      <w:r w:rsidR="00FC1559">
        <w:rPr>
          <w:rFonts w:ascii="Times New Roman" w:hAnsi="Times New Roman"/>
        </w:rPr>
        <w:t xml:space="preserve"> </w:t>
      </w:r>
      <w:r w:rsidR="007F54C6">
        <w:rPr>
          <w:rFonts w:ascii="Times New Roman" w:hAnsi="Times New Roman"/>
        </w:rPr>
        <w:t xml:space="preserve">label as part of current practice and will </w:t>
      </w:r>
      <w:r>
        <w:rPr>
          <w:rFonts w:ascii="Times New Roman" w:hAnsi="Times New Roman"/>
        </w:rPr>
        <w:t xml:space="preserve">voluntarily submit </w:t>
      </w:r>
      <w:r w:rsidR="007F54C6">
        <w:rPr>
          <w:rFonts w:ascii="Times New Roman" w:hAnsi="Times New Roman"/>
        </w:rPr>
        <w:t xml:space="preserve">other </w:t>
      </w:r>
      <w:r>
        <w:rPr>
          <w:rFonts w:ascii="Times New Roman" w:hAnsi="Times New Roman"/>
        </w:rPr>
        <w:t>supporting documents to EPA with Form 35</w:t>
      </w:r>
      <w:r w:rsidR="00DA1C5D">
        <w:rPr>
          <w:rFonts w:ascii="Times New Roman" w:hAnsi="Times New Roman"/>
        </w:rPr>
        <w:t>4</w:t>
      </w:r>
      <w:r>
        <w:rPr>
          <w:rFonts w:ascii="Times New Roman" w:hAnsi="Times New Roman"/>
        </w:rPr>
        <w:t>0-1.  In addition, EPA assumes importers</w:t>
      </w:r>
      <w:r w:rsidR="007F54C6">
        <w:rPr>
          <w:rFonts w:ascii="Times New Roman" w:hAnsi="Times New Roman"/>
        </w:rPr>
        <w:t xml:space="preserve"> of unregistered pesticides</w:t>
      </w:r>
      <w:r>
        <w:rPr>
          <w:rFonts w:ascii="Times New Roman" w:hAnsi="Times New Roman"/>
        </w:rPr>
        <w:t xml:space="preserve"> will voluntarily provide information regarding the intended use of the product, as well as a description of why the product is being imported.</w:t>
      </w:r>
    </w:p>
    <w:p w:rsidR="00047D04" w:rsidRDefault="00047D04" w:rsidP="007705F0">
      <w:pPr>
        <w:numPr>
          <w:ilvl w:val="12"/>
          <w:numId w:val="0"/>
        </w:numPr>
        <w:rPr>
          <w:rFonts w:ascii="Times New Roman" w:hAnsi="Times New Roman"/>
        </w:rPr>
      </w:pPr>
    </w:p>
    <w:p w:rsidR="000E7C34" w:rsidRDefault="00047D04">
      <w:pPr>
        <w:numPr>
          <w:ilvl w:val="12"/>
          <w:numId w:val="0"/>
        </w:numPr>
        <w:rPr>
          <w:rFonts w:ascii="Times New Roman" w:hAnsi="Times New Roman"/>
        </w:rPr>
      </w:pPr>
      <w:r>
        <w:rPr>
          <w:rFonts w:ascii="Times New Roman" w:hAnsi="Times New Roman"/>
        </w:rPr>
        <w:t>EPA estimates it will take respondents submitting a NOA for a registered pesticide or device product 0.4</w:t>
      </w:r>
      <w:r w:rsidR="00053573">
        <w:rPr>
          <w:rFonts w:ascii="Times New Roman" w:hAnsi="Times New Roman"/>
        </w:rPr>
        <w:t xml:space="preserve">0 </w:t>
      </w:r>
      <w:r>
        <w:rPr>
          <w:rFonts w:ascii="Times New Roman" w:hAnsi="Times New Roman"/>
        </w:rPr>
        <w:t xml:space="preserve"> hours</w:t>
      </w:r>
      <w:r w:rsidR="00242950">
        <w:rPr>
          <w:rFonts w:ascii="Times New Roman" w:hAnsi="Times New Roman"/>
        </w:rPr>
        <w:t xml:space="preserve"> per response</w:t>
      </w:r>
      <w:r>
        <w:rPr>
          <w:rFonts w:ascii="Times New Roman" w:hAnsi="Times New Roman"/>
        </w:rPr>
        <w:t xml:space="preserve"> to read instructions, complete form, and submit </w:t>
      </w:r>
      <w:r w:rsidR="00242950">
        <w:rPr>
          <w:rFonts w:ascii="Times New Roman" w:hAnsi="Times New Roman"/>
        </w:rPr>
        <w:t xml:space="preserve">information </w:t>
      </w:r>
      <w:r>
        <w:rPr>
          <w:rFonts w:ascii="Times New Roman" w:hAnsi="Times New Roman"/>
        </w:rPr>
        <w:t xml:space="preserve">to EPA and Customs, for a total of </w:t>
      </w:r>
      <w:r w:rsidR="00C212BF">
        <w:rPr>
          <w:rFonts w:ascii="Times New Roman" w:hAnsi="Times New Roman"/>
        </w:rPr>
        <w:t>9</w:t>
      </w:r>
      <w:r>
        <w:rPr>
          <w:rFonts w:ascii="Times New Roman" w:hAnsi="Times New Roman"/>
        </w:rPr>
        <w:t>,8</w:t>
      </w:r>
      <w:r w:rsidR="00C212BF">
        <w:rPr>
          <w:rFonts w:ascii="Times New Roman" w:hAnsi="Times New Roman"/>
        </w:rPr>
        <w:t>00</w:t>
      </w:r>
      <w:r>
        <w:rPr>
          <w:rFonts w:ascii="Times New Roman" w:hAnsi="Times New Roman"/>
        </w:rPr>
        <w:t xml:space="preserve"> hours annually. Respondents submitting a NOA for unregistered pesticides will require 0.5</w:t>
      </w:r>
      <w:r w:rsidR="008D2CC7">
        <w:rPr>
          <w:rFonts w:ascii="Times New Roman" w:hAnsi="Times New Roman"/>
        </w:rPr>
        <w:t>0</w:t>
      </w:r>
      <w:r>
        <w:rPr>
          <w:rFonts w:ascii="Times New Roman" w:hAnsi="Times New Roman"/>
        </w:rPr>
        <w:t xml:space="preserve"> hours for these activities, or </w:t>
      </w:r>
      <w:r w:rsidR="00C212BF">
        <w:rPr>
          <w:rFonts w:ascii="Times New Roman" w:hAnsi="Times New Roman"/>
        </w:rPr>
        <w:t>5</w:t>
      </w:r>
      <w:r>
        <w:rPr>
          <w:rFonts w:ascii="Times New Roman" w:hAnsi="Times New Roman"/>
        </w:rPr>
        <w:t>,2</w:t>
      </w:r>
      <w:r w:rsidR="00C212BF">
        <w:rPr>
          <w:rFonts w:ascii="Times New Roman" w:hAnsi="Times New Roman"/>
        </w:rPr>
        <w:t>5</w:t>
      </w:r>
      <w:r>
        <w:rPr>
          <w:rFonts w:ascii="Times New Roman" w:hAnsi="Times New Roman"/>
        </w:rPr>
        <w:t>0 hours annually. The annual burden hours per response type are found by multiplying the annual number of responses per response type time</w:t>
      </w:r>
      <w:r w:rsidR="00242950">
        <w:rPr>
          <w:rFonts w:ascii="Times New Roman" w:hAnsi="Times New Roman"/>
        </w:rPr>
        <w:t>s</w:t>
      </w:r>
      <w:r>
        <w:rPr>
          <w:rFonts w:ascii="Times New Roman" w:hAnsi="Times New Roman"/>
        </w:rPr>
        <w:t xml:space="preserve"> the burden per response. </w:t>
      </w:r>
      <w:r w:rsidRPr="00A87F90">
        <w:rPr>
          <w:rFonts w:ascii="Times New Roman" w:hAnsi="Times New Roman"/>
        </w:rPr>
        <w:t>The paperwork burden estimates represent the average costs. Some respondents will spend less t</w:t>
      </w:r>
      <w:r>
        <w:rPr>
          <w:rFonts w:ascii="Times New Roman" w:hAnsi="Times New Roman"/>
        </w:rPr>
        <w:t>ime</w:t>
      </w:r>
      <w:r w:rsidRPr="00A87F90">
        <w:rPr>
          <w:rFonts w:ascii="Times New Roman" w:hAnsi="Times New Roman"/>
        </w:rPr>
        <w:t xml:space="preserve"> and others </w:t>
      </w:r>
      <w:r>
        <w:rPr>
          <w:rFonts w:ascii="Times New Roman" w:hAnsi="Times New Roman"/>
        </w:rPr>
        <w:t>more</w:t>
      </w:r>
      <w:r w:rsidRPr="00A87F90">
        <w:rPr>
          <w:rFonts w:ascii="Times New Roman" w:hAnsi="Times New Roman"/>
        </w:rPr>
        <w:t xml:space="preserve"> time than the average estimated. </w:t>
      </w:r>
      <w:r>
        <w:rPr>
          <w:rFonts w:ascii="Times New Roman" w:hAnsi="Times New Roman"/>
        </w:rPr>
        <w:t>The total estimated respondent burden to comply with this information collection is 1</w:t>
      </w:r>
      <w:r w:rsidR="00C212BF">
        <w:rPr>
          <w:rFonts w:ascii="Times New Roman" w:hAnsi="Times New Roman"/>
        </w:rPr>
        <w:t>5</w:t>
      </w:r>
      <w:r>
        <w:rPr>
          <w:rFonts w:ascii="Times New Roman" w:hAnsi="Times New Roman"/>
        </w:rPr>
        <w:t>,0</w:t>
      </w:r>
      <w:r w:rsidR="00C212BF">
        <w:rPr>
          <w:rFonts w:ascii="Times New Roman" w:hAnsi="Times New Roman"/>
        </w:rPr>
        <w:t>5</w:t>
      </w:r>
      <w:r>
        <w:rPr>
          <w:rFonts w:ascii="Times New Roman" w:hAnsi="Times New Roman"/>
        </w:rPr>
        <w:t xml:space="preserve">0 hours annually. </w:t>
      </w:r>
    </w:p>
    <w:p w:rsidR="000E7C34" w:rsidRDefault="000E7C34">
      <w:pPr>
        <w:numPr>
          <w:ilvl w:val="12"/>
          <w:numId w:val="0"/>
        </w:numPr>
        <w:rPr>
          <w:rFonts w:ascii="Times New Roman" w:hAnsi="Times New Roman"/>
        </w:rPr>
      </w:pPr>
    </w:p>
    <w:p w:rsidR="000C60AF" w:rsidRDefault="00050251">
      <w:pPr>
        <w:ind w:left="720"/>
        <w:rPr>
          <w:rFonts w:ascii="Times New Roman" w:hAnsi="Times New Roman"/>
          <w:b/>
        </w:rPr>
      </w:pPr>
      <w:r>
        <w:rPr>
          <w:rFonts w:ascii="Times New Roman" w:hAnsi="Times New Roman"/>
          <w:b/>
          <w:bCs/>
        </w:rPr>
        <w:t>6 (b)</w:t>
      </w:r>
      <w:r w:rsidR="00A87F90" w:rsidRPr="0065123D">
        <w:rPr>
          <w:rFonts w:ascii="Times New Roman" w:hAnsi="Times New Roman"/>
          <w:b/>
          <w:bCs/>
        </w:rPr>
        <w:t xml:space="preserve"> </w:t>
      </w:r>
      <w:r w:rsidR="00BE7FD6" w:rsidRPr="00BE7FD6">
        <w:rPr>
          <w:rFonts w:ascii="Times New Roman" w:hAnsi="Times New Roman"/>
          <w:b/>
          <w:bCs/>
        </w:rPr>
        <w:t xml:space="preserve">Estimating </w:t>
      </w:r>
      <w:r>
        <w:rPr>
          <w:rFonts w:ascii="Times New Roman" w:hAnsi="Times New Roman"/>
          <w:b/>
          <w:bCs/>
        </w:rPr>
        <w:t>Respondent</w:t>
      </w:r>
      <w:r w:rsidRPr="00BE7FD6">
        <w:rPr>
          <w:rFonts w:ascii="Times New Roman" w:hAnsi="Times New Roman"/>
          <w:b/>
          <w:bCs/>
        </w:rPr>
        <w:t xml:space="preserve"> </w:t>
      </w:r>
      <w:r w:rsidR="00BE7FD6" w:rsidRPr="00BE7FD6">
        <w:rPr>
          <w:rFonts w:ascii="Times New Roman" w:hAnsi="Times New Roman"/>
          <w:b/>
          <w:bCs/>
        </w:rPr>
        <w:t>Costs</w:t>
      </w:r>
      <w:r w:rsidR="00BE7FD6" w:rsidRPr="00BE7FD6">
        <w:rPr>
          <w:rFonts w:ascii="Times New Roman" w:hAnsi="Times New Roman"/>
          <w:b/>
        </w:rPr>
        <w:t xml:space="preserve"> </w:t>
      </w:r>
    </w:p>
    <w:p w:rsidR="0048769C" w:rsidRPr="00C0504A" w:rsidRDefault="0048769C" w:rsidP="00316CC2">
      <w:pPr>
        <w:ind w:left="720"/>
        <w:rPr>
          <w:rFonts w:ascii="Times New Roman" w:hAnsi="Times New Roman"/>
        </w:rPr>
      </w:pPr>
    </w:p>
    <w:p w:rsidR="00050251" w:rsidRPr="00A87F90" w:rsidRDefault="00050251" w:rsidP="00050251">
      <w:pPr>
        <w:ind w:firstLine="720"/>
        <w:rPr>
          <w:rFonts w:ascii="Times New Roman" w:hAnsi="Times New Roman"/>
          <w:bCs/>
        </w:rPr>
      </w:pPr>
      <w:r w:rsidRPr="00BE7FD6">
        <w:rPr>
          <w:rFonts w:ascii="Times New Roman" w:hAnsi="Times New Roman"/>
          <w:bCs/>
        </w:rPr>
        <w:t xml:space="preserve">The methodology for calculating the wage rates in this </w:t>
      </w:r>
      <w:r>
        <w:rPr>
          <w:rFonts w:ascii="Times New Roman" w:hAnsi="Times New Roman"/>
          <w:bCs/>
        </w:rPr>
        <w:t xml:space="preserve">renewal </w:t>
      </w:r>
      <w:r w:rsidRPr="00BE7FD6">
        <w:rPr>
          <w:rFonts w:ascii="Times New Roman" w:hAnsi="Times New Roman"/>
          <w:bCs/>
        </w:rPr>
        <w:t xml:space="preserve">of the ICR has been updated to be consistent with the method for wage calculation for all ICRs managed by the Office of Pesticide Programs (OPP).  The wage estimates are based on 2010 wage data.  The calculation of the wage rate uses base wage data for each sector and labor type for an </w:t>
      </w:r>
      <w:r w:rsidRPr="00BE7FD6">
        <w:rPr>
          <w:rFonts w:ascii="Times New Roman" w:hAnsi="Times New Roman"/>
          <w:bCs/>
          <w:i/>
        </w:rPr>
        <w:t>Unloaded wage rate</w:t>
      </w:r>
      <w:r w:rsidRPr="00BE7FD6">
        <w:rPr>
          <w:rFonts w:ascii="Times New Roman" w:hAnsi="Times New Roman"/>
          <w:bCs/>
        </w:rPr>
        <w:t xml:space="preserve"> (hourly wage rate) and calculates the </w:t>
      </w:r>
      <w:r w:rsidRPr="00BE7FD6">
        <w:rPr>
          <w:rFonts w:ascii="Times New Roman" w:hAnsi="Times New Roman"/>
          <w:bCs/>
          <w:i/>
        </w:rPr>
        <w:t>Loaded wage rate</w:t>
      </w:r>
      <w:r w:rsidRPr="00BE7FD6">
        <w:rPr>
          <w:rFonts w:ascii="Times New Roman" w:hAnsi="Times New Roman"/>
          <w:bCs/>
        </w:rPr>
        <w:t xml:space="preserve"> (unloaded wage rate + benefits) and the </w:t>
      </w:r>
      <w:r w:rsidRPr="00BE7FD6">
        <w:rPr>
          <w:rFonts w:ascii="Times New Roman" w:hAnsi="Times New Roman"/>
          <w:bCs/>
          <w:i/>
        </w:rPr>
        <w:t>Fully loaded wage rate</w:t>
      </w:r>
      <w:r w:rsidRPr="00BE7FD6">
        <w:rPr>
          <w:rFonts w:ascii="Times New Roman" w:hAnsi="Times New Roman"/>
          <w:bCs/>
        </w:rPr>
        <w:t xml:space="preserve"> (loaded wage rate + overhead) based on that data.  Fully loaded wage rates are used to calculate respondent and Agency costs.</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Unloaded Wage Rate:</w:t>
      </w:r>
      <w:r w:rsidRPr="00BE7FD6">
        <w:rPr>
          <w:rFonts w:ascii="Times New Roman" w:hAnsi="Times New Roman"/>
          <w:bCs/>
        </w:rPr>
        <w:t xml:space="preserv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(see </w:t>
      </w:r>
      <w:hyperlink r:id="rId7" w:history="1">
        <w:r w:rsidRPr="00BE7FD6">
          <w:rPr>
            <w:rStyle w:val="Hyperlink"/>
            <w:rFonts w:ascii="Times New Roman" w:hAnsi="Times New Roman"/>
            <w:bCs/>
            <w:i/>
          </w:rPr>
          <w:t>http://www.bls.gov/oes/current/oes_nat.htm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Sectors:</w:t>
      </w:r>
      <w:r w:rsidRPr="00BE7FD6">
        <w:rPr>
          <w:rFonts w:ascii="Times New Roman" w:hAnsi="Times New Roman"/>
          <w:bCs/>
        </w:rPr>
        <w:t xml:space="preserve"> The specific North American Industry Classification System (NAICS) code and website for each sector is included in that sector’s wage rate table in Attachment D.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8" w:history="1">
        <w:r w:rsidRPr="00BE7FD6">
          <w:rPr>
            <w:rStyle w:val="Hyperlink"/>
            <w:rFonts w:ascii="Times New Roman" w:hAnsi="Times New Roman"/>
            <w:bCs/>
            <w:i/>
          </w:rPr>
          <w:t>http://www.bls.gov/oes/current/oes_stru.htm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Default="00050251" w:rsidP="00050251">
      <w:pPr>
        <w:ind w:firstLine="720"/>
        <w:rPr>
          <w:rFonts w:ascii="Times New Roman" w:hAnsi="Times New Roman"/>
          <w:bCs/>
        </w:rPr>
      </w:pPr>
      <w:r w:rsidRPr="00BE7FD6">
        <w:rPr>
          <w:rFonts w:ascii="Times New Roman" w:hAnsi="Times New Roman"/>
          <w:bCs/>
          <w:i/>
        </w:rPr>
        <w:t>Loaded Wage Rate</w:t>
      </w:r>
      <w:r w:rsidRPr="00BE7FD6">
        <w:rPr>
          <w:rFonts w:ascii="Times New Roman" w:hAnsi="Times New Roman"/>
          <w:bCs/>
        </w:rPr>
        <w:t xml:space="preserve">: Unless stated otherwise, all benefits represent 44% of unloaded wage rates, based on average rate of benefits for all civilian non-farm workers (see </w:t>
      </w:r>
      <w:hyperlink r:id="rId9" w:history="1">
        <w:r w:rsidRPr="00BE7FD6">
          <w:rPr>
            <w:rStyle w:val="Hyperlink"/>
            <w:rFonts w:ascii="Times New Roman" w:hAnsi="Times New Roman"/>
            <w:bCs/>
            <w:i/>
          </w:rPr>
          <w:t>http://www.bls.gov/news.release/ecec.t01.htm</w:t>
        </w:r>
      </w:hyperlink>
      <w:r w:rsidRPr="00BE7FD6">
        <w:rPr>
          <w:rFonts w:ascii="Times New Roman" w:hAnsi="Times New Roman"/>
          <w:bCs/>
        </w:rPr>
        <w:t xml:space="preserve">).  </w:t>
      </w:r>
    </w:p>
    <w:p w:rsidR="00050251" w:rsidRPr="00A87F90" w:rsidRDefault="00050251" w:rsidP="00050251">
      <w:pPr>
        <w:ind w:firstLine="720"/>
        <w:rPr>
          <w:rFonts w:ascii="Times New Roman" w:hAnsi="Times New Roman"/>
          <w:bCs/>
        </w:rPr>
      </w:pPr>
    </w:p>
    <w:p w:rsidR="00A87F90" w:rsidRPr="00A87F90" w:rsidRDefault="00050251" w:rsidP="008D2CC7">
      <w:pPr>
        <w:tabs>
          <w:tab w:val="left" w:pos="-1440"/>
          <w:tab w:val="left" w:pos="-720"/>
          <w:tab w:val="decimal" w:pos="0"/>
        </w:tabs>
        <w:rPr>
          <w:rFonts w:ascii="Times New Roman" w:hAnsi="Times New Roman"/>
        </w:rPr>
      </w:pPr>
      <w:r w:rsidRPr="00BE7FD6">
        <w:rPr>
          <w:rFonts w:ascii="Times New Roman" w:hAnsi="Times New Roman"/>
          <w:bCs/>
          <w:i/>
        </w:rPr>
        <w:t>Fully Loaded Wage Rate:</w:t>
      </w:r>
      <w:r w:rsidRPr="00BE7FD6">
        <w:rPr>
          <w:rFonts w:ascii="Times New Roman" w:hAnsi="Times New Roman"/>
          <w:bCs/>
        </w:rPr>
        <w:t xml:space="preserve">  OPP multiplies the loaded wage rate by 50% (EPA guidelines 20-70%) to get overhead costs.</w:t>
      </w:r>
      <w:r w:rsidR="008D2CC7">
        <w:rPr>
          <w:rFonts w:ascii="Times New Roman" w:hAnsi="Times New Roman"/>
          <w:bCs/>
        </w:rPr>
        <w:t xml:space="preserve"> </w:t>
      </w:r>
      <w:r w:rsidR="00A87F90" w:rsidRPr="00A87F90">
        <w:rPr>
          <w:rFonts w:ascii="Times New Roman" w:hAnsi="Times New Roman"/>
        </w:rPr>
        <w:t xml:space="preserve">Since </w:t>
      </w:r>
      <w:r w:rsidR="00AE1591">
        <w:rPr>
          <w:rFonts w:ascii="Times New Roman" w:hAnsi="Times New Roman"/>
        </w:rPr>
        <w:t>the majority</w:t>
      </w:r>
      <w:r w:rsidR="00A87F90" w:rsidRPr="00A87F90">
        <w:rPr>
          <w:rFonts w:ascii="Times New Roman" w:hAnsi="Times New Roman"/>
        </w:rPr>
        <w:t xml:space="preserve"> of </w:t>
      </w:r>
      <w:r w:rsidR="00AE1591">
        <w:rPr>
          <w:rFonts w:ascii="Times New Roman" w:hAnsi="Times New Roman"/>
        </w:rPr>
        <w:t>NOAs</w:t>
      </w:r>
      <w:r w:rsidR="00A87F90" w:rsidRPr="00A87F90">
        <w:rPr>
          <w:rFonts w:ascii="Times New Roman" w:hAnsi="Times New Roman"/>
        </w:rPr>
        <w:t xml:space="preserve"> are submitt</w:t>
      </w:r>
      <w:r w:rsidR="00A87F90">
        <w:rPr>
          <w:rFonts w:ascii="Times New Roman" w:hAnsi="Times New Roman"/>
        </w:rPr>
        <w:t>ed by firms in NAICS code 325300</w:t>
      </w:r>
      <w:r w:rsidR="00A87F90" w:rsidRPr="00A87F90">
        <w:rPr>
          <w:rFonts w:ascii="Times New Roman" w:hAnsi="Times New Roman"/>
        </w:rPr>
        <w:t xml:space="preserve"> (Pesticide and Other Agricultural Chemical Manufacturing), hourly wage rates for this sector were used to calculate respondent burden.  The fully loaded hourly wage rates for management, technical, and clerical occupations for NAICS 32</w:t>
      </w:r>
      <w:r w:rsidR="001D569A">
        <w:rPr>
          <w:rFonts w:ascii="Times New Roman" w:hAnsi="Times New Roman"/>
        </w:rPr>
        <w:t>5300</w:t>
      </w:r>
      <w:r w:rsidR="00A87F90" w:rsidRPr="00A87F90">
        <w:rPr>
          <w:rFonts w:ascii="Times New Roman" w:hAnsi="Times New Roman"/>
        </w:rPr>
        <w:t xml:space="preserve"> are $120.28, $60.85, and $37.11, respectively.  See </w:t>
      </w:r>
      <w:r w:rsidR="00BE7FD6" w:rsidRPr="00BE7FD6">
        <w:rPr>
          <w:rFonts w:ascii="Times New Roman" w:hAnsi="Times New Roman"/>
        </w:rPr>
        <w:t>Attachment D</w:t>
      </w:r>
      <w:r w:rsidR="00A87F90" w:rsidRPr="00A87F90">
        <w:rPr>
          <w:rFonts w:ascii="Times New Roman" w:hAnsi="Times New Roman"/>
        </w:rPr>
        <w:t xml:space="preserve"> for labor wage calculations.  </w:t>
      </w:r>
    </w:p>
    <w:p w:rsidR="00EE5D3B" w:rsidRDefault="00EE5D3B" w:rsidP="00A87F90">
      <w:pPr>
        <w:tabs>
          <w:tab w:val="left" w:pos="-1440"/>
          <w:tab w:val="left" w:pos="-720"/>
          <w:tab w:val="decimal" w:pos="0"/>
        </w:tabs>
        <w:ind w:firstLine="720"/>
        <w:rPr>
          <w:rFonts w:ascii="Times New Roman" w:hAnsi="Times New Roman"/>
        </w:rPr>
      </w:pPr>
    </w:p>
    <w:p w:rsidR="00A87F90" w:rsidRPr="00A87F90" w:rsidRDefault="00A87F90" w:rsidP="00A87F90">
      <w:pPr>
        <w:tabs>
          <w:tab w:val="left" w:pos="-1440"/>
          <w:tab w:val="left" w:pos="-720"/>
          <w:tab w:val="decimal" w:pos="0"/>
        </w:tabs>
        <w:ind w:firstLine="720"/>
        <w:rPr>
          <w:rFonts w:ascii="Times New Roman" w:hAnsi="Times New Roman"/>
        </w:rPr>
      </w:pPr>
      <w:r w:rsidRPr="00A87F90">
        <w:rPr>
          <w:rFonts w:ascii="Times New Roman" w:hAnsi="Times New Roman"/>
        </w:rPr>
        <w:t xml:space="preserve">Table </w:t>
      </w:r>
      <w:r w:rsidR="00F84508">
        <w:rPr>
          <w:rFonts w:ascii="Times New Roman" w:hAnsi="Times New Roman"/>
        </w:rPr>
        <w:t>2</w:t>
      </w:r>
      <w:r w:rsidRPr="00A87F90">
        <w:rPr>
          <w:rFonts w:ascii="Times New Roman" w:hAnsi="Times New Roman"/>
        </w:rPr>
        <w:t xml:space="preserve"> shows</w:t>
      </w:r>
      <w:r w:rsidR="0048769C">
        <w:rPr>
          <w:rFonts w:ascii="Times New Roman" w:hAnsi="Times New Roman"/>
        </w:rPr>
        <w:t xml:space="preserve"> the estimated respondent burden and cost</w:t>
      </w:r>
      <w:r w:rsidR="00EE5D3B">
        <w:rPr>
          <w:rFonts w:ascii="Times New Roman" w:hAnsi="Times New Roman"/>
        </w:rPr>
        <w:t xml:space="preserve"> for submitting </w:t>
      </w:r>
      <w:r w:rsidR="001E68FF">
        <w:rPr>
          <w:rFonts w:ascii="Times New Roman" w:hAnsi="Times New Roman"/>
        </w:rPr>
        <w:t>EPA Form 3540-1</w:t>
      </w:r>
      <w:r w:rsidR="007F54C6">
        <w:rPr>
          <w:rFonts w:ascii="Times New Roman" w:hAnsi="Times New Roman"/>
        </w:rPr>
        <w:t>, including a label</w:t>
      </w:r>
      <w:r w:rsidR="001E68FF">
        <w:rPr>
          <w:rFonts w:ascii="Times New Roman" w:hAnsi="Times New Roman"/>
        </w:rPr>
        <w:t xml:space="preserve"> and </w:t>
      </w:r>
      <w:r w:rsidR="007F54C6">
        <w:rPr>
          <w:rFonts w:ascii="Times New Roman" w:hAnsi="Times New Roman"/>
        </w:rPr>
        <w:t xml:space="preserve">other </w:t>
      </w:r>
      <w:r w:rsidR="001E68FF">
        <w:rPr>
          <w:rFonts w:ascii="Times New Roman" w:hAnsi="Times New Roman"/>
        </w:rPr>
        <w:t>supporting documents</w:t>
      </w:r>
      <w:r w:rsidR="00CE255F">
        <w:rPr>
          <w:rFonts w:ascii="Times New Roman" w:hAnsi="Times New Roman"/>
        </w:rPr>
        <w:t>,</w:t>
      </w:r>
      <w:r w:rsidR="001E68FF">
        <w:rPr>
          <w:rFonts w:ascii="Times New Roman" w:hAnsi="Times New Roman"/>
        </w:rPr>
        <w:t xml:space="preserve"> for</w:t>
      </w:r>
      <w:r w:rsidR="00EE5D3B">
        <w:rPr>
          <w:rFonts w:ascii="Times New Roman" w:hAnsi="Times New Roman"/>
        </w:rPr>
        <w:t xml:space="preserve"> registered pesticide</w:t>
      </w:r>
      <w:r w:rsidR="00BE73D5">
        <w:rPr>
          <w:rFonts w:ascii="Times New Roman" w:hAnsi="Times New Roman"/>
        </w:rPr>
        <w:t xml:space="preserve"> and devices</w:t>
      </w:r>
      <w:r w:rsidR="00EE5D3B">
        <w:rPr>
          <w:rFonts w:ascii="Times New Roman" w:hAnsi="Times New Roman"/>
        </w:rPr>
        <w:t>.</w:t>
      </w:r>
      <w:r w:rsidR="006572D6">
        <w:rPr>
          <w:rFonts w:ascii="Times New Roman" w:hAnsi="Times New Roman"/>
        </w:rPr>
        <w:t xml:space="preserve"> For</w:t>
      </w:r>
      <w:r w:rsidR="00BE73D5">
        <w:rPr>
          <w:rFonts w:ascii="Times New Roman" w:hAnsi="Times New Roman"/>
        </w:rPr>
        <w:t xml:space="preserve"> these products</w:t>
      </w:r>
      <w:r w:rsidR="006572D6">
        <w:rPr>
          <w:rFonts w:ascii="Times New Roman" w:hAnsi="Times New Roman"/>
        </w:rPr>
        <w:t>,</w:t>
      </w:r>
      <w:r w:rsidR="00EE5D3B">
        <w:rPr>
          <w:rFonts w:ascii="Times New Roman" w:hAnsi="Times New Roman"/>
        </w:rPr>
        <w:t xml:space="preserve"> </w:t>
      </w:r>
      <w:r w:rsidR="001E68FF">
        <w:rPr>
          <w:rFonts w:ascii="Times New Roman" w:hAnsi="Times New Roman"/>
        </w:rPr>
        <w:t>EPA estimates the burden per response to be 0.4</w:t>
      </w:r>
      <w:r w:rsidR="00CE255F">
        <w:rPr>
          <w:rFonts w:ascii="Times New Roman" w:hAnsi="Times New Roman"/>
        </w:rPr>
        <w:t>0</w:t>
      </w:r>
      <w:r w:rsidR="001E68FF">
        <w:rPr>
          <w:rFonts w:ascii="Times New Roman" w:hAnsi="Times New Roman"/>
        </w:rPr>
        <w:t xml:space="preserve"> hours. </w:t>
      </w:r>
    </w:p>
    <w:p w:rsidR="00F54901" w:rsidRDefault="00F54901" w:rsidP="00A87F90">
      <w:pPr>
        <w:tabs>
          <w:tab w:val="left" w:pos="-1440"/>
          <w:tab w:val="left" w:pos="-720"/>
          <w:tab w:val="decimal" w:pos="0"/>
        </w:tabs>
        <w:ind w:firstLine="720"/>
        <w:rPr>
          <w:rFonts w:ascii="Times New Roman" w:hAnsi="Times New Roman"/>
          <w:b/>
        </w:rPr>
      </w:pPr>
    </w:p>
    <w:p w:rsidR="00C441DD" w:rsidRPr="00A87F90" w:rsidRDefault="00A87F90" w:rsidP="00A87F90">
      <w:pPr>
        <w:tabs>
          <w:tab w:val="left" w:pos="-1440"/>
          <w:tab w:val="left" w:pos="-720"/>
          <w:tab w:val="decimal" w:pos="0"/>
        </w:tabs>
        <w:ind w:firstLine="720"/>
        <w:rPr>
          <w:rFonts w:ascii="Times New Roman" w:hAnsi="Times New Roman"/>
          <w:b/>
        </w:rPr>
      </w:pPr>
      <w:r w:rsidRPr="00A87F90">
        <w:rPr>
          <w:rFonts w:ascii="Times New Roman" w:hAnsi="Times New Roman"/>
          <w:b/>
        </w:rPr>
        <w:t xml:space="preserve">Table </w:t>
      </w:r>
      <w:r w:rsidR="0048769C">
        <w:rPr>
          <w:rFonts w:ascii="Times New Roman" w:hAnsi="Times New Roman"/>
          <w:b/>
        </w:rPr>
        <w:t>2</w:t>
      </w:r>
      <w:r w:rsidRPr="00A87F90">
        <w:rPr>
          <w:rFonts w:ascii="Times New Roman" w:hAnsi="Times New Roman"/>
          <w:b/>
        </w:rPr>
        <w:t xml:space="preserve">: </w:t>
      </w:r>
      <w:r w:rsidR="0048769C">
        <w:rPr>
          <w:rFonts w:ascii="Times New Roman" w:hAnsi="Times New Roman"/>
          <w:b/>
        </w:rPr>
        <w:t>Respondent Burden and Cost</w:t>
      </w:r>
      <w:r w:rsidR="00320FC8">
        <w:rPr>
          <w:rFonts w:ascii="Times New Roman" w:hAnsi="Times New Roman"/>
          <w:b/>
        </w:rPr>
        <w:t xml:space="preserve"> Per Response</w:t>
      </w:r>
      <w:r w:rsidR="0048769C">
        <w:rPr>
          <w:rFonts w:ascii="Times New Roman" w:hAnsi="Times New Roman"/>
          <w:b/>
        </w:rPr>
        <w:t>: Registered Pesticides</w:t>
      </w:r>
      <w:r w:rsidR="00BE73D5">
        <w:rPr>
          <w:rFonts w:ascii="Times New Roman" w:hAnsi="Times New Roman"/>
          <w:b/>
        </w:rPr>
        <w:t xml:space="preserve"> and Devices</w:t>
      </w:r>
    </w:p>
    <w:tbl>
      <w:tblPr>
        <w:tblW w:w="9360"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firstRow="1" w:lastRow="0" w:firstColumn="1" w:lastColumn="0" w:noHBand="0" w:noVBand="1"/>
      </w:tblPr>
      <w:tblGrid>
        <w:gridCol w:w="3600"/>
        <w:gridCol w:w="1368"/>
        <w:gridCol w:w="1080"/>
        <w:gridCol w:w="1080"/>
        <w:gridCol w:w="1008"/>
        <w:gridCol w:w="869"/>
        <w:gridCol w:w="355"/>
      </w:tblGrid>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(hours) </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Technical </w:t>
            </w:r>
          </w:p>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(hours)</w:t>
            </w:r>
          </w:p>
        </w:tc>
        <w:tc>
          <w:tcPr>
            <w:tcW w:w="1080" w:type="dxa"/>
            <w:shd w:val="clear" w:color="000000" w:fill="FFFFFF" w:themeFill="background1"/>
            <w:vAlign w:val="bottom"/>
            <w:hideMark/>
          </w:tcPr>
          <w:p w:rsidR="00620D55"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 xml:space="preserve">Clerical </w:t>
            </w:r>
          </w:p>
          <w:p w:rsidR="00B54B81"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(hours)</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320FC8">
              <w:rPr>
                <w:rFonts w:ascii="Times New Roman" w:hAnsi="Times New Roman"/>
                <w:b/>
                <w:bCs/>
                <w:sz w:val="20"/>
                <w:szCs w:val="20"/>
              </w:rPr>
              <w:t>(</w:t>
            </w:r>
            <w:r w:rsidRPr="00F53E3C">
              <w:rPr>
                <w:rFonts w:ascii="Times New Roman" w:hAnsi="Times New Roman"/>
                <w:b/>
                <w:bCs/>
                <w:sz w:val="20"/>
                <w:szCs w:val="20"/>
              </w:rPr>
              <w:t>hours</w:t>
            </w:r>
            <w:r w:rsidR="00320FC8">
              <w:rPr>
                <w:rFonts w:ascii="Times New Roman" w:hAnsi="Times New Roman"/>
                <w:b/>
                <w:bCs/>
                <w:sz w:val="20"/>
                <w:szCs w:val="20"/>
              </w:rPr>
              <w:t>)</w:t>
            </w:r>
          </w:p>
        </w:tc>
        <w:tc>
          <w:tcPr>
            <w:tcW w:w="1224" w:type="dxa"/>
            <w:gridSpan w:val="2"/>
            <w:shd w:val="clear" w:color="000000" w:fill="FFFFFF" w:themeFill="background1"/>
            <w:vAlign w:val="bottom"/>
            <w:hideMark/>
          </w:tcPr>
          <w:p w:rsidR="00620D55"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Cost</w:t>
            </w:r>
          </w:p>
          <w:p w:rsidR="00320FC8" w:rsidRPr="00B54B81" w:rsidRDefault="00320FC8" w:rsidP="00620D55">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p>
        </w:tc>
      </w:tr>
      <w:tr w:rsidR="00C44575" w:rsidRPr="00620D55" w:rsidTr="00F54901">
        <w:trPr>
          <w:trHeight w:val="461"/>
        </w:trPr>
        <w:tc>
          <w:tcPr>
            <w:tcW w:w="3600" w:type="dxa"/>
            <w:shd w:val="clear" w:color="000000" w:fill="FFFFFF" w:themeFill="background1"/>
            <w:noWrap/>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0.85</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4" w:type="dxa"/>
            <w:gridSpan w:val="2"/>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0.01</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CE25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CE255F">
              <w:rPr>
                <w:rFonts w:ascii="Times New Roman" w:hAnsi="Times New Roman"/>
                <w:color w:val="000000"/>
                <w:sz w:val="20"/>
                <w:szCs w:val="20"/>
              </w:rPr>
              <w:t>6</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4.25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F53E3C" w:rsidRPr="00F53E3C" w:rsidRDefault="00CE255F" w:rsidP="00F53E3C">
            <w:pPr>
              <w:widowControl/>
              <w:autoSpaceDE/>
              <w:autoSpaceDN/>
              <w:adjustRightInd/>
              <w:ind w:left="-6" w:firstLine="6"/>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320FC8">
              <w:rPr>
                <w:rFonts w:ascii="Times New Roman" w:hAnsi="Times New Roman"/>
                <w:bCs/>
                <w:sz w:val="20"/>
                <w:szCs w:val="20"/>
              </w:rPr>
              <w:t>, including label</w:t>
            </w:r>
            <w:r w:rsidR="00A77C8F">
              <w:rPr>
                <w:rFonts w:ascii="Times New Roman" w:hAnsi="Times New Roman"/>
                <w:bCs/>
                <w:sz w:val="20"/>
                <w:szCs w:val="20"/>
              </w:rPr>
              <w:t xml:space="preserve"> and supporting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w:t>
            </w:r>
            <w:r w:rsidR="00FE22FC">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DA1C5D"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0.03</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.05</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2.33</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D34564">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5.45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3.92</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0.03</w:t>
            </w:r>
          </w:p>
        </w:tc>
        <w:tc>
          <w:tcPr>
            <w:tcW w:w="1080" w:type="dxa"/>
            <w:shd w:val="clear" w:color="000000" w:fill="FFFFFF" w:themeFill="background1"/>
            <w:vAlign w:val="bottom"/>
            <w:hideMark/>
          </w:tcPr>
          <w:p w:rsidR="00620D55" w:rsidRPr="00B54B81" w:rsidRDefault="00320FC8"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0.16</w:t>
            </w:r>
          </w:p>
        </w:tc>
        <w:tc>
          <w:tcPr>
            <w:tcW w:w="1080"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0.21</w:t>
            </w:r>
          </w:p>
        </w:tc>
        <w:tc>
          <w:tcPr>
            <w:tcW w:w="1008"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0.40</w:t>
            </w:r>
          </w:p>
        </w:tc>
        <w:tc>
          <w:tcPr>
            <w:tcW w:w="1224" w:type="dxa"/>
            <w:gridSpan w:val="2"/>
            <w:shd w:val="clear" w:color="000000" w:fill="FFFFFF" w:themeFill="background1"/>
            <w:noWrap/>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sz w:val="20"/>
                <w:szCs w:val="20"/>
              </w:rPr>
            </w:pPr>
            <w:r>
              <w:rPr>
                <w:rFonts w:ascii="Times New Roman" w:hAnsi="Times New Roman"/>
                <w:b/>
                <w:bCs/>
                <w:sz w:val="20"/>
                <w:szCs w:val="20"/>
              </w:rPr>
              <w:t>21.14</w:t>
            </w:r>
            <w:r w:rsidR="00F53E3C" w:rsidRPr="00F53E3C">
              <w:rPr>
                <w:rFonts w:ascii="Times New Roman" w:hAnsi="Times New Roman"/>
                <w:b/>
                <w:bCs/>
                <w:sz w:val="20"/>
                <w:szCs w:val="20"/>
              </w:rPr>
              <w:t xml:space="preserve"> </w:t>
            </w:r>
          </w:p>
        </w:tc>
      </w:tr>
      <w:tr w:rsidR="00A87F90" w:rsidRPr="00A87F90" w:rsidTr="008D2CC7">
        <w:trPr>
          <w:gridAfter w:val="1"/>
          <w:wAfter w:w="355" w:type="dxa"/>
          <w:trHeight w:val="264"/>
        </w:trPr>
        <w:tc>
          <w:tcPr>
            <w:tcW w:w="9005" w:type="dxa"/>
            <w:gridSpan w:val="6"/>
            <w:tcBorders>
              <w:top w:val="double" w:sz="4" w:space="0" w:color="auto"/>
              <w:left w:val="nil"/>
              <w:bottom w:val="nil"/>
              <w:right w:val="nil"/>
            </w:tcBorders>
            <w:shd w:val="clear" w:color="000000" w:fill="auto"/>
            <w:vAlign w:val="bottom"/>
            <w:hideMark/>
          </w:tcPr>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053573" w:rsidRDefault="00100BD5">
            <w:pPr>
              <w:tabs>
                <w:tab w:val="left" w:pos="-1440"/>
                <w:tab w:val="left" w:pos="-720"/>
                <w:tab w:val="decimal" w:pos="0"/>
              </w:tabs>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tc>
      </w:tr>
    </w:tbl>
    <w:p w:rsidR="00C441DD" w:rsidRDefault="00C441DD" w:rsidP="00C441DD">
      <w:pPr>
        <w:tabs>
          <w:tab w:val="left" w:pos="-1440"/>
          <w:tab w:val="left" w:pos="-720"/>
          <w:tab w:val="decimal" w:pos="0"/>
        </w:tabs>
        <w:ind w:firstLine="720"/>
        <w:rPr>
          <w:rFonts w:ascii="Times New Roman" w:hAnsi="Times New Roman"/>
        </w:rPr>
      </w:pPr>
    </w:p>
    <w:p w:rsidR="00F54901" w:rsidRDefault="00CE255F" w:rsidP="00CA6132">
      <w:pPr>
        <w:keepNext/>
        <w:widowControl/>
        <w:tabs>
          <w:tab w:val="left" w:pos="-1440"/>
          <w:tab w:val="left" w:pos="-720"/>
          <w:tab w:val="decimal" w:pos="0"/>
        </w:tabs>
        <w:ind w:firstLine="720"/>
        <w:rPr>
          <w:rFonts w:ascii="Times New Roman" w:hAnsi="Times New Roman"/>
        </w:rPr>
      </w:pPr>
      <w:r>
        <w:rPr>
          <w:rFonts w:ascii="Times New Roman" w:hAnsi="Times New Roman"/>
        </w:rPr>
        <w:t>The estimated total annual burden for registered pesticides and devices is shown in Table 3. The total annual burden is estimate to be 9,800 burden hours, at a cost of $5</w:t>
      </w:r>
      <w:r w:rsidR="00DA0C25">
        <w:rPr>
          <w:rFonts w:ascii="Times New Roman" w:hAnsi="Times New Roman"/>
        </w:rPr>
        <w:t>17,887</w:t>
      </w:r>
      <w:r>
        <w:rPr>
          <w:rFonts w:ascii="Times New Roman" w:hAnsi="Times New Roman"/>
        </w:rPr>
        <w:t xml:space="preserve">.  </w:t>
      </w:r>
      <w:r w:rsidRPr="00A87F90">
        <w:rPr>
          <w:rFonts w:ascii="Times New Roman" w:hAnsi="Times New Roman"/>
        </w:rPr>
        <w:t xml:space="preserve">The </w:t>
      </w:r>
      <w:r>
        <w:rPr>
          <w:rFonts w:ascii="Times New Roman" w:hAnsi="Times New Roman"/>
        </w:rPr>
        <w:t xml:space="preserve">burden and cost per response is multiplied by the number of responses to </w:t>
      </w:r>
      <w:r w:rsidRPr="00A87F90">
        <w:rPr>
          <w:rFonts w:ascii="Times New Roman" w:hAnsi="Times New Roman"/>
        </w:rPr>
        <w:t>get total annual respondent</w:t>
      </w:r>
      <w:r>
        <w:rPr>
          <w:rFonts w:ascii="Times New Roman" w:hAnsi="Times New Roman"/>
        </w:rPr>
        <w:t xml:space="preserve"> burden</w:t>
      </w:r>
      <w:r w:rsidRPr="00A87F90">
        <w:rPr>
          <w:rFonts w:ascii="Times New Roman" w:hAnsi="Times New Roman"/>
        </w:rPr>
        <w:t xml:space="preserve"> </w:t>
      </w:r>
      <w:r>
        <w:rPr>
          <w:rFonts w:ascii="Times New Roman" w:hAnsi="Times New Roman"/>
        </w:rPr>
        <w:t>and cost, respectively.</w:t>
      </w:r>
    </w:p>
    <w:p w:rsidR="00CE255F" w:rsidRDefault="00CE255F"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r w:rsidRPr="007F266B">
        <w:rPr>
          <w:rFonts w:ascii="Times New Roman" w:hAnsi="Times New Roman"/>
          <w:b/>
        </w:rPr>
        <w:t xml:space="preserve">Table </w:t>
      </w:r>
      <w:r>
        <w:rPr>
          <w:rFonts w:ascii="Times New Roman" w:hAnsi="Times New Roman"/>
          <w:b/>
        </w:rPr>
        <w:t>3</w:t>
      </w:r>
      <w:r w:rsidRPr="007F266B">
        <w:rPr>
          <w:rFonts w:ascii="Times New Roman" w:hAnsi="Times New Roman"/>
          <w:b/>
        </w:rPr>
        <w:t>: Total Annual Respondent Burden and Cost: Registered Pesticides and Devices</w:t>
      </w:r>
    </w:p>
    <w:tbl>
      <w:tblPr>
        <w:tblW w:w="9366" w:type="dxa"/>
        <w:tblInd w:w="103"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8"/>
        <w:gridCol w:w="1423"/>
        <w:gridCol w:w="1423"/>
        <w:gridCol w:w="1524"/>
        <w:gridCol w:w="1624"/>
        <w:gridCol w:w="1144"/>
      </w:tblGrid>
      <w:tr w:rsidR="00F54901" w:rsidRPr="00CA6132" w:rsidTr="00F54901">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F54901" w:rsidRPr="00CA6132" w:rsidTr="00F54901">
        <w:trPr>
          <w:trHeight w:val="570"/>
        </w:trPr>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 xml:space="preserve">Notice of Arrival for </w:t>
            </w:r>
            <w:r w:rsidR="00CE255F" w:rsidRPr="00CA6132">
              <w:rPr>
                <w:rFonts w:ascii="Times New Roman" w:hAnsi="Times New Roman"/>
                <w:bCs/>
                <w:sz w:val="20"/>
                <w:szCs w:val="20"/>
              </w:rPr>
              <w:t>R</w:t>
            </w:r>
            <w:r w:rsidRPr="00CA6132">
              <w:rPr>
                <w:rFonts w:ascii="Times New Roman" w:hAnsi="Times New Roman"/>
                <w:bCs/>
                <w:sz w:val="20"/>
                <w:szCs w:val="20"/>
              </w:rPr>
              <w:t>egistered Pesticides</w:t>
            </w:r>
            <w:r w:rsidR="00CE255F" w:rsidRPr="00CA6132">
              <w:rPr>
                <w:rFonts w:ascii="Times New Roman" w:hAnsi="Times New Roman"/>
                <w:bCs/>
                <w:sz w:val="20"/>
                <w:szCs w:val="20"/>
              </w:rPr>
              <w:t xml:space="preserve"> and Devices</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Cs/>
                <w:sz w:val="20"/>
                <w:szCs w:val="20"/>
              </w:rPr>
            </w:pPr>
          </w:p>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0.40 hrs</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$21.14</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9,800 hrs</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817CE4" w:rsidRPr="00CA6132">
              <w:rPr>
                <w:rFonts w:ascii="Times New Roman" w:hAnsi="Times New Roman"/>
                <w:bCs/>
                <w:sz w:val="20"/>
                <w:szCs w:val="20"/>
              </w:rPr>
              <w:t>17,887</w:t>
            </w:r>
          </w:p>
        </w:tc>
      </w:tr>
    </w:tbl>
    <w:p w:rsidR="00F54901" w:rsidRDefault="00F54901"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p>
    <w:p w:rsidR="00C441DD" w:rsidRDefault="00F84508" w:rsidP="00C441DD">
      <w:pPr>
        <w:tabs>
          <w:tab w:val="left" w:pos="-1440"/>
          <w:tab w:val="left" w:pos="-720"/>
          <w:tab w:val="decimal" w:pos="0"/>
        </w:tabs>
        <w:ind w:firstLine="720"/>
        <w:rPr>
          <w:rFonts w:ascii="Times New Roman" w:hAnsi="Times New Roman"/>
        </w:rPr>
      </w:pPr>
      <w:r>
        <w:rPr>
          <w:rFonts w:ascii="Times New Roman" w:hAnsi="Times New Roman"/>
        </w:rPr>
        <w:t xml:space="preserve">Table </w:t>
      </w:r>
      <w:r w:rsidR="007F266B">
        <w:rPr>
          <w:rFonts w:ascii="Times New Roman" w:hAnsi="Times New Roman"/>
        </w:rPr>
        <w:t>4</w:t>
      </w:r>
      <w:r w:rsidR="00C441DD" w:rsidRPr="00A87F90">
        <w:rPr>
          <w:rFonts w:ascii="Times New Roman" w:hAnsi="Times New Roman"/>
        </w:rPr>
        <w:t xml:space="preserve"> shows</w:t>
      </w:r>
      <w:r w:rsidR="00C441DD">
        <w:rPr>
          <w:rFonts w:ascii="Times New Roman" w:hAnsi="Times New Roman"/>
        </w:rPr>
        <w:t xml:space="preserve"> the estimated respondent burden and cost for submitting EPA Form 3540-1</w:t>
      </w:r>
      <w:r w:rsidR="00C44575">
        <w:rPr>
          <w:rFonts w:ascii="Times New Roman" w:hAnsi="Times New Roman"/>
        </w:rPr>
        <w:t xml:space="preserve">, </w:t>
      </w:r>
      <w:r w:rsidR="007F54C6">
        <w:rPr>
          <w:rFonts w:ascii="Times New Roman" w:hAnsi="Times New Roman"/>
        </w:rPr>
        <w:t xml:space="preserve">including a label, </w:t>
      </w:r>
      <w:r w:rsidR="00C441DD">
        <w:rPr>
          <w:rFonts w:ascii="Times New Roman" w:hAnsi="Times New Roman"/>
        </w:rPr>
        <w:t>supporting documents</w:t>
      </w:r>
      <w:r w:rsidR="002F6B52">
        <w:rPr>
          <w:rFonts w:ascii="Times New Roman" w:hAnsi="Times New Roman"/>
        </w:rPr>
        <w:t>,</w:t>
      </w:r>
      <w:r w:rsidR="00C44575">
        <w:rPr>
          <w:rFonts w:ascii="Times New Roman" w:hAnsi="Times New Roman"/>
        </w:rPr>
        <w:t xml:space="preserve"> and</w:t>
      </w:r>
      <w:r w:rsidR="002F6B52">
        <w:rPr>
          <w:rFonts w:ascii="Times New Roman" w:hAnsi="Times New Roman"/>
        </w:rPr>
        <w:t xml:space="preserve"> intended use</w:t>
      </w:r>
      <w:r w:rsidR="00C44575">
        <w:rPr>
          <w:rFonts w:ascii="Times New Roman" w:hAnsi="Times New Roman"/>
        </w:rPr>
        <w:t xml:space="preserve"> information</w:t>
      </w:r>
      <w:r w:rsidR="00CE255F">
        <w:rPr>
          <w:rFonts w:ascii="Times New Roman" w:hAnsi="Times New Roman"/>
        </w:rPr>
        <w:t>,</w:t>
      </w:r>
      <w:r w:rsidR="00C441DD">
        <w:rPr>
          <w:rFonts w:ascii="Times New Roman" w:hAnsi="Times New Roman"/>
        </w:rPr>
        <w:t xml:space="preserve"> for </w:t>
      </w:r>
      <w:r>
        <w:rPr>
          <w:rFonts w:ascii="Times New Roman" w:hAnsi="Times New Roman"/>
        </w:rPr>
        <w:t>unregistered pesticides</w:t>
      </w:r>
      <w:r w:rsidR="00C441DD">
        <w:rPr>
          <w:rFonts w:ascii="Times New Roman" w:hAnsi="Times New Roman"/>
        </w:rPr>
        <w:t xml:space="preserve">. </w:t>
      </w:r>
      <w:r>
        <w:rPr>
          <w:rFonts w:ascii="Times New Roman" w:hAnsi="Times New Roman"/>
        </w:rPr>
        <w:t>For these responses</w:t>
      </w:r>
      <w:r w:rsidR="00C441DD">
        <w:rPr>
          <w:rFonts w:ascii="Times New Roman" w:hAnsi="Times New Roman"/>
        </w:rPr>
        <w:t>, EPA estimates the burden per response to be 0.</w:t>
      </w:r>
      <w:r>
        <w:rPr>
          <w:rFonts w:ascii="Times New Roman" w:hAnsi="Times New Roman"/>
        </w:rPr>
        <w:t>5</w:t>
      </w:r>
      <w:r w:rsidR="00CE255F">
        <w:rPr>
          <w:rFonts w:ascii="Times New Roman" w:hAnsi="Times New Roman"/>
        </w:rPr>
        <w:t>0</w:t>
      </w:r>
      <w:r w:rsidR="00C441DD">
        <w:rPr>
          <w:rFonts w:ascii="Times New Roman" w:hAnsi="Times New Roman"/>
        </w:rPr>
        <w:t xml:space="preserve"> hours. </w:t>
      </w:r>
    </w:p>
    <w:p w:rsidR="00C441DD" w:rsidRDefault="00C441DD" w:rsidP="00C441DD">
      <w:pPr>
        <w:tabs>
          <w:tab w:val="left" w:pos="-1440"/>
          <w:tab w:val="left" w:pos="-720"/>
          <w:tab w:val="decimal" w:pos="0"/>
        </w:tabs>
        <w:ind w:firstLine="720"/>
        <w:rPr>
          <w:rFonts w:ascii="Times New Roman" w:hAnsi="Times New Roman"/>
        </w:rPr>
      </w:pPr>
    </w:p>
    <w:p w:rsidR="00A936C2" w:rsidRDefault="00F53E3C">
      <w:pPr>
        <w:keepNext/>
        <w:tabs>
          <w:tab w:val="left" w:pos="-1440"/>
          <w:tab w:val="left" w:pos="-720"/>
          <w:tab w:val="decimal" w:pos="0"/>
        </w:tabs>
        <w:ind w:firstLine="720"/>
        <w:rPr>
          <w:rFonts w:ascii="Times New Roman" w:hAnsi="Times New Roman"/>
        </w:rPr>
      </w:pPr>
      <w:r w:rsidRPr="00F53E3C">
        <w:rPr>
          <w:rFonts w:ascii="Times New Roman" w:hAnsi="Times New Roman"/>
          <w:b/>
        </w:rPr>
        <w:t xml:space="preserve">Table </w:t>
      </w:r>
      <w:r w:rsidR="007F266B">
        <w:rPr>
          <w:rFonts w:ascii="Times New Roman" w:hAnsi="Times New Roman"/>
          <w:b/>
        </w:rPr>
        <w:t>4</w:t>
      </w:r>
      <w:r w:rsidRPr="00F53E3C">
        <w:rPr>
          <w:rFonts w:ascii="Times New Roman" w:hAnsi="Times New Roman"/>
          <w:b/>
        </w:rPr>
        <w:t>:</w:t>
      </w:r>
      <w:r w:rsidR="00F625BF">
        <w:rPr>
          <w:rFonts w:ascii="Times New Roman" w:hAnsi="Times New Roman"/>
          <w:b/>
        </w:rPr>
        <w:t xml:space="preserve"> Respondent</w:t>
      </w:r>
      <w:r w:rsidR="00C441DD">
        <w:rPr>
          <w:rFonts w:ascii="Times New Roman" w:hAnsi="Times New Roman"/>
          <w:b/>
        </w:rPr>
        <w:t xml:space="preserve"> Burden and Cost</w:t>
      </w:r>
      <w:r w:rsidR="007F54C6">
        <w:rPr>
          <w:rFonts w:ascii="Times New Roman" w:hAnsi="Times New Roman"/>
          <w:b/>
        </w:rPr>
        <w:t xml:space="preserve"> Per Response</w:t>
      </w:r>
      <w:r w:rsidR="00C441DD">
        <w:rPr>
          <w:rFonts w:ascii="Times New Roman" w:hAnsi="Times New Roman"/>
          <w:b/>
        </w:rPr>
        <w:t>: Unregistered Pesticides</w:t>
      </w:r>
    </w:p>
    <w:tbl>
      <w:tblPr>
        <w:tblW w:w="9365"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ook w:val="04A0" w:firstRow="1" w:lastRow="0" w:firstColumn="1" w:lastColumn="0" w:noHBand="0" w:noVBand="1"/>
      </w:tblPr>
      <w:tblGrid>
        <w:gridCol w:w="3601"/>
        <w:gridCol w:w="1368"/>
        <w:gridCol w:w="1081"/>
        <w:gridCol w:w="1081"/>
        <w:gridCol w:w="1009"/>
        <w:gridCol w:w="1225"/>
      </w:tblGrid>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Technical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Clerical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FE22FC">
              <w:rPr>
                <w:rFonts w:ascii="Times New Roman" w:hAnsi="Times New Roman"/>
                <w:b/>
                <w:bCs/>
                <w:sz w:val="20"/>
                <w:szCs w:val="20"/>
              </w:rPr>
              <w:t>(</w:t>
            </w:r>
            <w:r w:rsidRPr="00F53E3C">
              <w:rPr>
                <w:rFonts w:ascii="Times New Roman" w:hAnsi="Times New Roman"/>
                <w:b/>
                <w:bCs/>
                <w:sz w:val="20"/>
                <w:szCs w:val="20"/>
              </w:rPr>
              <w:t>hours</w:t>
            </w:r>
            <w:r w:rsidR="00FE22FC">
              <w:rPr>
                <w:rFonts w:ascii="Times New Roman" w:hAnsi="Times New Roman"/>
                <w:b/>
                <w:bCs/>
                <w:sz w:val="20"/>
                <w:szCs w:val="20"/>
              </w:rPr>
              <w:t>)</w:t>
            </w:r>
          </w:p>
        </w:tc>
        <w:tc>
          <w:tcPr>
            <w:tcW w:w="1225" w:type="dxa"/>
            <w:shd w:val="clear" w:color="000000" w:fill="FFFFFF" w:themeFill="background1"/>
            <w:vAlign w:val="bottom"/>
            <w:hideMark/>
          </w:tcPr>
          <w:p w:rsidR="00A936C2" w:rsidRDefault="00F53E3C">
            <w:pPr>
              <w:keepNext/>
              <w:widowControl/>
              <w:tabs>
                <w:tab w:val="left" w:pos="1092"/>
              </w:tabs>
              <w:autoSpaceDE/>
              <w:autoSpaceDN/>
              <w:adjustRightInd/>
              <w:ind w:right="90"/>
              <w:jc w:val="center"/>
              <w:rPr>
                <w:rFonts w:ascii="Times New Roman" w:hAnsi="Times New Roman"/>
                <w:b/>
                <w:bCs/>
                <w:sz w:val="20"/>
                <w:szCs w:val="20"/>
              </w:rPr>
            </w:pPr>
            <w:r w:rsidRPr="00F53E3C">
              <w:rPr>
                <w:rFonts w:ascii="Times New Roman" w:hAnsi="Times New Roman"/>
                <w:b/>
                <w:bCs/>
                <w:sz w:val="20"/>
                <w:szCs w:val="20"/>
              </w:rPr>
              <w:t>Cost</w:t>
            </w:r>
          </w:p>
          <w:p w:rsidR="00FE22FC" w:rsidRDefault="00FE22FC">
            <w:pPr>
              <w:keepNext/>
              <w:widowControl/>
              <w:tabs>
                <w:tab w:val="left" w:pos="1092"/>
              </w:tabs>
              <w:autoSpaceDE/>
              <w:autoSpaceDN/>
              <w:adjustRightInd/>
              <w:ind w:right="90"/>
              <w:jc w:val="center"/>
              <w:rPr>
                <w:rFonts w:ascii="Times New Roman" w:hAnsi="Times New Roman"/>
                <w:b/>
                <w:bCs/>
                <w:sz w:val="20"/>
                <w:szCs w:val="20"/>
              </w:rPr>
            </w:pPr>
            <w:r>
              <w:rPr>
                <w:rFonts w:ascii="Times New Roman" w:hAnsi="Times New Roman"/>
                <w:b/>
                <w:bCs/>
                <w:sz w:val="20"/>
                <w:szCs w:val="20"/>
              </w:rPr>
              <w:t>($)</w:t>
            </w:r>
          </w:p>
        </w:tc>
      </w:tr>
      <w:tr w:rsidR="004174DA" w:rsidRPr="00C441DD" w:rsidTr="00C213CC">
        <w:trPr>
          <w:trHeight w:val="460"/>
        </w:trPr>
        <w:tc>
          <w:tcPr>
            <w:tcW w:w="3601" w:type="dxa"/>
            <w:shd w:val="clear" w:color="000000" w:fill="FFFFFF" w:themeFill="background1"/>
            <w:noWrap/>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1.85</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9"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5" w:type="dxa"/>
            <w:shd w:val="clear" w:color="000000" w:fill="FFFFFF" w:themeFill="background1"/>
            <w:noWrap/>
            <w:vAlign w:val="bottom"/>
            <w:hideMark/>
          </w:tcPr>
          <w:p w:rsidR="00A936C2" w:rsidRDefault="00F53E3C">
            <w:pPr>
              <w:keepNext/>
              <w:widowControl/>
              <w:tabs>
                <w:tab w:val="center" w:pos="4320"/>
                <w:tab w:val="right" w:pos="8640"/>
              </w:tabs>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FE22FC"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FE22FC">
              <w:rPr>
                <w:rFonts w:ascii="Times New Roman" w:hAnsi="Times New Roman"/>
                <w:sz w:val="20"/>
                <w:szCs w:val="20"/>
              </w:rPr>
              <w:t>5.</w:t>
            </w:r>
            <w:r w:rsidR="002D61B9">
              <w:rPr>
                <w:rFonts w:ascii="Times New Roman" w:hAnsi="Times New Roman"/>
                <w:sz w:val="20"/>
                <w:szCs w:val="20"/>
              </w:rPr>
              <w:t>4</w:t>
            </w:r>
            <w:r w:rsidR="00FE22FC">
              <w:rPr>
                <w:rFonts w:ascii="Times New Roman" w:hAnsi="Times New Roman"/>
                <w:sz w:val="20"/>
                <w:szCs w:val="20"/>
              </w:rPr>
              <w:t>5</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rsidP="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FE22FC">
              <w:rPr>
                <w:rFonts w:ascii="Times New Roman" w:hAnsi="Times New Roman"/>
                <w:bCs/>
                <w:sz w:val="20"/>
                <w:szCs w:val="20"/>
              </w:rPr>
              <w:t>, including</w:t>
            </w:r>
            <w:r w:rsidR="00A77C8F">
              <w:rPr>
                <w:rFonts w:ascii="Times New Roman" w:hAnsi="Times New Roman"/>
                <w:bCs/>
                <w:sz w:val="20"/>
                <w:szCs w:val="20"/>
              </w:rPr>
              <w:t xml:space="preserve"> </w:t>
            </w:r>
            <w:r w:rsidR="00FE22FC">
              <w:rPr>
                <w:rFonts w:ascii="Times New Roman" w:hAnsi="Times New Roman"/>
                <w:bCs/>
                <w:sz w:val="20"/>
                <w:szCs w:val="20"/>
              </w:rPr>
              <w:t>label and supporting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.03</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.04</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3.31</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D34564">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5.45</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5" w:type="dxa"/>
            <w:shd w:val="clear" w:color="000000" w:fill="FFFFFF" w:themeFill="background1"/>
            <w:noWrap/>
            <w:vAlign w:val="bottom"/>
            <w:hideMark/>
          </w:tcPr>
          <w:p w:rsidR="00A936C2" w:rsidRDefault="00CA6132" w:rsidP="00A77C8F">
            <w:pPr>
              <w:keepNext/>
              <w:widowControl/>
              <w:autoSpaceDE/>
              <w:autoSpaceDN/>
              <w:adjustRightInd/>
              <w:jc w:val="center"/>
              <w:rPr>
                <w:rFonts w:ascii="Times New Roman" w:hAnsi="Times New Roman"/>
                <w:sz w:val="20"/>
                <w:szCs w:val="20"/>
              </w:rPr>
            </w:pPr>
            <w:r>
              <w:rPr>
                <w:rFonts w:ascii="Times New Roman" w:hAnsi="Times New Roman"/>
                <w:sz w:val="20"/>
                <w:szCs w:val="20"/>
              </w:rPr>
              <w:t xml:space="preserve"> </w:t>
            </w:r>
            <w:r w:rsidR="00A77C8F">
              <w:rPr>
                <w:rFonts w:ascii="Times New Roman" w:hAnsi="Times New Roman"/>
                <w:sz w:val="20"/>
                <w:szCs w:val="20"/>
              </w:rPr>
              <w:t>3.92</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rsidP="00A77C8F">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0.14</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6.86</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2.60</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0.04</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0.22</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0.50</w:t>
            </w:r>
          </w:p>
        </w:tc>
        <w:tc>
          <w:tcPr>
            <w:tcW w:w="1225" w:type="dxa"/>
            <w:shd w:val="clear" w:color="000000" w:fill="FFFFFF" w:themeFill="background1"/>
            <w:noWrap/>
            <w:vAlign w:val="bottom"/>
            <w:hideMark/>
          </w:tcPr>
          <w:p w:rsidR="00A936C2" w:rsidRDefault="00A77C8F">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27.58</w:t>
            </w:r>
          </w:p>
        </w:tc>
      </w:tr>
    </w:tbl>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p w:rsidR="00DA0C25" w:rsidRDefault="00DA0C25">
      <w:pPr>
        <w:keepNext/>
        <w:tabs>
          <w:tab w:val="left" w:pos="-1440"/>
          <w:tab w:val="left" w:pos="-720"/>
          <w:tab w:val="decimal" w:pos="0"/>
        </w:tabs>
        <w:ind w:firstLine="720"/>
        <w:rPr>
          <w:rFonts w:ascii="Times New Roman" w:hAnsi="Times New Roman"/>
          <w:sz w:val="20"/>
          <w:szCs w:val="20"/>
        </w:rPr>
      </w:pPr>
    </w:p>
    <w:p w:rsidR="00DA0C25" w:rsidRDefault="00CE255F">
      <w:pPr>
        <w:keepNext/>
        <w:tabs>
          <w:tab w:val="left" w:pos="-1440"/>
          <w:tab w:val="left" w:pos="-720"/>
          <w:tab w:val="decimal" w:pos="0"/>
        </w:tabs>
        <w:ind w:firstLine="720"/>
        <w:rPr>
          <w:rFonts w:ascii="Times New Roman" w:hAnsi="Times New Roman"/>
        </w:rPr>
      </w:pPr>
      <w:r>
        <w:rPr>
          <w:rFonts w:ascii="Times New Roman" w:hAnsi="Times New Roman"/>
        </w:rPr>
        <w:t>The estimated total annual burden for unregistered pesticides is shown in Table 5. The total annual burden for unregistered pesticides and devices is estimate to be 5,250 burden hours, at a cost of $2</w:t>
      </w:r>
      <w:r w:rsidR="00242950">
        <w:rPr>
          <w:rFonts w:ascii="Times New Roman" w:hAnsi="Times New Roman"/>
        </w:rPr>
        <w:t>89,593</w:t>
      </w:r>
      <w:r>
        <w:rPr>
          <w:rFonts w:ascii="Times New Roman" w:hAnsi="Times New Roman"/>
        </w:rPr>
        <w:t xml:space="preserve">.  </w:t>
      </w:r>
    </w:p>
    <w:p w:rsidR="00DA0C25" w:rsidRDefault="00DA0C25">
      <w:pPr>
        <w:keepNext/>
        <w:tabs>
          <w:tab w:val="left" w:pos="-1440"/>
          <w:tab w:val="left" w:pos="-720"/>
          <w:tab w:val="decimal" w:pos="0"/>
        </w:tabs>
        <w:ind w:firstLine="720"/>
        <w:rPr>
          <w:rFonts w:ascii="Times New Roman" w:hAnsi="Times New Roman"/>
        </w:rPr>
      </w:pPr>
    </w:p>
    <w:p w:rsidR="00DA0C25" w:rsidRDefault="00EE62A2">
      <w:pPr>
        <w:keepNext/>
        <w:tabs>
          <w:tab w:val="left" w:pos="-1440"/>
          <w:tab w:val="left" w:pos="-720"/>
          <w:tab w:val="decimal" w:pos="0"/>
        </w:tabs>
        <w:ind w:firstLine="720"/>
        <w:rPr>
          <w:rFonts w:ascii="Times New Roman" w:hAnsi="Times New Roman"/>
        </w:rPr>
      </w:pPr>
      <w:r w:rsidRPr="00EE62A2">
        <w:rPr>
          <w:rFonts w:ascii="Times New Roman" w:hAnsi="Times New Roman"/>
          <w:b/>
        </w:rPr>
        <w:t xml:space="preserve">Table </w:t>
      </w:r>
      <w:r w:rsidR="007F266B">
        <w:rPr>
          <w:rFonts w:ascii="Times New Roman" w:hAnsi="Times New Roman"/>
          <w:b/>
        </w:rPr>
        <w:t>5: Total Annual Respondent Burden and Cost: Unregistered Pesticides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227"/>
        <w:gridCol w:w="1422"/>
        <w:gridCol w:w="1422"/>
        <w:gridCol w:w="1523"/>
        <w:gridCol w:w="1623"/>
        <w:gridCol w:w="1143"/>
      </w:tblGrid>
      <w:tr w:rsidR="007F266B" w:rsidRPr="00CA6132" w:rsidTr="007F266B">
        <w:trPr>
          <w:cantSplit/>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7F266B" w:rsidRPr="00CA6132" w:rsidTr="007F266B">
        <w:trPr>
          <w:cantSplit/>
          <w:trHeight w:val="570"/>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Cs/>
                <w:sz w:val="20"/>
                <w:szCs w:val="20"/>
              </w:rPr>
            </w:pPr>
          </w:p>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0.50 hrs</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$27.58</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10,500</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5,250 hrs</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bl>
    <w:p w:rsidR="00772F14" w:rsidRPr="00C0504A" w:rsidRDefault="00772F14">
      <w:pPr>
        <w:tabs>
          <w:tab w:val="left" w:pos="-1440"/>
          <w:tab w:val="left" w:pos="-720"/>
          <w:tab w:val="decimal" w:pos="0"/>
        </w:tabs>
        <w:rPr>
          <w:rFonts w:ascii="Times New Roman" w:hAnsi="Times New Roman"/>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t>(ii) Estimating Capital and Operations and Maintenance Costs</w:t>
      </w:r>
      <w:r w:rsidRPr="00BE7FD6">
        <w:rPr>
          <w:rFonts w:ascii="Times New Roman" w:hAnsi="Times New Roman"/>
        </w:rPr>
        <w:t>.</w:t>
      </w:r>
    </w:p>
    <w:p w:rsidR="00772F14" w:rsidRPr="00C0504A" w:rsidRDefault="00772F14" w:rsidP="00814236">
      <w:pPr>
        <w:keepNext/>
        <w:keepLines/>
        <w:tabs>
          <w:tab w:val="left" w:pos="-1440"/>
          <w:tab w:val="left" w:pos="-720"/>
          <w:tab w:val="decimal" w:pos="0"/>
        </w:tabs>
        <w:rPr>
          <w:rFonts w:ascii="Times New Roman" w:hAnsi="Times New Roman"/>
        </w:rPr>
      </w:pPr>
    </w:p>
    <w:p w:rsidR="005B772A" w:rsidRPr="005B772A" w:rsidRDefault="00A87F90" w:rsidP="00814236">
      <w:pPr>
        <w:keepNext/>
        <w:keepLines/>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Not applicable.  </w:t>
      </w:r>
    </w:p>
    <w:p w:rsidR="005B772A" w:rsidRDefault="005B772A" w:rsidP="00814236">
      <w:pPr>
        <w:keepNext/>
        <w:keepLines/>
        <w:tabs>
          <w:tab w:val="left" w:pos="-1440"/>
          <w:tab w:val="left" w:pos="-720"/>
          <w:tab w:val="decimal" w:pos="0"/>
        </w:tabs>
        <w:ind w:firstLine="720"/>
        <w:rPr>
          <w:rFonts w:ascii="Times New Roman" w:hAnsi="Times New Roman"/>
          <w:b/>
          <w:bCs/>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t>(iii) Capital Start-up vs. Operating and Maintenance Costs</w:t>
      </w:r>
    </w:p>
    <w:p w:rsidR="00772F14" w:rsidRPr="00C0504A" w:rsidRDefault="00772F14">
      <w:pPr>
        <w:keepNext/>
        <w:keepLines/>
        <w:tabs>
          <w:tab w:val="left" w:pos="-1440"/>
          <w:tab w:val="left" w:pos="-720"/>
          <w:tab w:val="decimal" w:pos="0"/>
        </w:tabs>
        <w:ind w:firstLine="720"/>
        <w:rPr>
          <w:rFonts w:ascii="Times New Roman" w:hAnsi="Times New Roman"/>
        </w:rPr>
      </w:pPr>
    </w:p>
    <w:p w:rsidR="00772F14" w:rsidRPr="00C0504A" w:rsidRDefault="00BD1BCD">
      <w:pPr>
        <w:keepLines/>
        <w:tabs>
          <w:tab w:val="left" w:pos="-1440"/>
          <w:tab w:val="left" w:pos="-720"/>
          <w:tab w:val="decimal" w:pos="0"/>
        </w:tabs>
        <w:rPr>
          <w:rFonts w:ascii="Times New Roman" w:hAnsi="Times New Roman"/>
        </w:rPr>
      </w:pPr>
      <w:r>
        <w:rPr>
          <w:rFonts w:ascii="Times New Roman" w:hAnsi="Times New Roman"/>
        </w:rPr>
        <w:tab/>
      </w:r>
      <w:r w:rsidR="00BE7FD6" w:rsidRPr="00BE7FD6">
        <w:rPr>
          <w:rFonts w:ascii="Times New Roman" w:hAnsi="Times New Roman"/>
        </w:rPr>
        <w:t>Not applicable.</w:t>
      </w:r>
    </w:p>
    <w:p w:rsidR="00772F14" w:rsidRDefault="00772F14">
      <w:pPr>
        <w:tabs>
          <w:tab w:val="left" w:pos="-1440"/>
          <w:tab w:val="left" w:pos="-720"/>
          <w:tab w:val="decimal" w:pos="0"/>
        </w:tabs>
        <w:rPr>
          <w:rFonts w:ascii="Times New Roman" w:hAnsi="Times New Roman"/>
          <w:b/>
          <w:bCs/>
        </w:rPr>
      </w:pPr>
    </w:p>
    <w:p w:rsidR="00F91098" w:rsidRDefault="00F91098">
      <w:pPr>
        <w:tabs>
          <w:tab w:val="left" w:pos="-1440"/>
          <w:tab w:val="left" w:pos="-720"/>
          <w:tab w:val="decimal" w:pos="0"/>
        </w:tabs>
        <w:rPr>
          <w:rFonts w:ascii="Times New Roman" w:hAnsi="Times New Roman"/>
          <w:b/>
          <w:bCs/>
        </w:rPr>
      </w:pPr>
      <w:r>
        <w:rPr>
          <w:rFonts w:ascii="Times New Roman" w:hAnsi="Times New Roman"/>
          <w:b/>
          <w:bCs/>
        </w:rPr>
        <w:tab/>
        <w:t>(iv) Other Costs</w:t>
      </w:r>
    </w:p>
    <w:p w:rsidR="00F91098" w:rsidRDefault="00F91098">
      <w:pPr>
        <w:tabs>
          <w:tab w:val="left" w:pos="-1440"/>
          <w:tab w:val="left" w:pos="-720"/>
          <w:tab w:val="decimal" w:pos="0"/>
        </w:tabs>
        <w:rPr>
          <w:rFonts w:ascii="Times New Roman" w:hAnsi="Times New Roman"/>
          <w:b/>
          <w:bCs/>
        </w:rPr>
      </w:pPr>
    </w:p>
    <w:p w:rsidR="00F91098" w:rsidRDefault="00F91098" w:rsidP="00F91098">
      <w:pPr>
        <w:tabs>
          <w:tab w:val="left" w:pos="-1440"/>
          <w:tab w:val="left" w:pos="-720"/>
          <w:tab w:val="decimal" w:pos="0"/>
        </w:tabs>
        <w:rPr>
          <w:rFonts w:ascii="Times New Roman" w:hAnsi="Times New Roman"/>
          <w:bCs/>
        </w:rPr>
      </w:pPr>
      <w:r>
        <w:rPr>
          <w:rFonts w:ascii="Times New Roman" w:hAnsi="Times New Roman"/>
          <w:b/>
          <w:bCs/>
        </w:rPr>
        <w:tab/>
      </w:r>
      <w:r w:rsidR="009A0CA6" w:rsidRPr="009A0CA6">
        <w:rPr>
          <w:rFonts w:ascii="Times New Roman" w:hAnsi="Times New Roman"/>
          <w:bCs/>
        </w:rPr>
        <w:t>EPA acknowledges that delays of shipments resulting from resolution of issues arising in the NOA process</w:t>
      </w:r>
      <w:r w:rsidR="00412E2E">
        <w:rPr>
          <w:rFonts w:ascii="Times New Roman" w:hAnsi="Times New Roman"/>
          <w:bCs/>
        </w:rPr>
        <w:t xml:space="preserve"> may result in real costs incurred by the importer</w:t>
      </w:r>
      <w:r w:rsidR="00B759E1">
        <w:rPr>
          <w:rFonts w:ascii="Times New Roman" w:hAnsi="Times New Roman"/>
          <w:bCs/>
        </w:rPr>
        <w:t>.</w:t>
      </w:r>
      <w:r w:rsidR="00412E2E">
        <w:rPr>
          <w:rFonts w:ascii="Times New Roman" w:hAnsi="Times New Roman"/>
          <w:bCs/>
        </w:rPr>
        <w:t xml:space="preserve"> While these costs are not part of the paperwork burden associated with this information collection activity, EPA is providing an estimate of costs that may arise</w:t>
      </w:r>
      <w:r w:rsidR="009A0CA6" w:rsidRPr="009A0CA6">
        <w:rPr>
          <w:rFonts w:ascii="Times New Roman" w:hAnsi="Times New Roman"/>
          <w:bCs/>
        </w:rPr>
        <w:t xml:space="preserve">. EPA consulted with 5 importers/brokers and asked </w:t>
      </w:r>
      <w:r w:rsidR="00B759E1">
        <w:rPr>
          <w:rFonts w:ascii="Times New Roman" w:hAnsi="Times New Roman"/>
          <w:bCs/>
        </w:rPr>
        <w:t>them</w:t>
      </w:r>
      <w:r w:rsidR="009A0CA6" w:rsidRPr="009A0CA6">
        <w:rPr>
          <w:rFonts w:ascii="Times New Roman" w:hAnsi="Times New Roman"/>
          <w:bCs/>
        </w:rPr>
        <w:t xml:space="preserve"> estimate the costs associated with delays due to resolving issues arising in the NOA review process. The respondents provided estimates that include storage, broker fees, container demurrage after free time, and additional freight and storage charges</w:t>
      </w:r>
      <w:r w:rsidR="00B759E1">
        <w:rPr>
          <w:rFonts w:ascii="Times New Roman" w:hAnsi="Times New Roman"/>
          <w:bCs/>
        </w:rPr>
        <w:t>, as follows:</w:t>
      </w:r>
    </w:p>
    <w:p w:rsidR="00F54901" w:rsidRPr="00F91098" w:rsidRDefault="00F54901" w:rsidP="00F91098">
      <w:pPr>
        <w:tabs>
          <w:tab w:val="left" w:pos="-1440"/>
          <w:tab w:val="left" w:pos="-720"/>
          <w:tab w:val="decimal" w:pos="0"/>
        </w:tabs>
        <w:rPr>
          <w:rFonts w:ascii="Times New Roman" w:hAnsi="Times New Roman"/>
          <w:bCs/>
        </w:rPr>
      </w:pPr>
    </w:p>
    <w:p w:rsidR="00F91098" w:rsidRPr="00F91098" w:rsidRDefault="00F91098" w:rsidP="00F91098">
      <w:pPr>
        <w:tabs>
          <w:tab w:val="left" w:pos="-1440"/>
          <w:tab w:val="left" w:pos="-720"/>
          <w:tab w:val="decimal" w:pos="0"/>
        </w:tabs>
        <w:rPr>
          <w:rFonts w:ascii="Times New Roman" w:hAnsi="Times New Roman"/>
          <w:b/>
          <w:bCs/>
        </w:rPr>
      </w:pPr>
      <w:r w:rsidRPr="00F91098">
        <w:rPr>
          <w:rFonts w:ascii="Times New Roman" w:hAnsi="Times New Roman"/>
          <w:b/>
          <w:bCs/>
        </w:rPr>
        <w:tab/>
      </w:r>
      <w:r w:rsidR="00F54901">
        <w:rPr>
          <w:rFonts w:ascii="Times New Roman" w:hAnsi="Times New Roman"/>
          <w:b/>
          <w:bCs/>
        </w:rPr>
        <w:t>Table 6: Other Costs</w:t>
      </w:r>
    </w:p>
    <w:tbl>
      <w:tblPr>
        <w:tblStyle w:val="TableGrid"/>
        <w:tblW w:w="936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82"/>
        <w:gridCol w:w="4678"/>
      </w:tblGrid>
      <w:tr w:rsidR="00F91098" w:rsidRPr="00F91098" w:rsidTr="00F91098">
        <w:trPr>
          <w:jc w:val="center"/>
        </w:trPr>
        <w:tc>
          <w:tcPr>
            <w:tcW w:w="5148" w:type="dxa"/>
          </w:tcPr>
          <w:p w:rsidR="00F91098" w:rsidRPr="00F91098" w:rsidRDefault="00F91098" w:rsidP="00274718">
            <w:pPr>
              <w:keepNext/>
              <w:widowControl/>
              <w:tabs>
                <w:tab w:val="left" w:pos="-1440"/>
                <w:tab w:val="left" w:pos="-720"/>
                <w:tab w:val="decimal" w:pos="0"/>
              </w:tabs>
              <w:rPr>
                <w:rFonts w:ascii="Times New Roman" w:hAnsi="Times New Roman"/>
                <w:b/>
                <w:bCs/>
              </w:rPr>
            </w:pPr>
            <w:r>
              <w:rPr>
                <w:rFonts w:ascii="Times New Roman" w:hAnsi="Times New Roman"/>
                <w:b/>
                <w:bCs/>
              </w:rPr>
              <w:t>Other</w:t>
            </w:r>
            <w:r w:rsidRPr="00F91098">
              <w:rPr>
                <w:rFonts w:ascii="Times New Roman" w:hAnsi="Times New Roman"/>
                <w:b/>
                <w:bCs/>
              </w:rPr>
              <w:t xml:space="preserve"> Costs</w:t>
            </w:r>
          </w:p>
        </w:tc>
        <w:tc>
          <w:tcPr>
            <w:tcW w:w="5148" w:type="dxa"/>
          </w:tcPr>
          <w:p w:rsidR="00B759E1" w:rsidRDefault="00F91098" w:rsidP="00274718">
            <w:pPr>
              <w:keepNext/>
              <w:widowControl/>
              <w:tabs>
                <w:tab w:val="left" w:pos="-1440"/>
                <w:tab w:val="left" w:pos="-720"/>
                <w:tab w:val="decimal" w:pos="0"/>
              </w:tabs>
              <w:jc w:val="center"/>
              <w:rPr>
                <w:rFonts w:ascii="Times New Roman" w:hAnsi="Times New Roman"/>
                <w:b/>
                <w:bCs/>
              </w:rPr>
            </w:pPr>
            <w:r w:rsidRPr="00F91098">
              <w:rPr>
                <w:rFonts w:ascii="Times New Roman" w:hAnsi="Times New Roman"/>
                <w:b/>
                <w:bCs/>
              </w:rPr>
              <w:t>Estimated cost per day</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Storage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$ 250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Broker Fees</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$ 100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Container Demurrage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$ 125</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 xml:space="preserve">Additional Freight </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$ 300</w:t>
            </w:r>
          </w:p>
        </w:tc>
      </w:tr>
    </w:tbl>
    <w:p w:rsidR="00F91098" w:rsidRPr="00F91098" w:rsidRDefault="00F91098" w:rsidP="00F91098">
      <w:pPr>
        <w:tabs>
          <w:tab w:val="left" w:pos="-1440"/>
          <w:tab w:val="left" w:pos="-720"/>
          <w:tab w:val="decimal" w:pos="0"/>
        </w:tabs>
        <w:rPr>
          <w:rFonts w:ascii="Times New Roman" w:hAnsi="Times New Roman"/>
          <w:b/>
          <w:bCs/>
        </w:rPr>
      </w:pPr>
    </w:p>
    <w:p w:rsidR="00B759E1" w:rsidRDefault="00B759E1" w:rsidP="00F91098">
      <w:pPr>
        <w:tabs>
          <w:tab w:val="left" w:pos="-1440"/>
          <w:tab w:val="left" w:pos="-720"/>
          <w:tab w:val="decimal" w:pos="0"/>
        </w:tabs>
        <w:rPr>
          <w:rFonts w:ascii="Times New Roman" w:hAnsi="Times New Roman"/>
          <w:bCs/>
        </w:rPr>
      </w:pPr>
      <w:r>
        <w:rPr>
          <w:rFonts w:ascii="Times New Roman" w:hAnsi="Times New Roman"/>
          <w:bCs/>
        </w:rPr>
        <w:tab/>
        <w:t>O</w:t>
      </w:r>
      <w:r w:rsidR="00A64AF5" w:rsidRPr="00A64AF5">
        <w:rPr>
          <w:rFonts w:ascii="Times New Roman" w:hAnsi="Times New Roman"/>
          <w:bCs/>
        </w:rPr>
        <w:t xml:space="preserve">ne importer indicated that there is a market loss of $6,500 per day associated with delays. On average, it takes from one to five days to resolve an issue related to an NOA. </w:t>
      </w:r>
      <w:r w:rsidR="00412E2E" w:rsidRPr="00F91098">
        <w:rPr>
          <w:rFonts w:ascii="Times New Roman" w:hAnsi="Times New Roman"/>
          <w:bCs/>
        </w:rPr>
        <w:t>EPA has not attempt</w:t>
      </w:r>
      <w:r w:rsidR="00412E2E">
        <w:rPr>
          <w:rFonts w:ascii="Times New Roman" w:hAnsi="Times New Roman"/>
          <w:bCs/>
        </w:rPr>
        <w:t xml:space="preserve">ed to confirm these estimates. </w:t>
      </w:r>
      <w:r w:rsidRPr="00B759E1">
        <w:rPr>
          <w:rFonts w:ascii="Times New Roman" w:hAnsi="Times New Roman"/>
          <w:bCs/>
        </w:rPr>
        <w:t xml:space="preserve">In many instances, if the importer had submitted the NOA prior to the arrival of shipment at the port of entry, issues can be resolved quickly with no associated costs are incurred. </w:t>
      </w:r>
    </w:p>
    <w:p w:rsidR="00412E2E" w:rsidRDefault="00412E2E" w:rsidP="00F91098">
      <w:pPr>
        <w:tabs>
          <w:tab w:val="left" w:pos="-1440"/>
          <w:tab w:val="left" w:pos="-720"/>
          <w:tab w:val="decimal" w:pos="0"/>
        </w:tabs>
        <w:rPr>
          <w:rFonts w:ascii="Times New Roman" w:hAnsi="Times New Roman"/>
          <w:bCs/>
        </w:rPr>
      </w:pPr>
    </w:p>
    <w:p w:rsidR="00F91098" w:rsidRPr="00F91098" w:rsidRDefault="00412E2E" w:rsidP="00F91098">
      <w:pPr>
        <w:tabs>
          <w:tab w:val="left" w:pos="-1440"/>
          <w:tab w:val="left" w:pos="-720"/>
          <w:tab w:val="decimal" w:pos="0"/>
        </w:tabs>
        <w:rPr>
          <w:rFonts w:ascii="Times New Roman" w:hAnsi="Times New Roman"/>
          <w:bCs/>
        </w:rPr>
      </w:pPr>
      <w:r>
        <w:rPr>
          <w:rFonts w:ascii="Times New Roman" w:hAnsi="Times New Roman"/>
          <w:bCs/>
        </w:rPr>
        <w:tab/>
      </w:r>
      <w:r w:rsidRPr="00412E2E">
        <w:rPr>
          <w:rFonts w:ascii="Times New Roman" w:hAnsi="Times New Roman"/>
          <w:bCs/>
        </w:rPr>
        <w:t>EPA estimate</w:t>
      </w:r>
      <w:r>
        <w:rPr>
          <w:rFonts w:ascii="Times New Roman" w:hAnsi="Times New Roman"/>
          <w:bCs/>
        </w:rPr>
        <w:t>s</w:t>
      </w:r>
      <w:r w:rsidRPr="00412E2E">
        <w:rPr>
          <w:rFonts w:ascii="Times New Roman" w:hAnsi="Times New Roman"/>
          <w:bCs/>
        </w:rPr>
        <w:t xml:space="preserve"> that</w:t>
      </w:r>
      <w:r>
        <w:rPr>
          <w:rFonts w:ascii="Times New Roman" w:hAnsi="Times New Roman"/>
          <w:bCs/>
        </w:rPr>
        <w:t xml:space="preserve"> delays occur for less than 5% of all NOA submitted to EPA and t</w:t>
      </w:r>
      <w:r w:rsidRPr="00412E2E">
        <w:rPr>
          <w:rFonts w:ascii="Times New Roman" w:hAnsi="Times New Roman"/>
          <w:bCs/>
        </w:rPr>
        <w:t>hat as few as 2.5% to 5% of shipments are held at the port annually due to resolving issues associated with the NOA review</w:t>
      </w:r>
      <w:r>
        <w:rPr>
          <w:rFonts w:ascii="Times New Roman" w:hAnsi="Times New Roman"/>
          <w:bCs/>
        </w:rPr>
        <w:t xml:space="preserve">. </w:t>
      </w:r>
      <w:r w:rsidR="00A64AF5" w:rsidRPr="00A64AF5">
        <w:rPr>
          <w:rFonts w:ascii="Times New Roman" w:hAnsi="Times New Roman"/>
          <w:bCs/>
        </w:rPr>
        <w:t xml:space="preserve">In many instances, if the importer has submitted the NOA prior to the arrival of shipment at the port of entry, issues can be resolved quickly </w:t>
      </w:r>
      <w:r>
        <w:rPr>
          <w:rFonts w:ascii="Times New Roman" w:hAnsi="Times New Roman"/>
          <w:bCs/>
        </w:rPr>
        <w:t>and there is a little likelihood that</w:t>
      </w:r>
      <w:r w:rsidR="00A64AF5" w:rsidRPr="00A64AF5">
        <w:rPr>
          <w:rFonts w:ascii="Times New Roman" w:hAnsi="Times New Roman"/>
          <w:bCs/>
        </w:rPr>
        <w:t xml:space="preserve"> delays and associated costs </w:t>
      </w:r>
      <w:r>
        <w:rPr>
          <w:rFonts w:ascii="Times New Roman" w:hAnsi="Times New Roman"/>
          <w:bCs/>
        </w:rPr>
        <w:t>will be</w:t>
      </w:r>
      <w:r w:rsidR="00A64AF5" w:rsidRPr="00A64AF5">
        <w:rPr>
          <w:rFonts w:ascii="Times New Roman" w:hAnsi="Times New Roman"/>
          <w:bCs/>
        </w:rPr>
        <w:t xml:space="preserve"> incurred.  </w:t>
      </w:r>
    </w:p>
    <w:p w:rsidR="00F91098" w:rsidRPr="00C0504A" w:rsidRDefault="00F91098">
      <w:pPr>
        <w:tabs>
          <w:tab w:val="left" w:pos="-1440"/>
          <w:tab w:val="left" w:pos="-720"/>
          <w:tab w:val="decimal" w:pos="0"/>
        </w:tabs>
        <w:rPr>
          <w:rFonts w:ascii="Times New Roman" w:hAnsi="Times New Roman"/>
          <w:b/>
          <w:bCs/>
        </w:rPr>
      </w:pPr>
    </w:p>
    <w:p w:rsidR="00F53E3C" w:rsidRDefault="00BE7FD6" w:rsidP="00F53E3C">
      <w:pPr>
        <w:tabs>
          <w:tab w:val="left" w:pos="-1440"/>
          <w:tab w:val="left" w:pos="-720"/>
          <w:tab w:val="decimal" w:pos="0"/>
        </w:tabs>
        <w:ind w:firstLine="720"/>
        <w:rPr>
          <w:rFonts w:ascii="Times New Roman" w:hAnsi="Times New Roman"/>
          <w:b/>
          <w:bCs/>
        </w:rPr>
      </w:pPr>
      <w:r w:rsidRPr="00BE7FD6">
        <w:rPr>
          <w:rFonts w:ascii="Times New Roman" w:hAnsi="Times New Roman"/>
          <w:b/>
          <w:bCs/>
        </w:rPr>
        <w:t>6(c) Estimating Agency Burden and Cost</w:t>
      </w:r>
    </w:p>
    <w:p w:rsidR="005F3366" w:rsidRDefault="005F3366" w:rsidP="005B772A">
      <w:pPr>
        <w:tabs>
          <w:tab w:val="left" w:pos="-1440"/>
          <w:tab w:val="left" w:pos="-720"/>
          <w:tab w:val="decimal" w:pos="0"/>
        </w:tabs>
        <w:rPr>
          <w:rFonts w:ascii="Times New Roman" w:hAnsi="Times New Roman"/>
        </w:rPr>
      </w:pPr>
    </w:p>
    <w:p w:rsidR="005B772A" w:rsidRPr="0065123D" w:rsidRDefault="005F3366" w:rsidP="0065123D">
      <w:pPr>
        <w:tabs>
          <w:tab w:val="left" w:pos="-1440"/>
          <w:tab w:val="left" w:pos="-720"/>
          <w:tab w:val="decimal" w:pos="0"/>
        </w:tabs>
        <w:rPr>
          <w:rFonts w:ascii="Times New Roman" w:hAnsi="Times New Roman"/>
          <w:b/>
          <w:bCs/>
        </w:rPr>
      </w:pPr>
      <w:r>
        <w:rPr>
          <w:rFonts w:ascii="Times New Roman" w:hAnsi="Times New Roman"/>
        </w:rPr>
        <w:tab/>
      </w:r>
      <w:r w:rsidR="0065123D">
        <w:rPr>
          <w:rFonts w:ascii="Times New Roman" w:hAnsi="Times New Roman"/>
        </w:rPr>
        <w:t xml:space="preserve">EPA estimates that in total </w:t>
      </w:r>
      <w:r w:rsidR="005B772A" w:rsidRPr="005B772A">
        <w:rPr>
          <w:rFonts w:ascii="Times New Roman" w:hAnsi="Times New Roman"/>
        </w:rPr>
        <w:t>8.0 FTEs</w:t>
      </w:r>
      <w:r w:rsidR="0065123D">
        <w:rPr>
          <w:rFonts w:ascii="Times New Roman" w:hAnsi="Times New Roman"/>
        </w:rPr>
        <w:t xml:space="preserve"> across EPA regional offices</w:t>
      </w:r>
      <w:r w:rsidR="005B772A" w:rsidRPr="005B772A">
        <w:rPr>
          <w:rFonts w:ascii="Times New Roman" w:hAnsi="Times New Roman"/>
        </w:rPr>
        <w:t xml:space="preserve"> </w:t>
      </w:r>
      <w:r w:rsidR="0065123D">
        <w:rPr>
          <w:rFonts w:ascii="Times New Roman" w:hAnsi="Times New Roman"/>
        </w:rPr>
        <w:t>are allocated for processing data submitted under this information collection</w:t>
      </w:r>
      <w:r w:rsidR="005B772A" w:rsidRPr="005B772A">
        <w:rPr>
          <w:rFonts w:ascii="Times New Roman" w:hAnsi="Times New Roman"/>
        </w:rPr>
        <w:t xml:space="preserve">.  </w:t>
      </w:r>
      <w:bookmarkStart w:id="4" w:name="_Toc303260671"/>
      <w:bookmarkStart w:id="5" w:name="_Toc303260753"/>
      <w:bookmarkStart w:id="6" w:name="_Toc303608912"/>
      <w:r w:rsidR="00C7726C" w:rsidRPr="005F3366">
        <w:rPr>
          <w:rFonts w:ascii="Times New Roman" w:hAnsi="Times New Roman"/>
        </w:rPr>
        <w:t>The estimated number of federal government FTEs n</w:t>
      </w:r>
      <w:r w:rsidR="00C7726C">
        <w:rPr>
          <w:rFonts w:ascii="Times New Roman" w:hAnsi="Times New Roman"/>
        </w:rPr>
        <w:t>eeded to process and review EPA Form 35</w:t>
      </w:r>
      <w:r w:rsidR="00DA1C5D">
        <w:rPr>
          <w:rFonts w:ascii="Times New Roman" w:hAnsi="Times New Roman"/>
        </w:rPr>
        <w:t>4</w:t>
      </w:r>
      <w:r w:rsidR="00C7726C">
        <w:rPr>
          <w:rFonts w:ascii="Times New Roman" w:hAnsi="Times New Roman"/>
        </w:rPr>
        <w:t>0-1 on an annual basis</w:t>
      </w:r>
      <w:r w:rsidR="00C7726C" w:rsidRPr="005F3366">
        <w:rPr>
          <w:rFonts w:ascii="Times New Roman" w:hAnsi="Times New Roman"/>
        </w:rPr>
        <w:t xml:space="preserve"> was increased from the pr</w:t>
      </w:r>
      <w:r w:rsidR="00C7726C">
        <w:rPr>
          <w:rFonts w:ascii="Times New Roman" w:hAnsi="Times New Roman"/>
        </w:rPr>
        <w:t>evious estimate of 3.57 to 8.0</w:t>
      </w:r>
      <w:r w:rsidR="00C7726C" w:rsidRPr="005F3366">
        <w:rPr>
          <w:rFonts w:ascii="Times New Roman" w:hAnsi="Times New Roman"/>
        </w:rPr>
        <w:t>.  The number of EPA FTEs was estimated at 8.0 based on input from</w:t>
      </w:r>
      <w:r w:rsidR="00C7726C">
        <w:rPr>
          <w:rFonts w:ascii="Times New Roman" w:hAnsi="Times New Roman"/>
        </w:rPr>
        <w:t xml:space="preserve"> EPA</w:t>
      </w:r>
      <w:r w:rsidR="00C7726C" w:rsidRPr="005F3366">
        <w:rPr>
          <w:rFonts w:ascii="Times New Roman" w:hAnsi="Times New Roman"/>
        </w:rPr>
        <w:t xml:space="preserve"> regional offices.</w:t>
      </w:r>
      <w:r w:rsidR="00C7726C">
        <w:rPr>
          <w:rFonts w:ascii="Times New Roman" w:hAnsi="Times New Roman"/>
        </w:rPr>
        <w:t xml:space="preserve"> </w:t>
      </w:r>
      <w:r w:rsidR="00C7726C" w:rsidRPr="005F3366">
        <w:rPr>
          <w:rFonts w:ascii="Times New Roman" w:hAnsi="Times New Roman"/>
        </w:rPr>
        <w:t xml:space="preserve"> The increase reflects more accurate estimates of </w:t>
      </w:r>
      <w:r w:rsidR="00C7726C">
        <w:rPr>
          <w:rFonts w:ascii="Times New Roman" w:hAnsi="Times New Roman"/>
        </w:rPr>
        <w:t xml:space="preserve">the federal government </w:t>
      </w:r>
      <w:r w:rsidR="00C7726C" w:rsidRPr="005F3366">
        <w:rPr>
          <w:rFonts w:ascii="Times New Roman" w:hAnsi="Times New Roman"/>
        </w:rPr>
        <w:t>burden for</w:t>
      </w:r>
      <w:r w:rsidR="00C7726C">
        <w:rPr>
          <w:rFonts w:ascii="Times New Roman" w:hAnsi="Times New Roman"/>
        </w:rPr>
        <w:t xml:space="preserve"> processing NOAs.</w:t>
      </w:r>
      <w:r w:rsidR="00C7726C" w:rsidRPr="005F3366">
        <w:rPr>
          <w:rFonts w:ascii="Times New Roman" w:hAnsi="Times New Roman"/>
        </w:rPr>
        <w:t xml:space="preserve"> </w:t>
      </w:r>
      <w:r w:rsidR="00C7726C">
        <w:rPr>
          <w:rFonts w:ascii="Times New Roman" w:hAnsi="Times New Roman"/>
        </w:rPr>
        <w:t xml:space="preserve"> </w:t>
      </w:r>
      <w:bookmarkEnd w:id="4"/>
      <w:bookmarkEnd w:id="5"/>
      <w:bookmarkEnd w:id="6"/>
      <w:r w:rsidR="00BE7FD6" w:rsidRPr="00BE7FD6">
        <w:rPr>
          <w:rFonts w:ascii="Times New Roman" w:hAnsi="Times New Roman"/>
          <w:b/>
          <w:bCs/>
        </w:rPr>
        <w:t xml:space="preserve"> </w:t>
      </w:r>
    </w:p>
    <w:p w:rsidR="005F3366" w:rsidRPr="005B772A" w:rsidRDefault="005F3366" w:rsidP="005B772A">
      <w:pPr>
        <w:tabs>
          <w:tab w:val="left" w:pos="-1440"/>
          <w:tab w:val="left" w:pos="-720"/>
          <w:tab w:val="decimal" w:pos="0"/>
        </w:tabs>
        <w:rPr>
          <w:rFonts w:ascii="Times New Roman" w:hAnsi="Times New Roman"/>
          <w:bCs/>
          <w:i/>
        </w:rPr>
      </w:pPr>
    </w:p>
    <w:p w:rsidR="00AA3D8D" w:rsidRDefault="005F3366"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The annual salary for a federal employee at the GS-13, Step 1 level ($71,674) is used as the base wage; no adjustment for locality is made because employees that process NOA forms work in several different localities.  After adjusting the salary to account for the cost of benefits and overhead, the fully loaded annual rate is $154,386; calculations are </w:t>
      </w:r>
      <w:r w:rsidR="0065123D">
        <w:rPr>
          <w:rFonts w:ascii="Times New Roman" w:hAnsi="Times New Roman"/>
        </w:rPr>
        <w:t xml:space="preserve">shown </w:t>
      </w:r>
      <w:r w:rsidR="00BE7FD6" w:rsidRPr="00BE7FD6">
        <w:rPr>
          <w:rFonts w:ascii="Times New Roman" w:hAnsi="Times New Roman"/>
        </w:rPr>
        <w:t>in Attachment D.</w:t>
      </w:r>
      <w:r w:rsidR="00AA3D8D">
        <w:rPr>
          <w:rFonts w:ascii="Times New Roman" w:hAnsi="Times New Roman"/>
        </w:rPr>
        <w:t xml:space="preserve"> </w:t>
      </w:r>
    </w:p>
    <w:p w:rsidR="00AA3D8D" w:rsidRPr="005B772A" w:rsidRDefault="00AA3D8D" w:rsidP="005B772A">
      <w:pPr>
        <w:tabs>
          <w:tab w:val="left" w:pos="-1440"/>
          <w:tab w:val="left" w:pos="-720"/>
          <w:tab w:val="decimal" w:pos="0"/>
        </w:tabs>
        <w:rPr>
          <w:rFonts w:ascii="Times New Roman" w:hAnsi="Times New Roman"/>
        </w:rPr>
      </w:pPr>
    </w:p>
    <w:p w:rsidR="005B772A" w:rsidRDefault="00AA3D8D"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Table </w:t>
      </w:r>
      <w:r w:rsidR="00F54901">
        <w:rPr>
          <w:rFonts w:ascii="Times New Roman" w:hAnsi="Times New Roman"/>
        </w:rPr>
        <w:t>7</w:t>
      </w:r>
      <w:r w:rsidR="005B772A" w:rsidRPr="005B772A">
        <w:rPr>
          <w:rFonts w:ascii="Times New Roman" w:hAnsi="Times New Roman"/>
        </w:rPr>
        <w:t xml:space="preserve"> sh</w:t>
      </w:r>
      <w:r w:rsidR="0065123D">
        <w:rPr>
          <w:rFonts w:ascii="Times New Roman" w:hAnsi="Times New Roman"/>
        </w:rPr>
        <w:t>ows</w:t>
      </w:r>
      <w:r w:rsidR="005B772A" w:rsidRPr="005B772A">
        <w:rPr>
          <w:rFonts w:ascii="Times New Roman" w:hAnsi="Times New Roman"/>
        </w:rPr>
        <w:t xml:space="preserve"> the total cost of federal government labor for processing NOA forms.  At a fully loaded annual wage rate of $154,386 per y</w:t>
      </w:r>
      <w:r w:rsidR="009E662F">
        <w:rPr>
          <w:rFonts w:ascii="Times New Roman" w:hAnsi="Times New Roman"/>
        </w:rPr>
        <w:t>ear, the total annual</w:t>
      </w:r>
      <w:r w:rsidR="0065123D">
        <w:rPr>
          <w:rFonts w:ascii="Times New Roman" w:hAnsi="Times New Roman"/>
        </w:rPr>
        <w:t xml:space="preserve"> cost of </w:t>
      </w:r>
      <w:r w:rsidR="009E662F">
        <w:rPr>
          <w:rFonts w:ascii="Times New Roman" w:hAnsi="Times New Roman"/>
        </w:rPr>
        <w:t xml:space="preserve">8.0 </w:t>
      </w:r>
      <w:r w:rsidR="005B772A" w:rsidRPr="005B772A">
        <w:rPr>
          <w:rFonts w:ascii="Times New Roman" w:hAnsi="Times New Roman"/>
        </w:rPr>
        <w:t>FTEs to the federal g</w:t>
      </w:r>
      <w:r w:rsidR="009E662F">
        <w:rPr>
          <w:rFonts w:ascii="Times New Roman" w:hAnsi="Times New Roman"/>
        </w:rPr>
        <w:t>overnment is approximately $1.24</w:t>
      </w:r>
      <w:r w:rsidR="005B772A" w:rsidRPr="005B772A">
        <w:rPr>
          <w:rFonts w:ascii="Times New Roman" w:hAnsi="Times New Roman"/>
        </w:rPr>
        <w:t xml:space="preserve"> million.</w:t>
      </w:r>
    </w:p>
    <w:p w:rsidR="00C7726C" w:rsidRPr="005B772A" w:rsidRDefault="00C7726C" w:rsidP="005B772A">
      <w:pPr>
        <w:tabs>
          <w:tab w:val="left" w:pos="-1440"/>
          <w:tab w:val="left" w:pos="-720"/>
          <w:tab w:val="decimal" w:pos="0"/>
        </w:tabs>
        <w:rPr>
          <w:rFonts w:ascii="Times New Roman" w:hAnsi="Times New Roman"/>
        </w:rPr>
      </w:pPr>
    </w:p>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 xml:space="preserve">Table </w:t>
      </w:r>
      <w:r w:rsidR="00F54901">
        <w:rPr>
          <w:rFonts w:ascii="Times New Roman" w:hAnsi="Times New Roman"/>
          <w:b/>
        </w:rPr>
        <w:t>7:</w:t>
      </w:r>
      <w:r w:rsidRPr="005B772A">
        <w:rPr>
          <w:rFonts w:ascii="Times New Roman" w:hAnsi="Times New Roman"/>
          <w:b/>
        </w:rPr>
        <w:t xml:space="preserve">  Federal Government (Agency) Labor Costs </w:t>
      </w:r>
    </w:p>
    <w:tbl>
      <w:tblPr>
        <w:tblStyle w:val="TableGrid"/>
        <w:tblW w:w="9360" w:type="dxa"/>
        <w:tblInd w:w="198" w:type="dxa"/>
        <w:tblLook w:val="04A0" w:firstRow="1" w:lastRow="0" w:firstColumn="1" w:lastColumn="0" w:noHBand="0" w:noVBand="1"/>
      </w:tblPr>
      <w:tblGrid>
        <w:gridCol w:w="7336"/>
        <w:gridCol w:w="2024"/>
      </w:tblGrid>
      <w:tr w:rsidR="005B772A" w:rsidRPr="005B772A" w:rsidTr="007A1B24">
        <w:tc>
          <w:tcPr>
            <w:tcW w:w="5220" w:type="dxa"/>
            <w:tcBorders>
              <w:top w:val="double" w:sz="4"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tcBorders>
              <w:top w:val="double" w:sz="4"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Fully Loaded Annual Rate ($/year per FTE) *</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9E662F" w:rsidP="005B772A">
            <w:pPr>
              <w:tabs>
                <w:tab w:val="left" w:pos="-1440"/>
                <w:tab w:val="left" w:pos="-720"/>
                <w:tab w:val="decimal" w:pos="0"/>
              </w:tabs>
              <w:rPr>
                <w:rFonts w:ascii="Times New Roman" w:hAnsi="Times New Roman"/>
              </w:rPr>
            </w:pPr>
            <w:r>
              <w:rPr>
                <w:rFonts w:ascii="Times New Roman" w:hAnsi="Times New Roman"/>
              </w:rPr>
              <w:t>$</w:t>
            </w:r>
            <w:r w:rsidR="005B772A" w:rsidRPr="005B772A">
              <w:rPr>
                <w:rFonts w:ascii="Times New Roman" w:hAnsi="Times New Roman"/>
              </w:rPr>
              <w:t>154,386</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Total EPA FTEs</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8.00</w:t>
            </w:r>
          </w:p>
        </w:tc>
      </w:tr>
      <w:tr w:rsidR="005B772A" w:rsidRPr="005B772A" w:rsidTr="007A1B24">
        <w:tc>
          <w:tcPr>
            <w:tcW w:w="5220" w:type="dxa"/>
            <w:tcBorders>
              <w:top w:val="single" w:sz="6" w:space="0" w:color="auto"/>
              <w:left w:val="double" w:sz="4" w:space="0" w:color="auto"/>
              <w:bottom w:val="double" w:sz="4" w:space="0" w:color="auto"/>
              <w:right w:val="single" w:sz="6" w:space="0" w:color="auto"/>
            </w:tcBorders>
            <w:vAlign w:val="center"/>
          </w:tcPr>
          <w:p w:rsidR="005B772A" w:rsidRPr="007A1B24" w:rsidRDefault="00F53E3C" w:rsidP="005B772A">
            <w:pPr>
              <w:tabs>
                <w:tab w:val="left" w:pos="-1440"/>
                <w:tab w:val="left" w:pos="-720"/>
                <w:tab w:val="decimal" w:pos="0"/>
              </w:tabs>
              <w:rPr>
                <w:rFonts w:ascii="Times New Roman" w:hAnsi="Times New Roman"/>
                <w:b/>
              </w:rPr>
            </w:pPr>
            <w:r w:rsidRPr="00F53E3C">
              <w:rPr>
                <w:rFonts w:ascii="Times New Roman" w:hAnsi="Times New Roman"/>
                <w:b/>
              </w:rPr>
              <w:t>Total Federal Government Labor Costs</w:t>
            </w:r>
          </w:p>
        </w:tc>
        <w:tc>
          <w:tcPr>
            <w:tcW w:w="1440" w:type="dxa"/>
            <w:tcBorders>
              <w:top w:val="single" w:sz="6" w:space="0" w:color="auto"/>
              <w:left w:val="single" w:sz="6" w:space="0" w:color="auto"/>
              <w:bottom w:val="double" w:sz="4" w:space="0" w:color="auto"/>
              <w:right w:val="double" w:sz="4" w:space="0" w:color="auto"/>
            </w:tcBorders>
            <w:vAlign w:val="center"/>
          </w:tcPr>
          <w:p w:rsidR="005B772A" w:rsidRPr="007A1B24" w:rsidRDefault="009E662F" w:rsidP="009E662F">
            <w:pPr>
              <w:tabs>
                <w:tab w:val="left" w:pos="-1440"/>
                <w:tab w:val="left" w:pos="-720"/>
                <w:tab w:val="decimal" w:pos="0"/>
              </w:tabs>
              <w:rPr>
                <w:rFonts w:ascii="Times New Roman" w:hAnsi="Times New Roman"/>
                <w:b/>
              </w:rPr>
            </w:pPr>
            <w:r w:rsidRPr="007A1B24">
              <w:rPr>
                <w:rFonts w:ascii="Times New Roman" w:hAnsi="Times New Roman"/>
                <w:b/>
              </w:rPr>
              <w:t>$ 1,235</w:t>
            </w:r>
            <w:r w:rsidR="005B772A" w:rsidRPr="007A1B24">
              <w:rPr>
                <w:rFonts w:ascii="Times New Roman" w:hAnsi="Times New Roman"/>
                <w:b/>
              </w:rPr>
              <w:t>,</w:t>
            </w:r>
            <w:r w:rsidRPr="007A1B24">
              <w:rPr>
                <w:rFonts w:ascii="Times New Roman" w:hAnsi="Times New Roman"/>
                <w:b/>
              </w:rPr>
              <w:t>086</w:t>
            </w:r>
          </w:p>
        </w:tc>
      </w:tr>
      <w:tr w:rsidR="005B772A" w:rsidRPr="005B772A" w:rsidTr="00F84508">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c>
          <w:tcPr>
            <w:tcW w:w="6660" w:type="dxa"/>
            <w:gridSpan w:val="2"/>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 xml:space="preserve">* For calculation of Fully Loaded Annual Rate from base salary, see </w:t>
            </w:r>
            <w:r w:rsidR="00BE7FD6" w:rsidRPr="00BE7FD6">
              <w:rPr>
                <w:rFonts w:ascii="Times New Roman" w:hAnsi="Times New Roman"/>
              </w:rPr>
              <w:t xml:space="preserve">Attachment </w:t>
            </w:r>
            <w:r w:rsidR="00C213CC">
              <w:rPr>
                <w:rFonts w:ascii="Times New Roman" w:hAnsi="Times New Roman"/>
              </w:rPr>
              <w:t>C</w:t>
            </w:r>
          </w:p>
        </w:tc>
      </w:tr>
    </w:tbl>
    <w:p w:rsidR="00F53E3C" w:rsidRDefault="00F53E3C" w:rsidP="00F53E3C">
      <w:pPr>
        <w:tabs>
          <w:tab w:val="left" w:pos="-1440"/>
          <w:tab w:val="left" w:pos="-720"/>
          <w:tab w:val="decimal" w:pos="0"/>
        </w:tabs>
        <w:ind w:firstLine="720"/>
        <w:rPr>
          <w:rFonts w:ascii="Times New Roman" w:hAnsi="Times New Roman"/>
          <w:b/>
          <w:bCs/>
        </w:rPr>
      </w:pPr>
    </w:p>
    <w:p w:rsidR="005F3366" w:rsidRPr="0065123D" w:rsidRDefault="005F3366" w:rsidP="005B772A">
      <w:pPr>
        <w:tabs>
          <w:tab w:val="left" w:pos="-1440"/>
          <w:tab w:val="left" w:pos="-720"/>
          <w:tab w:val="decimal" w:pos="0"/>
        </w:tabs>
        <w:rPr>
          <w:rFonts w:ascii="Times New Roman" w:hAnsi="Times New Roman"/>
          <w:b/>
        </w:rPr>
      </w:pPr>
      <w:r>
        <w:rPr>
          <w:rFonts w:ascii="Times New Roman" w:hAnsi="Times New Roman"/>
        </w:rPr>
        <w:tab/>
      </w:r>
      <w:r w:rsidR="005B772A" w:rsidRPr="005B772A">
        <w:rPr>
          <w:rFonts w:ascii="Times New Roman" w:hAnsi="Times New Roman"/>
        </w:rPr>
        <w:t>In addition to labor costs, there are direct costs of printing instructions and reporting forms.  I</w:t>
      </w:r>
      <w:r w:rsidR="009E662F">
        <w:rPr>
          <w:rFonts w:ascii="Times New Roman" w:hAnsi="Times New Roman"/>
        </w:rPr>
        <w:t>n the previous ICR renewal</w:t>
      </w:r>
      <w:r w:rsidR="005B772A" w:rsidRPr="005B772A">
        <w:rPr>
          <w:rFonts w:ascii="Times New Roman" w:hAnsi="Times New Roman"/>
        </w:rPr>
        <w:t>, this cost was estimated at $60,947.  Adjusting for inflation using the Consumer Price Index, the direct cost of processing NOA forms for this ICR renewal is estimated at $62,390.</w:t>
      </w:r>
      <w:r w:rsidR="005B772A" w:rsidRPr="005B772A">
        <w:rPr>
          <w:rFonts w:ascii="Times New Roman" w:hAnsi="Times New Roman"/>
          <w:vertAlign w:val="superscript"/>
        </w:rPr>
        <w:footnoteReference w:id="1"/>
      </w:r>
      <w:r w:rsidR="005B772A" w:rsidRPr="005B772A">
        <w:rPr>
          <w:rFonts w:ascii="Times New Roman" w:hAnsi="Times New Roman"/>
        </w:rPr>
        <w:t xml:space="preserve">  Updating the number to account for the increase in NOAs, the value for this renewal is $70,482.</w:t>
      </w:r>
    </w:p>
    <w:p w:rsidR="005F3366" w:rsidRDefault="005F3366" w:rsidP="005B772A">
      <w:pPr>
        <w:tabs>
          <w:tab w:val="left" w:pos="-1440"/>
          <w:tab w:val="left" w:pos="-720"/>
          <w:tab w:val="decimal" w:pos="0"/>
        </w:tabs>
        <w:rPr>
          <w:rFonts w:ascii="Times New Roman" w:hAnsi="Times New Roman"/>
        </w:rPr>
      </w:pPr>
    </w:p>
    <w:p w:rsidR="005F3366" w:rsidRDefault="005F3366" w:rsidP="005B772A">
      <w:pPr>
        <w:tabs>
          <w:tab w:val="left" w:pos="-1440"/>
          <w:tab w:val="left" w:pos="-720"/>
          <w:tab w:val="decimal" w:pos="0"/>
        </w:tabs>
        <w:rPr>
          <w:rFonts w:ascii="Times New Roman" w:hAnsi="Times New Roman"/>
        </w:rPr>
      </w:pPr>
      <w:r>
        <w:rPr>
          <w:rFonts w:ascii="Times New Roman" w:hAnsi="Times New Roman"/>
        </w:rPr>
        <w:tab/>
      </w:r>
      <w:r w:rsidRPr="005B772A">
        <w:rPr>
          <w:rFonts w:ascii="Times New Roman" w:hAnsi="Times New Roman"/>
        </w:rPr>
        <w:t xml:space="preserve">Table </w:t>
      </w:r>
      <w:r w:rsidR="00F54901">
        <w:rPr>
          <w:rFonts w:ascii="Times New Roman" w:hAnsi="Times New Roman"/>
        </w:rPr>
        <w:t>8</w:t>
      </w:r>
      <w:r w:rsidRPr="005B772A">
        <w:rPr>
          <w:rFonts w:ascii="Times New Roman" w:hAnsi="Times New Roman"/>
        </w:rPr>
        <w:t xml:space="preserve"> combines the labor costs and direct costs to the federal government of processing Notice of Arrival forms.  The total cost is approximately $1.</w:t>
      </w:r>
      <w:r w:rsidR="009E662F">
        <w:rPr>
          <w:rFonts w:ascii="Times New Roman" w:hAnsi="Times New Roman"/>
        </w:rPr>
        <w:t>3</w:t>
      </w:r>
      <w:r w:rsidRPr="005B772A">
        <w:rPr>
          <w:rFonts w:ascii="Times New Roman" w:hAnsi="Times New Roman"/>
        </w:rPr>
        <w:t xml:space="preserve"> million per year, assuming an average of </w:t>
      </w:r>
      <w:r w:rsidR="00DA0C25">
        <w:rPr>
          <w:rFonts w:ascii="Times New Roman" w:hAnsi="Times New Roman"/>
        </w:rPr>
        <w:t>35</w:t>
      </w:r>
      <w:r w:rsidRPr="005B772A">
        <w:rPr>
          <w:rFonts w:ascii="Times New Roman" w:hAnsi="Times New Roman"/>
        </w:rPr>
        <w:t>,000 Notice of Arrival forms are processed each year.</w:t>
      </w:r>
    </w:p>
    <w:p w:rsidR="005F3366" w:rsidRPr="005B772A" w:rsidRDefault="005F3366" w:rsidP="005B772A">
      <w:pPr>
        <w:tabs>
          <w:tab w:val="left" w:pos="-1440"/>
          <w:tab w:val="left" w:pos="-720"/>
          <w:tab w:val="decimal" w:pos="0"/>
        </w:tabs>
        <w:rPr>
          <w:rFonts w:ascii="Times New Roman" w:hAnsi="Times New Roman"/>
        </w:rPr>
      </w:pPr>
    </w:p>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 xml:space="preserve"> Table </w:t>
      </w:r>
      <w:r w:rsidR="00F54901">
        <w:rPr>
          <w:rFonts w:ascii="Times New Roman" w:hAnsi="Times New Roman"/>
          <w:b/>
        </w:rPr>
        <w:t>8:</w:t>
      </w:r>
      <w:r w:rsidRPr="005B772A">
        <w:rPr>
          <w:rFonts w:ascii="Times New Roman" w:hAnsi="Times New Roman"/>
          <w:b/>
        </w:rPr>
        <w:t xml:space="preserve">  Total </w:t>
      </w:r>
      <w:r w:rsidR="009E662F">
        <w:rPr>
          <w:rFonts w:ascii="Times New Roman" w:hAnsi="Times New Roman"/>
          <w:b/>
        </w:rPr>
        <w:t>Agency</w:t>
      </w:r>
      <w:r w:rsidRPr="005B772A">
        <w:rPr>
          <w:rFonts w:ascii="Times New Roman" w:hAnsi="Times New Roman"/>
          <w:b/>
        </w:rPr>
        <w:t xml:space="preserve"> Costs </w:t>
      </w:r>
    </w:p>
    <w:tbl>
      <w:tblPr>
        <w:tblStyle w:val="TableGrid"/>
        <w:tblW w:w="936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336"/>
        <w:gridCol w:w="2024"/>
      </w:tblGrid>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Total Federal Government Labor Costs</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$ 1,23</w:t>
            </w:r>
            <w:r w:rsidR="009E662F">
              <w:rPr>
                <w:rFonts w:ascii="Times New Roman" w:hAnsi="Times New Roman"/>
              </w:rPr>
              <w:t>5,086</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xml:space="preserve">Total Federal Government Direct Costs </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$ 70,482</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TOTAL AGENCY COSTS</w:t>
            </w:r>
          </w:p>
        </w:tc>
        <w:tc>
          <w:tcPr>
            <w:tcW w:w="1440" w:type="dxa"/>
            <w:vAlign w:val="center"/>
          </w:tcPr>
          <w:p w:rsidR="005B772A" w:rsidRPr="005B772A" w:rsidRDefault="009E662F" w:rsidP="007F7DB9">
            <w:pPr>
              <w:keepNext/>
              <w:widowControl/>
              <w:tabs>
                <w:tab w:val="left" w:pos="-1440"/>
                <w:tab w:val="left" w:pos="-720"/>
                <w:tab w:val="decimal" w:pos="0"/>
              </w:tabs>
              <w:rPr>
                <w:rFonts w:ascii="Times New Roman" w:hAnsi="Times New Roman"/>
                <w:b/>
              </w:rPr>
            </w:pPr>
            <w:r>
              <w:rPr>
                <w:rFonts w:ascii="Times New Roman" w:hAnsi="Times New Roman"/>
                <w:b/>
              </w:rPr>
              <w:t>$ 1,305,568</w:t>
            </w:r>
          </w:p>
        </w:tc>
      </w:tr>
    </w:tbl>
    <w:p w:rsidR="005B772A" w:rsidRPr="005B772A" w:rsidRDefault="005B772A" w:rsidP="005B772A">
      <w:pPr>
        <w:tabs>
          <w:tab w:val="left" w:pos="-1440"/>
          <w:tab w:val="left" w:pos="-720"/>
          <w:tab w:val="decimal" w:pos="0"/>
        </w:tabs>
        <w:rPr>
          <w:rFonts w:ascii="Times New Roman" w:hAnsi="Times New Roman"/>
        </w:rPr>
      </w:pPr>
    </w:p>
    <w:p w:rsidR="00772F14" w:rsidRDefault="00BE7FD6">
      <w:pPr>
        <w:tabs>
          <w:tab w:val="left" w:pos="-1440"/>
          <w:tab w:val="left" w:pos="-720"/>
          <w:tab w:val="decimal" w:pos="0"/>
        </w:tabs>
        <w:rPr>
          <w:rFonts w:ascii="Times New Roman" w:hAnsi="Times New Roman"/>
          <w:b/>
          <w:bCs/>
        </w:rPr>
      </w:pPr>
      <w:r w:rsidRPr="00BE7FD6">
        <w:rPr>
          <w:rFonts w:ascii="Times New Roman" w:hAnsi="Times New Roman"/>
          <w:b/>
          <w:bCs/>
        </w:rPr>
        <w:tab/>
        <w:t>6(</w:t>
      </w:r>
      <w:r w:rsidR="005F3366">
        <w:rPr>
          <w:rFonts w:ascii="Times New Roman" w:hAnsi="Times New Roman"/>
          <w:b/>
          <w:bCs/>
        </w:rPr>
        <w:t>d</w:t>
      </w:r>
      <w:r w:rsidRPr="00BE7FD6">
        <w:rPr>
          <w:rFonts w:ascii="Times New Roman" w:hAnsi="Times New Roman"/>
          <w:b/>
          <w:bCs/>
        </w:rPr>
        <w:t>) Bottom Line Burden Hours and Cost</w:t>
      </w:r>
    </w:p>
    <w:p w:rsidR="005F3366" w:rsidRDefault="005F3366">
      <w:pPr>
        <w:tabs>
          <w:tab w:val="left" w:pos="-1440"/>
          <w:tab w:val="left" w:pos="-720"/>
          <w:tab w:val="decimal" w:pos="0"/>
        </w:tabs>
        <w:rPr>
          <w:rFonts w:ascii="Times New Roman" w:hAnsi="Times New Roman"/>
          <w:b/>
          <w:bCs/>
        </w:rPr>
      </w:pPr>
    </w:p>
    <w:p w:rsidR="005F3366" w:rsidRPr="007F21CF" w:rsidRDefault="00BE7FD6">
      <w:pPr>
        <w:tabs>
          <w:tab w:val="left" w:pos="-1440"/>
          <w:tab w:val="left" w:pos="-720"/>
          <w:tab w:val="decimal" w:pos="0"/>
        </w:tabs>
        <w:rPr>
          <w:rFonts w:ascii="Times New Roman" w:hAnsi="Times New Roman"/>
          <w:b/>
        </w:rPr>
      </w:pPr>
      <w:r w:rsidRPr="00BE7FD6">
        <w:tab/>
      </w:r>
      <w:r w:rsidRPr="00BE7FD6">
        <w:rPr>
          <w:rFonts w:ascii="Times New Roman" w:hAnsi="Times New Roman"/>
          <w:b/>
        </w:rPr>
        <w:t>(i) Respondent Burden</w:t>
      </w:r>
    </w:p>
    <w:p w:rsidR="005F3366" w:rsidRDefault="005F3366">
      <w:pPr>
        <w:tabs>
          <w:tab w:val="left" w:pos="-1440"/>
          <w:tab w:val="left" w:pos="-720"/>
          <w:tab w:val="decimal" w:pos="0"/>
        </w:tabs>
        <w:rPr>
          <w:rFonts w:ascii="Times New Roman" w:hAnsi="Times New Roman"/>
          <w:u w:val="single"/>
        </w:rPr>
      </w:pPr>
    </w:p>
    <w:p w:rsidR="005F3366" w:rsidRDefault="00BE7FD6" w:rsidP="00CA6132">
      <w:pPr>
        <w:ind w:firstLine="720"/>
        <w:rPr>
          <w:rFonts w:ascii="Times New Roman" w:hAnsi="Times New Roman"/>
          <w:bCs/>
        </w:rPr>
      </w:pPr>
      <w:r w:rsidRPr="00BE7FD6">
        <w:rPr>
          <w:rFonts w:ascii="Times New Roman" w:hAnsi="Times New Roman"/>
        </w:rPr>
        <w:t xml:space="preserve">The total annual respondent burden hours for this ICR are estimated at </w:t>
      </w:r>
      <w:r w:rsidR="00B30CFF">
        <w:rPr>
          <w:rFonts w:ascii="Times New Roman" w:hAnsi="Times New Roman"/>
        </w:rPr>
        <w:t>1</w:t>
      </w:r>
      <w:r w:rsidR="005F40A3">
        <w:rPr>
          <w:rFonts w:ascii="Times New Roman" w:hAnsi="Times New Roman"/>
        </w:rPr>
        <w:t>5</w:t>
      </w:r>
      <w:r w:rsidR="00B56B6B">
        <w:rPr>
          <w:rFonts w:ascii="Times New Roman" w:hAnsi="Times New Roman"/>
        </w:rPr>
        <w:t>,</w:t>
      </w:r>
      <w:r w:rsidR="00302F41">
        <w:rPr>
          <w:rFonts w:ascii="Times New Roman" w:hAnsi="Times New Roman"/>
        </w:rPr>
        <w:t>0</w:t>
      </w:r>
      <w:r w:rsidR="005F40A3">
        <w:rPr>
          <w:rFonts w:ascii="Times New Roman" w:hAnsi="Times New Roman"/>
        </w:rPr>
        <w:t>50</w:t>
      </w:r>
      <w:r w:rsidRPr="00BE7FD6">
        <w:rPr>
          <w:rFonts w:ascii="Times New Roman" w:hAnsi="Times New Roman"/>
        </w:rPr>
        <w:t xml:space="preserve"> hours.  The total annual respondent cost for this ICR is estimated to be $</w:t>
      </w:r>
      <w:r w:rsidR="005F40A3">
        <w:rPr>
          <w:rFonts w:ascii="Times New Roman" w:hAnsi="Times New Roman"/>
        </w:rPr>
        <w:t>8</w:t>
      </w:r>
      <w:r w:rsidR="00DA0C25">
        <w:rPr>
          <w:rFonts w:ascii="Times New Roman" w:hAnsi="Times New Roman"/>
        </w:rPr>
        <w:t>07,480</w:t>
      </w:r>
      <w:r w:rsidRPr="00BE7FD6">
        <w:rPr>
          <w:rFonts w:ascii="Times New Roman" w:hAnsi="Times New Roman"/>
        </w:rPr>
        <w:t xml:space="preserve">.  </w:t>
      </w:r>
    </w:p>
    <w:p w:rsidR="008D2CC7" w:rsidRDefault="008D2CC7" w:rsidP="005F3366">
      <w:pPr>
        <w:tabs>
          <w:tab w:val="left" w:pos="-1440"/>
          <w:tab w:val="left" w:pos="-720"/>
          <w:tab w:val="decimal" w:pos="0"/>
        </w:tabs>
        <w:rPr>
          <w:rFonts w:ascii="Times New Roman" w:hAnsi="Times New Roman"/>
          <w:bCs/>
        </w:rPr>
      </w:pPr>
    </w:p>
    <w:p w:rsidR="005F3366" w:rsidRPr="005C7CB6" w:rsidRDefault="00BE7FD6" w:rsidP="00B81E19">
      <w:pPr>
        <w:keepNext/>
        <w:widowControl/>
        <w:tabs>
          <w:tab w:val="left" w:pos="-1440"/>
          <w:tab w:val="left" w:pos="-720"/>
          <w:tab w:val="decimal" w:pos="0"/>
        </w:tabs>
        <w:rPr>
          <w:rFonts w:ascii="Times New Roman" w:hAnsi="Times New Roman"/>
          <w:b/>
          <w:bCs/>
        </w:rPr>
      </w:pPr>
      <w:r w:rsidRPr="005C7CB6">
        <w:rPr>
          <w:rFonts w:ascii="Times New Roman" w:hAnsi="Times New Roman"/>
          <w:b/>
          <w:bCs/>
        </w:rPr>
        <w:t xml:space="preserve">Table </w:t>
      </w:r>
      <w:r w:rsidR="00F54901">
        <w:rPr>
          <w:rFonts w:ascii="Times New Roman" w:hAnsi="Times New Roman"/>
          <w:b/>
          <w:bCs/>
        </w:rPr>
        <w:t>9:</w:t>
      </w:r>
      <w:r w:rsidRPr="005C7CB6">
        <w:rPr>
          <w:rFonts w:ascii="Times New Roman" w:hAnsi="Times New Roman"/>
          <w:b/>
          <w:bCs/>
        </w:rPr>
        <w:t xml:space="preserve"> </w:t>
      </w:r>
      <w:r w:rsidR="005F3366" w:rsidRPr="005C7CB6">
        <w:rPr>
          <w:rFonts w:ascii="Times New Roman" w:hAnsi="Times New Roman"/>
          <w:b/>
          <w:bCs/>
        </w:rPr>
        <w:t xml:space="preserve">Total </w:t>
      </w:r>
      <w:r w:rsidRPr="005C7CB6">
        <w:rPr>
          <w:rFonts w:ascii="Times New Roman" w:hAnsi="Times New Roman"/>
          <w:b/>
          <w:bCs/>
        </w:rPr>
        <w:t>Annual</w:t>
      </w:r>
      <w:r w:rsidR="005F3366" w:rsidRPr="005C7CB6">
        <w:rPr>
          <w:rFonts w:ascii="Times New Roman" w:hAnsi="Times New Roman"/>
          <w:b/>
          <w:bCs/>
        </w:rPr>
        <w:t xml:space="preserve"> Respondent</w:t>
      </w:r>
      <w:r w:rsidRPr="005C7CB6">
        <w:rPr>
          <w:rFonts w:ascii="Times New Roman" w:hAnsi="Times New Roman"/>
          <w:b/>
          <w:bCs/>
        </w:rPr>
        <w:t xml:space="preserve">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367"/>
        <w:gridCol w:w="1506"/>
        <w:gridCol w:w="1614"/>
        <w:gridCol w:w="1721"/>
        <w:gridCol w:w="2152"/>
      </w:tblGrid>
      <w:tr w:rsidR="00B56B6B" w:rsidRPr="00CA6132" w:rsidTr="00F84508">
        <w:trPr>
          <w:cantSplit/>
        </w:trPr>
        <w:tc>
          <w:tcPr>
            <w:tcW w:w="2367"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506"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14"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 (hours)</w:t>
            </w:r>
          </w:p>
        </w:tc>
        <w:tc>
          <w:tcPr>
            <w:tcW w:w="1721"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(hours)</w:t>
            </w:r>
          </w:p>
        </w:tc>
        <w:tc>
          <w:tcPr>
            <w:tcW w:w="2152"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B56B6B" w:rsidRPr="00CA6132" w:rsidTr="00F84508">
        <w:trPr>
          <w:cantSplit/>
          <w:trHeight w:val="570"/>
        </w:trPr>
        <w:tc>
          <w:tcPr>
            <w:tcW w:w="2367"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w:t>
            </w:r>
            <w:r w:rsidR="00F84508" w:rsidRPr="00CA6132">
              <w:rPr>
                <w:rFonts w:ascii="Times New Roman" w:hAnsi="Times New Roman"/>
                <w:bCs/>
                <w:sz w:val="20"/>
                <w:szCs w:val="20"/>
              </w:rPr>
              <w:t xml:space="preserve"> for Registered Pesticides</w:t>
            </w:r>
            <w:r w:rsidR="00BE73D5" w:rsidRPr="00CA6132">
              <w:rPr>
                <w:rFonts w:ascii="Times New Roman" w:hAnsi="Times New Roman"/>
                <w:bCs/>
                <w:sz w:val="20"/>
                <w:szCs w:val="20"/>
              </w:rPr>
              <w:t xml:space="preserve"> and Devices</w:t>
            </w:r>
          </w:p>
        </w:tc>
        <w:tc>
          <w:tcPr>
            <w:tcW w:w="1506"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14"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w:t>
            </w:r>
            <w:r w:rsidR="000D0D0E" w:rsidRPr="00CA6132">
              <w:rPr>
                <w:rFonts w:ascii="Times New Roman" w:hAnsi="Times New Roman"/>
                <w:bCs/>
                <w:sz w:val="20"/>
                <w:szCs w:val="20"/>
              </w:rPr>
              <w:t>4</w:t>
            </w:r>
            <w:r w:rsidR="00CE255F" w:rsidRPr="00CA6132">
              <w:rPr>
                <w:rFonts w:ascii="Times New Roman" w:hAnsi="Times New Roman"/>
                <w:bCs/>
                <w:sz w:val="20"/>
                <w:szCs w:val="20"/>
              </w:rPr>
              <w:t>0</w:t>
            </w:r>
          </w:p>
        </w:tc>
        <w:tc>
          <w:tcPr>
            <w:tcW w:w="1721"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w:t>
            </w:r>
            <w:r w:rsidR="00F84508" w:rsidRPr="00CA6132">
              <w:rPr>
                <w:rFonts w:ascii="Times New Roman" w:hAnsi="Times New Roman"/>
                <w:bCs/>
                <w:sz w:val="20"/>
                <w:szCs w:val="20"/>
              </w:rPr>
              <w:t>,8</w:t>
            </w:r>
            <w:r w:rsidRPr="00CA6132">
              <w:rPr>
                <w:rFonts w:ascii="Times New Roman" w:hAnsi="Times New Roman"/>
                <w:bCs/>
                <w:sz w:val="20"/>
                <w:szCs w:val="20"/>
              </w:rPr>
              <w:t>0</w:t>
            </w:r>
            <w:r w:rsidR="00F84508" w:rsidRPr="00CA6132">
              <w:rPr>
                <w:rFonts w:ascii="Times New Roman" w:hAnsi="Times New Roman"/>
                <w:bCs/>
                <w:sz w:val="20"/>
                <w:szCs w:val="20"/>
              </w:rPr>
              <w:t>0</w:t>
            </w:r>
          </w:p>
        </w:tc>
        <w:tc>
          <w:tcPr>
            <w:tcW w:w="2152" w:type="dxa"/>
            <w:vAlign w:val="center"/>
          </w:tcPr>
          <w:p w:rsidR="000C60AF" w:rsidRPr="00CA6132" w:rsidRDefault="00817CE4"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$517,887</w:t>
            </w:r>
          </w:p>
        </w:tc>
      </w:tr>
      <w:tr w:rsidR="00F84508" w:rsidRPr="00CA6132" w:rsidTr="00F84508">
        <w:trPr>
          <w:cantSplit/>
          <w:trHeight w:val="570"/>
        </w:trPr>
        <w:tc>
          <w:tcPr>
            <w:tcW w:w="2367" w:type="dxa"/>
            <w:vAlign w:val="center"/>
          </w:tcPr>
          <w:p w:rsidR="00E43926"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506"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w:t>
            </w:r>
            <w:r w:rsidR="00F84508" w:rsidRPr="00CA6132">
              <w:rPr>
                <w:rFonts w:ascii="Times New Roman" w:hAnsi="Times New Roman"/>
                <w:bCs/>
                <w:sz w:val="20"/>
                <w:szCs w:val="20"/>
              </w:rPr>
              <w:t>00</w:t>
            </w:r>
          </w:p>
        </w:tc>
        <w:tc>
          <w:tcPr>
            <w:tcW w:w="1614"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w:t>
            </w:r>
            <w:r w:rsidR="00CE255F" w:rsidRPr="00CA6132">
              <w:rPr>
                <w:rFonts w:ascii="Times New Roman" w:hAnsi="Times New Roman"/>
                <w:bCs/>
                <w:sz w:val="20"/>
                <w:szCs w:val="20"/>
              </w:rPr>
              <w:t>0</w:t>
            </w:r>
          </w:p>
        </w:tc>
        <w:tc>
          <w:tcPr>
            <w:tcW w:w="1721"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F84508" w:rsidRPr="00CA6132">
              <w:rPr>
                <w:rFonts w:ascii="Times New Roman" w:hAnsi="Times New Roman"/>
                <w:bCs/>
                <w:sz w:val="20"/>
                <w:szCs w:val="20"/>
              </w:rPr>
              <w:t>,2</w:t>
            </w:r>
            <w:r w:rsidRPr="00CA6132">
              <w:rPr>
                <w:rFonts w:ascii="Times New Roman" w:hAnsi="Times New Roman"/>
                <w:bCs/>
                <w:sz w:val="20"/>
                <w:szCs w:val="20"/>
              </w:rPr>
              <w:t>5</w:t>
            </w:r>
            <w:r w:rsidR="00F84508" w:rsidRPr="00CA6132">
              <w:rPr>
                <w:rFonts w:ascii="Times New Roman" w:hAnsi="Times New Roman"/>
                <w:bCs/>
                <w:sz w:val="20"/>
                <w:szCs w:val="20"/>
              </w:rPr>
              <w:t>0</w:t>
            </w:r>
          </w:p>
        </w:tc>
        <w:tc>
          <w:tcPr>
            <w:tcW w:w="2152"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r w:rsidR="00F84508" w:rsidRPr="00CA6132" w:rsidTr="00F84508">
        <w:trPr>
          <w:cantSplit/>
          <w:trHeight w:val="570"/>
        </w:trPr>
        <w:tc>
          <w:tcPr>
            <w:tcW w:w="5487" w:type="dxa"/>
            <w:gridSpan w:val="3"/>
            <w:vAlign w:val="center"/>
          </w:tcPr>
          <w:p w:rsidR="00F84508" w:rsidRPr="00CA6132" w:rsidRDefault="00F53E3C" w:rsidP="00B81E19">
            <w:pPr>
              <w:keepNext/>
              <w:widowControl/>
              <w:tabs>
                <w:tab w:val="left" w:pos="-1440"/>
                <w:tab w:val="left" w:pos="-720"/>
                <w:tab w:val="decimal" w:pos="0"/>
                <w:tab w:val="center" w:pos="4320"/>
                <w:tab w:val="right" w:pos="8640"/>
              </w:tabs>
              <w:jc w:val="center"/>
              <w:rPr>
                <w:rFonts w:ascii="Times New Roman" w:hAnsi="Times New Roman"/>
                <w:b/>
                <w:bCs/>
                <w:sz w:val="20"/>
                <w:szCs w:val="20"/>
              </w:rPr>
            </w:pPr>
            <w:r w:rsidRPr="00CA6132">
              <w:rPr>
                <w:rFonts w:ascii="Times New Roman" w:hAnsi="Times New Roman"/>
                <w:b/>
                <w:bCs/>
                <w:sz w:val="20"/>
                <w:szCs w:val="20"/>
              </w:rPr>
              <w:t>Total Annual Respondent Burden</w:t>
            </w:r>
          </w:p>
        </w:tc>
        <w:tc>
          <w:tcPr>
            <w:tcW w:w="1721"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1</w:t>
            </w:r>
            <w:r w:rsidR="002D61B9" w:rsidRPr="00CA6132">
              <w:rPr>
                <w:rFonts w:ascii="Times New Roman" w:hAnsi="Times New Roman"/>
                <w:b/>
                <w:bCs/>
                <w:sz w:val="20"/>
                <w:szCs w:val="20"/>
              </w:rPr>
              <w:t>5</w:t>
            </w:r>
            <w:r w:rsidRPr="00CA6132">
              <w:rPr>
                <w:rFonts w:ascii="Times New Roman" w:hAnsi="Times New Roman"/>
                <w:b/>
                <w:bCs/>
                <w:sz w:val="20"/>
                <w:szCs w:val="20"/>
              </w:rPr>
              <w:t>,0</w:t>
            </w:r>
            <w:r w:rsidR="002D61B9" w:rsidRPr="00CA6132">
              <w:rPr>
                <w:rFonts w:ascii="Times New Roman" w:hAnsi="Times New Roman"/>
                <w:b/>
                <w:bCs/>
                <w:sz w:val="20"/>
                <w:szCs w:val="20"/>
              </w:rPr>
              <w:t>5</w:t>
            </w:r>
            <w:r w:rsidRPr="00CA6132">
              <w:rPr>
                <w:rFonts w:ascii="Times New Roman" w:hAnsi="Times New Roman"/>
                <w:b/>
                <w:bCs/>
                <w:sz w:val="20"/>
                <w:szCs w:val="20"/>
              </w:rPr>
              <w:t>0</w:t>
            </w:r>
          </w:p>
        </w:tc>
        <w:tc>
          <w:tcPr>
            <w:tcW w:w="2152"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$8</w:t>
            </w:r>
            <w:r w:rsidR="00817CE4" w:rsidRPr="00CA6132">
              <w:rPr>
                <w:rFonts w:ascii="Times New Roman" w:hAnsi="Times New Roman"/>
                <w:b/>
                <w:bCs/>
                <w:sz w:val="20"/>
                <w:szCs w:val="20"/>
              </w:rPr>
              <w:t>07,480</w:t>
            </w:r>
          </w:p>
        </w:tc>
      </w:tr>
    </w:tbl>
    <w:p w:rsidR="005F3366" w:rsidRPr="005F3366" w:rsidRDefault="005F3366" w:rsidP="005F3366">
      <w:pPr>
        <w:tabs>
          <w:tab w:val="left" w:pos="-1440"/>
          <w:tab w:val="left" w:pos="-720"/>
          <w:tab w:val="decimal" w:pos="0"/>
        </w:tabs>
        <w:rPr>
          <w:rFonts w:ascii="Times New Roman" w:hAnsi="Times New Roman"/>
          <w:b/>
          <w:bCs/>
        </w:rPr>
      </w:pPr>
    </w:p>
    <w:p w:rsidR="00A936C2" w:rsidRDefault="005F3366">
      <w:pPr>
        <w:keepNext/>
        <w:tabs>
          <w:tab w:val="left" w:pos="-1440"/>
          <w:tab w:val="left" w:pos="-720"/>
          <w:tab w:val="decimal" w:pos="0"/>
        </w:tabs>
        <w:rPr>
          <w:rFonts w:ascii="Times New Roman" w:hAnsi="Times New Roman"/>
          <w:b/>
          <w:bCs/>
          <w:u w:val="single"/>
        </w:rPr>
      </w:pPr>
      <w:r>
        <w:rPr>
          <w:rFonts w:ascii="Times New Roman" w:hAnsi="Times New Roman"/>
          <w:b/>
          <w:bCs/>
        </w:rPr>
        <w:tab/>
      </w:r>
      <w:r w:rsidRPr="0065123D">
        <w:rPr>
          <w:rFonts w:ascii="Times New Roman" w:hAnsi="Times New Roman"/>
          <w:b/>
          <w:bCs/>
        </w:rPr>
        <w:t>(ii)</w:t>
      </w:r>
      <w:r w:rsidR="0065123D">
        <w:rPr>
          <w:rFonts w:ascii="Times New Roman" w:hAnsi="Times New Roman"/>
          <w:b/>
          <w:bCs/>
        </w:rPr>
        <w:t xml:space="preserve"> </w:t>
      </w:r>
      <w:r w:rsidRPr="0065123D">
        <w:rPr>
          <w:rFonts w:ascii="Times New Roman" w:hAnsi="Times New Roman"/>
          <w:b/>
          <w:bCs/>
          <w:u w:val="single"/>
        </w:rPr>
        <w:t>Agency Burden</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Cs/>
        </w:rPr>
      </w:pPr>
      <w:r>
        <w:rPr>
          <w:rFonts w:ascii="Times New Roman" w:hAnsi="Times New Roman"/>
          <w:bCs/>
        </w:rPr>
        <w:tab/>
      </w:r>
      <w:r w:rsidR="00BE7FD6" w:rsidRPr="00BE7FD6">
        <w:rPr>
          <w:rFonts w:ascii="Times New Roman" w:hAnsi="Times New Roman"/>
          <w:bCs/>
        </w:rPr>
        <w:t>The total annual agency burden for this IC</w:t>
      </w:r>
      <w:r>
        <w:rPr>
          <w:rFonts w:ascii="Times New Roman" w:hAnsi="Times New Roman"/>
          <w:bCs/>
        </w:rPr>
        <w:t>R is estimated to be 8.0 FTEs</w:t>
      </w:r>
      <w:r w:rsidR="00BE7FD6" w:rsidRPr="00BE7FD6">
        <w:rPr>
          <w:rFonts w:ascii="Times New Roman" w:hAnsi="Times New Roman"/>
          <w:bCs/>
        </w:rPr>
        <w:t xml:space="preserve">.  </w:t>
      </w:r>
      <w:r w:rsidR="00C2636F">
        <w:rPr>
          <w:rFonts w:ascii="Times New Roman" w:hAnsi="Times New Roman"/>
          <w:bCs/>
        </w:rPr>
        <w:t>With direct costs, t</w:t>
      </w:r>
      <w:r w:rsidR="00BE7FD6" w:rsidRPr="00BE7FD6">
        <w:rPr>
          <w:rFonts w:ascii="Times New Roman" w:hAnsi="Times New Roman"/>
          <w:bCs/>
        </w:rPr>
        <w:t xml:space="preserve">his would result in a total annual agency cost of </w:t>
      </w:r>
      <w:r>
        <w:rPr>
          <w:rFonts w:ascii="Times New Roman" w:hAnsi="Times New Roman"/>
          <w:bCs/>
        </w:rPr>
        <w:t>$1,305,568</w:t>
      </w:r>
      <w:r w:rsidR="00BE7FD6" w:rsidRPr="00BE7FD6">
        <w:rPr>
          <w:rFonts w:ascii="Times New Roman" w:hAnsi="Times New Roman"/>
          <w:bCs/>
        </w:rPr>
        <w:t xml:space="preserve">.  </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
          <w:bCs/>
        </w:rPr>
      </w:pPr>
      <w:r w:rsidRPr="005C7CB6">
        <w:rPr>
          <w:rFonts w:ascii="Times New Roman" w:hAnsi="Times New Roman"/>
          <w:b/>
          <w:bCs/>
        </w:rPr>
        <w:t xml:space="preserve">Table </w:t>
      </w:r>
      <w:r w:rsidR="00F54901">
        <w:rPr>
          <w:rFonts w:ascii="Times New Roman" w:hAnsi="Times New Roman"/>
          <w:b/>
          <w:bCs/>
        </w:rPr>
        <w:t>10:</w:t>
      </w:r>
      <w:r w:rsidRPr="005C7CB6">
        <w:rPr>
          <w:rFonts w:ascii="Times New Roman" w:hAnsi="Times New Roman"/>
          <w:b/>
          <w:bCs/>
        </w:rPr>
        <w:t xml:space="preserve"> Total Annual Agency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2860"/>
        <w:gridCol w:w="1820"/>
        <w:gridCol w:w="2080"/>
        <w:gridCol w:w="2600"/>
      </w:tblGrid>
      <w:tr w:rsidR="003B6727" w:rsidRPr="00B81E19" w:rsidTr="007A1B24">
        <w:trPr>
          <w:cantSplit/>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Information Collection</w:t>
            </w:r>
          </w:p>
        </w:tc>
        <w:tc>
          <w:tcPr>
            <w:tcW w:w="126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Responses Per Year</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Annual Burden</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(FTEs)</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Total</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Costs (Labor plus Direct)</w:t>
            </w:r>
          </w:p>
        </w:tc>
      </w:tr>
      <w:tr w:rsidR="003B6727" w:rsidRPr="00B81E19" w:rsidTr="007A1B24">
        <w:trPr>
          <w:cantSplit/>
          <w:trHeight w:val="570"/>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Notice of Arrival</w:t>
            </w:r>
          </w:p>
        </w:tc>
        <w:tc>
          <w:tcPr>
            <w:tcW w:w="1260" w:type="dxa"/>
            <w:vAlign w:val="center"/>
          </w:tcPr>
          <w:p w:rsidR="00A936C2" w:rsidRPr="00B81E19" w:rsidRDefault="002D61B9">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35,</w:t>
            </w:r>
            <w:r w:rsidR="003B6727" w:rsidRPr="00B81E19">
              <w:rPr>
                <w:rFonts w:ascii="Times New Roman" w:hAnsi="Times New Roman"/>
                <w:b/>
                <w:bCs/>
                <w:sz w:val="20"/>
                <w:szCs w:val="20"/>
              </w:rPr>
              <w:t>000</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8.0</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$1,305,568</w:t>
            </w:r>
          </w:p>
        </w:tc>
      </w:tr>
    </w:tbl>
    <w:p w:rsidR="00B56B6B" w:rsidRDefault="00B56B6B" w:rsidP="005F3366">
      <w:pPr>
        <w:tabs>
          <w:tab w:val="left" w:pos="-1440"/>
          <w:tab w:val="left" w:pos="-720"/>
          <w:tab w:val="decimal" w:pos="0"/>
        </w:tabs>
        <w:rPr>
          <w:rFonts w:ascii="Times New Roman" w:hAnsi="Times New Roman"/>
          <w:b/>
          <w:bCs/>
        </w:rPr>
      </w:pPr>
    </w:p>
    <w:p w:rsidR="00B56B6B" w:rsidRDefault="003B6727" w:rsidP="00274718">
      <w:pPr>
        <w:keepNext/>
        <w:widowControl/>
        <w:tabs>
          <w:tab w:val="left" w:pos="-1440"/>
          <w:tab w:val="left" w:pos="-720"/>
          <w:tab w:val="decimal" w:pos="0"/>
        </w:tabs>
        <w:rPr>
          <w:rFonts w:ascii="Times New Roman" w:hAnsi="Times New Roman"/>
          <w:b/>
          <w:bCs/>
        </w:rPr>
      </w:pPr>
      <w:r>
        <w:rPr>
          <w:rFonts w:ascii="Times New Roman" w:hAnsi="Times New Roman"/>
          <w:b/>
          <w:bCs/>
        </w:rPr>
        <w:tab/>
        <w:t>(iii) Bottom Line Burden and Cost</w:t>
      </w:r>
    </w:p>
    <w:p w:rsidR="003B6727" w:rsidRDefault="003B6727" w:rsidP="00274718">
      <w:pPr>
        <w:keepNext/>
        <w:widowControl/>
        <w:tabs>
          <w:tab w:val="left" w:pos="-1440"/>
          <w:tab w:val="left" w:pos="-720"/>
          <w:tab w:val="decimal" w:pos="0"/>
        </w:tabs>
        <w:rPr>
          <w:rFonts w:ascii="Times New Roman" w:hAnsi="Times New Roman"/>
          <w:b/>
          <w:bCs/>
        </w:rPr>
      </w:pPr>
    </w:p>
    <w:p w:rsidR="003B6727" w:rsidRPr="003B6727" w:rsidRDefault="003B6727" w:rsidP="00274718">
      <w:pPr>
        <w:keepNext/>
        <w:widowControl/>
        <w:tabs>
          <w:tab w:val="left" w:pos="-1440"/>
          <w:tab w:val="left" w:pos="-720"/>
          <w:tab w:val="decimal" w:pos="0"/>
        </w:tabs>
        <w:rPr>
          <w:rFonts w:ascii="Times New Roman" w:hAnsi="Times New Roman"/>
          <w:b/>
          <w:bCs/>
        </w:rPr>
      </w:pPr>
      <w:r w:rsidRPr="003B6727">
        <w:rPr>
          <w:rFonts w:ascii="Times New Roman" w:hAnsi="Times New Roman"/>
          <w:b/>
          <w:bCs/>
        </w:rPr>
        <w:t xml:space="preserve">Table </w:t>
      </w:r>
      <w:r w:rsidR="00F54901">
        <w:rPr>
          <w:rFonts w:ascii="Times New Roman" w:hAnsi="Times New Roman"/>
          <w:b/>
          <w:bCs/>
        </w:rPr>
        <w:t>11:</w:t>
      </w:r>
      <w:r w:rsidR="005C7CB6">
        <w:rPr>
          <w:rFonts w:ascii="Times New Roman" w:hAnsi="Times New Roman"/>
          <w:b/>
          <w:bCs/>
        </w:rPr>
        <w:t xml:space="preserve"> </w:t>
      </w:r>
      <w:r w:rsidRPr="003B6727">
        <w:rPr>
          <w:rFonts w:ascii="Times New Roman" w:hAnsi="Times New Roman"/>
          <w:b/>
          <w:bCs/>
        </w:rPr>
        <w:t>Bottom Line Burden Hours and Cost</w:t>
      </w:r>
    </w:p>
    <w:tbl>
      <w:tblPr>
        <w:tblW w:w="0" w:type="auto"/>
        <w:tblInd w:w="145" w:type="dxa"/>
        <w:tblLayout w:type="fixed"/>
        <w:tblCellMar>
          <w:left w:w="145" w:type="dxa"/>
          <w:right w:w="145" w:type="dxa"/>
        </w:tblCellMar>
        <w:tblLook w:val="0000" w:firstRow="0" w:lastRow="0" w:firstColumn="0" w:lastColumn="0" w:noHBand="0" w:noVBand="0"/>
      </w:tblPr>
      <w:tblGrid>
        <w:gridCol w:w="3420"/>
        <w:gridCol w:w="3060"/>
        <w:gridCol w:w="2880"/>
      </w:tblGrid>
      <w:tr w:rsidR="003B6727" w:rsidRPr="003B6727" w:rsidTr="003B6727">
        <w:tc>
          <w:tcPr>
            <w:tcW w:w="3420" w:type="dxa"/>
            <w:vMerge w:val="restart"/>
            <w:tcBorders>
              <w:top w:val="double" w:sz="4" w:space="0" w:color="000000"/>
              <w:left w:val="double" w:sz="4" w:space="0" w:color="000000"/>
              <w:bottom w:val="nil"/>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gridSpan w:val="2"/>
            <w:tcBorders>
              <w:top w:val="double" w:sz="4"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TOTAL</w:t>
            </w:r>
          </w:p>
        </w:tc>
      </w:tr>
      <w:tr w:rsidR="003B6727" w:rsidRPr="003B6727" w:rsidTr="003B6727">
        <w:tc>
          <w:tcPr>
            <w:tcW w:w="3420" w:type="dxa"/>
            <w:vMerge/>
            <w:tcBorders>
              <w:top w:val="nil"/>
              <w:left w:val="double" w:sz="4" w:space="0" w:color="000000"/>
              <w:bottom w:val="single" w:sz="6" w:space="0" w:color="FFFFFF"/>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Hours</w:t>
            </w:r>
            <w:r w:rsidR="003B6727">
              <w:rPr>
                <w:rFonts w:ascii="Times New Roman" w:hAnsi="Times New Roman"/>
                <w:bCs/>
              </w:rPr>
              <w:t>/FTEs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Costs</w:t>
            </w:r>
          </w:p>
        </w:tc>
      </w:tr>
      <w:tr w:rsidR="003B6727" w:rsidRPr="003B6727" w:rsidTr="003B6727">
        <w:tc>
          <w:tcPr>
            <w:tcW w:w="3420" w:type="dxa"/>
            <w:tcBorders>
              <w:top w:val="single" w:sz="6" w:space="0" w:color="000000"/>
              <w:left w:val="double" w:sz="4"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Respondent Burden Estimate</w:t>
            </w: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1</w:t>
            </w:r>
            <w:r w:rsidR="005F40A3">
              <w:rPr>
                <w:rFonts w:ascii="Times New Roman" w:hAnsi="Times New Roman"/>
                <w:bCs/>
              </w:rPr>
              <w:t>5</w:t>
            </w:r>
            <w:r w:rsidR="00C44575">
              <w:rPr>
                <w:rFonts w:ascii="Times New Roman" w:hAnsi="Times New Roman"/>
                <w:bCs/>
              </w:rPr>
              <w:t>,</w:t>
            </w:r>
            <w:r w:rsidR="003B6727">
              <w:rPr>
                <w:rFonts w:ascii="Times New Roman" w:hAnsi="Times New Roman"/>
                <w:bCs/>
              </w:rPr>
              <w:t>0</w:t>
            </w:r>
            <w:r w:rsidR="005F40A3">
              <w:rPr>
                <w:rFonts w:ascii="Times New Roman" w:hAnsi="Times New Roman"/>
                <w:bCs/>
              </w:rPr>
              <w:t>5</w:t>
            </w:r>
            <w:r w:rsidR="003B6727">
              <w:rPr>
                <w:rFonts w:ascii="Times New Roman" w:hAnsi="Times New Roman"/>
                <w:bCs/>
              </w:rPr>
              <w:t>0 Hours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0D0D0E" w:rsidP="00A77C8F">
            <w:pPr>
              <w:keepNext/>
              <w:widowControl/>
              <w:tabs>
                <w:tab w:val="left" w:pos="-1440"/>
                <w:tab w:val="left" w:pos="-720"/>
                <w:tab w:val="decimal" w:pos="0"/>
              </w:tabs>
              <w:rPr>
                <w:rFonts w:ascii="Times New Roman" w:hAnsi="Times New Roman"/>
                <w:bCs/>
              </w:rPr>
            </w:pPr>
            <w:r>
              <w:rPr>
                <w:rFonts w:ascii="Times New Roman" w:hAnsi="Times New Roman"/>
                <w:bCs/>
              </w:rPr>
              <w:t>$</w:t>
            </w:r>
            <w:r w:rsidR="005F40A3">
              <w:rPr>
                <w:rFonts w:ascii="Times New Roman" w:hAnsi="Times New Roman"/>
                <w:bCs/>
              </w:rPr>
              <w:t>8</w:t>
            </w:r>
            <w:r w:rsidR="00DA0C25">
              <w:rPr>
                <w:rFonts w:ascii="Times New Roman" w:hAnsi="Times New Roman"/>
                <w:bCs/>
              </w:rPr>
              <w:t>07,480</w:t>
            </w:r>
          </w:p>
        </w:tc>
      </w:tr>
      <w:tr w:rsidR="003B6727" w:rsidRPr="003B6727" w:rsidTr="003B6727">
        <w:tc>
          <w:tcPr>
            <w:tcW w:w="3420" w:type="dxa"/>
            <w:tcBorders>
              <w:top w:val="single" w:sz="6" w:space="0" w:color="000000"/>
              <w:left w:val="double" w:sz="4"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Agency Burden Estimate</w:t>
            </w:r>
          </w:p>
        </w:tc>
        <w:tc>
          <w:tcPr>
            <w:tcW w:w="3060" w:type="dxa"/>
            <w:tcBorders>
              <w:top w:val="single" w:sz="6" w:space="0" w:color="000000"/>
              <w:left w:val="single" w:sz="6"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 xml:space="preserve"> </w:t>
            </w:r>
            <w:r w:rsidR="003B6727">
              <w:rPr>
                <w:rFonts w:ascii="Times New Roman" w:hAnsi="Times New Roman"/>
                <w:bCs/>
              </w:rPr>
              <w:t>8.0 FTEs</w:t>
            </w:r>
          </w:p>
        </w:tc>
        <w:tc>
          <w:tcPr>
            <w:tcW w:w="2880" w:type="dxa"/>
            <w:tcBorders>
              <w:top w:val="single" w:sz="6" w:space="0" w:color="000000"/>
              <w:left w:val="single" w:sz="6" w:space="0" w:color="000000"/>
              <w:bottom w:val="double" w:sz="4" w:space="0" w:color="000000"/>
              <w:right w:val="double" w:sz="4" w:space="0" w:color="000000"/>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w:t>
            </w:r>
            <w:r w:rsidR="003B6727">
              <w:rPr>
                <w:rFonts w:ascii="Times New Roman" w:hAnsi="Times New Roman"/>
                <w:bCs/>
              </w:rPr>
              <w:t>1,305,568</w:t>
            </w:r>
          </w:p>
        </w:tc>
      </w:tr>
    </w:tbl>
    <w:p w:rsidR="003B6727" w:rsidRPr="005F3366" w:rsidRDefault="003B6727" w:rsidP="005F3366">
      <w:pPr>
        <w:tabs>
          <w:tab w:val="left" w:pos="-1440"/>
          <w:tab w:val="left" w:pos="-720"/>
          <w:tab w:val="decimal" w:pos="0"/>
        </w:tabs>
        <w:rPr>
          <w:rFonts w:ascii="Times New Roman" w:hAnsi="Times New Roman"/>
          <w:b/>
          <w:bCs/>
        </w:rPr>
      </w:pPr>
    </w:p>
    <w:p w:rsidR="00772F14" w:rsidRPr="00C0504A" w:rsidRDefault="00772F14">
      <w:pPr>
        <w:widowControl/>
        <w:tabs>
          <w:tab w:val="left" w:pos="-1440"/>
          <w:tab w:val="left" w:pos="-720"/>
          <w:tab w:val="decimal" w:pos="0"/>
        </w:tabs>
        <w:ind w:left="720"/>
        <w:rPr>
          <w:rFonts w:ascii="Times New Roman" w:hAnsi="Times New Roman"/>
        </w:rPr>
      </w:pPr>
    </w:p>
    <w:p w:rsidR="00772F14" w:rsidRPr="00C0504A" w:rsidRDefault="00BE7FD6" w:rsidP="007F7DB9">
      <w:pPr>
        <w:keepNext/>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6(f) Reasons for Change in Burden</w:t>
      </w:r>
    </w:p>
    <w:p w:rsidR="00772F14" w:rsidRPr="00C0504A" w:rsidRDefault="00772F14" w:rsidP="007F7DB9">
      <w:pPr>
        <w:keepNext/>
        <w:widowControl/>
        <w:tabs>
          <w:tab w:val="left" w:pos="-1440"/>
          <w:tab w:val="left" w:pos="-720"/>
          <w:tab w:val="decimal" w:pos="0"/>
        </w:tabs>
        <w:ind w:firstLine="720"/>
        <w:rPr>
          <w:rFonts w:ascii="Times New Roman" w:hAnsi="Times New Roman"/>
        </w:rPr>
      </w:pPr>
    </w:p>
    <w:p w:rsidR="005F3366" w:rsidRDefault="00302F41" w:rsidP="007F7DB9">
      <w:pPr>
        <w:keepNext/>
        <w:widowControl/>
        <w:tabs>
          <w:tab w:val="left" w:pos="-1440"/>
          <w:tab w:val="left" w:pos="-720"/>
          <w:tab w:val="decimal" w:pos="0"/>
        </w:tabs>
        <w:ind w:firstLine="720"/>
        <w:rPr>
          <w:rFonts w:ascii="Times New Roman" w:hAnsi="Times New Roman"/>
        </w:rPr>
      </w:pPr>
      <w:r>
        <w:rPr>
          <w:rFonts w:ascii="Times New Roman" w:hAnsi="Times New Roman"/>
        </w:rPr>
        <w:t>There is</w:t>
      </w:r>
      <w:r w:rsidR="005F3366" w:rsidRPr="005F3366">
        <w:rPr>
          <w:rFonts w:ascii="Times New Roman" w:hAnsi="Times New Roman"/>
        </w:rPr>
        <w:t xml:space="preserve"> an increase</w:t>
      </w:r>
      <w:r w:rsidR="005F3366">
        <w:rPr>
          <w:rFonts w:ascii="Times New Roman" w:hAnsi="Times New Roman"/>
        </w:rPr>
        <w:t xml:space="preserve"> </w:t>
      </w:r>
      <w:r w:rsidR="005F3366" w:rsidRPr="000D0D0E">
        <w:rPr>
          <w:rFonts w:ascii="Times New Roman" w:hAnsi="Times New Roman"/>
        </w:rPr>
        <w:t xml:space="preserve">of </w:t>
      </w:r>
      <w:r w:rsidR="005F40A3">
        <w:rPr>
          <w:rFonts w:ascii="Times New Roman" w:hAnsi="Times New Roman"/>
        </w:rPr>
        <w:t>7,5</w:t>
      </w:r>
      <w:r w:rsidR="002E097C">
        <w:rPr>
          <w:rFonts w:ascii="Times New Roman" w:hAnsi="Times New Roman"/>
        </w:rPr>
        <w:t>5</w:t>
      </w:r>
      <w:r w:rsidR="00BE7FD6" w:rsidRPr="00BE7FD6">
        <w:rPr>
          <w:rFonts w:ascii="Times New Roman" w:hAnsi="Times New Roman"/>
        </w:rPr>
        <w:t>0</w:t>
      </w:r>
      <w:r w:rsidR="005F3366">
        <w:rPr>
          <w:rFonts w:ascii="Times New Roman" w:hAnsi="Times New Roman"/>
        </w:rPr>
        <w:t xml:space="preserve"> hours </w:t>
      </w:r>
      <w:r w:rsidR="005F3366" w:rsidRPr="005F3366">
        <w:rPr>
          <w:rFonts w:ascii="Times New Roman" w:hAnsi="Times New Roman"/>
        </w:rPr>
        <w:t>in the</w:t>
      </w:r>
      <w:r w:rsidR="005F3366">
        <w:rPr>
          <w:rFonts w:ascii="Times New Roman" w:hAnsi="Times New Roman"/>
        </w:rPr>
        <w:t xml:space="preserve"> total estimated respondent burden compared with th</w:t>
      </w:r>
      <w:r>
        <w:rPr>
          <w:rFonts w:ascii="Times New Roman" w:hAnsi="Times New Roman"/>
        </w:rPr>
        <w:t xml:space="preserve">e currently approved </w:t>
      </w:r>
      <w:r w:rsidR="005F3366">
        <w:rPr>
          <w:rFonts w:ascii="Times New Roman" w:hAnsi="Times New Roman"/>
        </w:rPr>
        <w:t xml:space="preserve">ICR </w:t>
      </w:r>
      <w:r>
        <w:rPr>
          <w:rFonts w:ascii="Times New Roman" w:hAnsi="Times New Roman"/>
        </w:rPr>
        <w:t>burden</w:t>
      </w:r>
      <w:r w:rsidR="005F3366">
        <w:rPr>
          <w:rFonts w:ascii="Times New Roman" w:hAnsi="Times New Roman"/>
        </w:rPr>
        <w:t xml:space="preserve">. </w:t>
      </w:r>
      <w:r w:rsidR="00C2636F">
        <w:rPr>
          <w:rFonts w:ascii="Times New Roman" w:hAnsi="Times New Roman"/>
        </w:rPr>
        <w:t xml:space="preserve"> </w:t>
      </w:r>
      <w:r w:rsidR="005F3366">
        <w:rPr>
          <w:rFonts w:ascii="Times New Roman" w:hAnsi="Times New Roman"/>
        </w:rPr>
        <w:t xml:space="preserve">This increase is a result of an increase in the </w:t>
      </w:r>
      <w:r w:rsidR="005F3366" w:rsidRPr="005F3366">
        <w:rPr>
          <w:rFonts w:ascii="Times New Roman" w:hAnsi="Times New Roman"/>
        </w:rPr>
        <w:t xml:space="preserve">annual number </w:t>
      </w:r>
      <w:r w:rsidR="00C2636F">
        <w:rPr>
          <w:rFonts w:ascii="Times New Roman" w:hAnsi="Times New Roman"/>
        </w:rPr>
        <w:t>o</w:t>
      </w:r>
      <w:r w:rsidR="00535401">
        <w:rPr>
          <w:rFonts w:ascii="Times New Roman" w:hAnsi="Times New Roman"/>
        </w:rPr>
        <w:t>f NOAs submitt</w:t>
      </w:r>
      <w:r w:rsidR="005F3366" w:rsidRPr="005F3366">
        <w:rPr>
          <w:rFonts w:ascii="Times New Roman" w:hAnsi="Times New Roman"/>
        </w:rPr>
        <w:t>ed</w:t>
      </w:r>
      <w:r w:rsidR="00C7726C">
        <w:rPr>
          <w:rFonts w:ascii="Times New Roman" w:hAnsi="Times New Roman"/>
        </w:rPr>
        <w:t xml:space="preserve"> and an</w:t>
      </w:r>
      <w:r w:rsidR="001D569A">
        <w:rPr>
          <w:rFonts w:ascii="Times New Roman" w:hAnsi="Times New Roman"/>
        </w:rPr>
        <w:t xml:space="preserve"> increase in the burden hours per response. </w:t>
      </w:r>
      <w:r w:rsidR="005F3366" w:rsidRPr="005F3366">
        <w:rPr>
          <w:rFonts w:ascii="Times New Roman" w:hAnsi="Times New Roman"/>
        </w:rPr>
        <w:t xml:space="preserve"> </w:t>
      </w:r>
      <w:r w:rsidR="001D569A">
        <w:rPr>
          <w:rFonts w:ascii="Times New Roman" w:hAnsi="Times New Roman"/>
        </w:rPr>
        <w:t xml:space="preserve">The annual number of NOAs submitted to EPA increased </w:t>
      </w:r>
      <w:r w:rsidR="005F3366" w:rsidRPr="005F3366">
        <w:rPr>
          <w:rFonts w:ascii="Times New Roman" w:hAnsi="Times New Roman"/>
        </w:rPr>
        <w:t xml:space="preserve">from 25,000 </w:t>
      </w:r>
      <w:r w:rsidR="007052A3">
        <w:rPr>
          <w:rFonts w:ascii="Times New Roman" w:hAnsi="Times New Roman"/>
        </w:rPr>
        <w:t xml:space="preserve">for the previous ICR renewal </w:t>
      </w:r>
      <w:r w:rsidR="005F3366" w:rsidRPr="005F3366">
        <w:rPr>
          <w:rFonts w:ascii="Times New Roman" w:hAnsi="Times New Roman"/>
        </w:rPr>
        <w:t xml:space="preserve">to </w:t>
      </w:r>
      <w:r w:rsidR="005F40A3">
        <w:rPr>
          <w:rFonts w:ascii="Times New Roman" w:hAnsi="Times New Roman"/>
        </w:rPr>
        <w:t>35</w:t>
      </w:r>
      <w:r w:rsidR="005F3366" w:rsidRPr="005F3366">
        <w:rPr>
          <w:rFonts w:ascii="Times New Roman" w:hAnsi="Times New Roman"/>
        </w:rPr>
        <w:t>,000</w:t>
      </w:r>
      <w:r w:rsidR="007052A3">
        <w:rPr>
          <w:rFonts w:ascii="Times New Roman" w:hAnsi="Times New Roman"/>
        </w:rPr>
        <w:t xml:space="preserve"> for this ICR renewal</w:t>
      </w:r>
      <w:r w:rsidR="005F3366" w:rsidRPr="005F3366">
        <w:rPr>
          <w:rFonts w:ascii="Times New Roman" w:hAnsi="Times New Roman"/>
        </w:rPr>
        <w:t>.</w:t>
      </w:r>
      <w:r w:rsidR="00C7726C">
        <w:rPr>
          <w:rFonts w:ascii="Times New Roman" w:hAnsi="Times New Roman"/>
        </w:rPr>
        <w:t xml:space="preserve"> </w:t>
      </w:r>
      <w:r w:rsidR="005F3366" w:rsidRPr="005F3366">
        <w:rPr>
          <w:rFonts w:ascii="Times New Roman" w:hAnsi="Times New Roman"/>
        </w:rPr>
        <w:t xml:space="preserve"> </w:t>
      </w:r>
      <w:r w:rsidR="00BE7FD6" w:rsidRPr="00BE7FD6">
        <w:rPr>
          <w:rFonts w:ascii="Times New Roman" w:hAnsi="Times New Roman"/>
        </w:rPr>
        <w:t xml:space="preserve">The </w:t>
      </w:r>
      <w:r w:rsidR="007052A3">
        <w:rPr>
          <w:rFonts w:ascii="Times New Roman" w:hAnsi="Times New Roman"/>
        </w:rPr>
        <w:t>average</w:t>
      </w:r>
      <w:r w:rsidR="00BE7FD6" w:rsidRPr="00BE7FD6">
        <w:rPr>
          <w:rFonts w:ascii="Times New Roman" w:hAnsi="Times New Roman"/>
        </w:rPr>
        <w:t xml:space="preserve"> burden hours per response </w:t>
      </w:r>
      <w:r w:rsidR="007052A3">
        <w:rPr>
          <w:rFonts w:ascii="Times New Roman" w:hAnsi="Times New Roman"/>
        </w:rPr>
        <w:t>will</w:t>
      </w:r>
      <w:r w:rsidR="00BE7FD6" w:rsidRPr="00BE7FD6">
        <w:rPr>
          <w:rFonts w:ascii="Times New Roman" w:hAnsi="Times New Roman"/>
        </w:rPr>
        <w:t xml:space="preserve"> change</w:t>
      </w:r>
      <w:r w:rsidR="00C7726C">
        <w:rPr>
          <w:rFonts w:ascii="Times New Roman" w:hAnsi="Times New Roman"/>
        </w:rPr>
        <w:t xml:space="preserve"> from 0.3</w:t>
      </w:r>
      <w:r w:rsidR="00CE255F">
        <w:rPr>
          <w:rFonts w:ascii="Times New Roman" w:hAnsi="Times New Roman"/>
        </w:rPr>
        <w:t>0</w:t>
      </w:r>
      <w:r w:rsidR="00C7726C">
        <w:rPr>
          <w:rFonts w:ascii="Times New Roman" w:hAnsi="Times New Roman"/>
        </w:rPr>
        <w:t xml:space="preserve"> hours for the previous ICR renewal to 0.4</w:t>
      </w:r>
      <w:r w:rsidR="007052A3">
        <w:rPr>
          <w:rFonts w:ascii="Times New Roman" w:hAnsi="Times New Roman"/>
        </w:rPr>
        <w:t>3</w:t>
      </w:r>
      <w:r w:rsidR="00C7726C">
        <w:rPr>
          <w:rFonts w:ascii="Times New Roman" w:hAnsi="Times New Roman"/>
        </w:rPr>
        <w:t xml:space="preserve"> hours</w:t>
      </w:r>
      <w:r w:rsidR="00BE7FD6" w:rsidRPr="00BE7FD6">
        <w:rPr>
          <w:rFonts w:ascii="Times New Roman" w:hAnsi="Times New Roman"/>
        </w:rPr>
        <w:t xml:space="preserve"> for this ICR</w:t>
      </w:r>
      <w:r w:rsidR="005F3366" w:rsidRPr="003001FC">
        <w:rPr>
          <w:rFonts w:ascii="Times New Roman" w:hAnsi="Times New Roman"/>
        </w:rPr>
        <w:t xml:space="preserve"> renewal.</w:t>
      </w:r>
      <w:r w:rsidR="00C7726C">
        <w:rPr>
          <w:rFonts w:ascii="Times New Roman" w:hAnsi="Times New Roman"/>
        </w:rPr>
        <w:t xml:space="preserve"> This change in burden hours per response is a result of</w:t>
      </w:r>
      <w:r w:rsidR="002969FD">
        <w:rPr>
          <w:rFonts w:ascii="Times New Roman" w:hAnsi="Times New Roman"/>
        </w:rPr>
        <w:t xml:space="preserve"> changes to the data items on Form 35</w:t>
      </w:r>
      <w:r w:rsidR="00DA1C5D">
        <w:rPr>
          <w:rFonts w:ascii="Times New Roman" w:hAnsi="Times New Roman"/>
        </w:rPr>
        <w:t>4</w:t>
      </w:r>
      <w:r w:rsidR="002969FD">
        <w:rPr>
          <w:rFonts w:ascii="Times New Roman" w:hAnsi="Times New Roman"/>
        </w:rPr>
        <w:t>0-1, and well as an</w:t>
      </w:r>
      <w:r w:rsidR="00C7726C">
        <w:rPr>
          <w:rFonts w:ascii="Times New Roman" w:hAnsi="Times New Roman"/>
        </w:rPr>
        <w:t xml:space="preserve"> accounting </w:t>
      </w:r>
      <w:r w:rsidR="001565DD">
        <w:rPr>
          <w:rFonts w:ascii="Times New Roman" w:hAnsi="Times New Roman"/>
        </w:rPr>
        <w:t>of</w:t>
      </w:r>
      <w:r w:rsidR="00C7726C">
        <w:rPr>
          <w:rFonts w:ascii="Times New Roman" w:hAnsi="Times New Roman"/>
        </w:rPr>
        <w:t xml:space="preserve"> the burden of submitting</w:t>
      </w:r>
      <w:r w:rsidR="001565DD">
        <w:rPr>
          <w:rFonts w:ascii="Times New Roman" w:hAnsi="Times New Roman"/>
        </w:rPr>
        <w:t xml:space="preserve"> certain information</w:t>
      </w:r>
      <w:r w:rsidR="00AA3D8D">
        <w:rPr>
          <w:rFonts w:ascii="Times New Roman" w:hAnsi="Times New Roman"/>
        </w:rPr>
        <w:t xml:space="preserve"> voluntarily or as part of current practice</w:t>
      </w:r>
      <w:r w:rsidR="002969FD">
        <w:rPr>
          <w:rFonts w:ascii="Times New Roman" w:hAnsi="Times New Roman"/>
        </w:rPr>
        <w:t xml:space="preserve">. </w:t>
      </w:r>
      <w:r w:rsidR="00C7726C">
        <w:rPr>
          <w:rFonts w:ascii="Times New Roman" w:hAnsi="Times New Roman"/>
        </w:rPr>
        <w:t xml:space="preserve"> </w:t>
      </w:r>
      <w:r w:rsidR="007052A3">
        <w:rPr>
          <w:rFonts w:ascii="Times New Roman" w:hAnsi="Times New Roman"/>
        </w:rPr>
        <w:t xml:space="preserve">Specifically, this burden estimate accounts for the new burdens related to providing </w:t>
      </w:r>
      <w:r w:rsidR="00F54901">
        <w:rPr>
          <w:rFonts w:ascii="Times New Roman" w:hAnsi="Times New Roman"/>
        </w:rPr>
        <w:t>a copy of the</w:t>
      </w:r>
      <w:r w:rsidR="00FC1559">
        <w:rPr>
          <w:rFonts w:ascii="Times New Roman" w:hAnsi="Times New Roman"/>
        </w:rPr>
        <w:t xml:space="preserve"> </w:t>
      </w:r>
      <w:r w:rsidR="00F54901">
        <w:rPr>
          <w:rFonts w:ascii="Times New Roman" w:hAnsi="Times New Roman"/>
        </w:rPr>
        <w:t xml:space="preserve">label as well as complete contact information, including a </w:t>
      </w:r>
      <w:r w:rsidR="002969FD">
        <w:rPr>
          <w:rFonts w:ascii="Times New Roman" w:hAnsi="Times New Roman"/>
        </w:rPr>
        <w:t>telephone number and email addresses</w:t>
      </w:r>
      <w:r w:rsidR="00F54901">
        <w:rPr>
          <w:rFonts w:ascii="Times New Roman" w:hAnsi="Times New Roman"/>
        </w:rPr>
        <w:t>, for the</w:t>
      </w:r>
      <w:r w:rsidR="002969FD">
        <w:rPr>
          <w:rFonts w:ascii="Times New Roman" w:hAnsi="Times New Roman"/>
        </w:rPr>
        <w:t xml:space="preserve"> shipper, importer of record, licensed broker,</w:t>
      </w:r>
      <w:r w:rsidR="00C2636F">
        <w:rPr>
          <w:rFonts w:ascii="Times New Roman" w:hAnsi="Times New Roman"/>
        </w:rPr>
        <w:t xml:space="preserve"> </w:t>
      </w:r>
      <w:r w:rsidR="00F54901">
        <w:rPr>
          <w:rFonts w:ascii="Times New Roman" w:hAnsi="Times New Roman"/>
        </w:rPr>
        <w:t xml:space="preserve">carrier </w:t>
      </w:r>
      <w:r w:rsidR="002969FD">
        <w:rPr>
          <w:rFonts w:ascii="Times New Roman" w:hAnsi="Times New Roman"/>
        </w:rPr>
        <w:t>and ultimate consignee when supplying name and address information</w:t>
      </w:r>
      <w:r w:rsidR="00F54901">
        <w:rPr>
          <w:rFonts w:ascii="Times New Roman" w:hAnsi="Times New Roman"/>
        </w:rPr>
        <w:t xml:space="preserve">. </w:t>
      </w:r>
      <w:r w:rsidR="007052A3">
        <w:rPr>
          <w:rFonts w:ascii="Times New Roman" w:hAnsi="Times New Roman"/>
        </w:rPr>
        <w:t xml:space="preserve">In addition, </w:t>
      </w:r>
      <w:r w:rsidR="003A189D">
        <w:rPr>
          <w:rFonts w:ascii="Times New Roman" w:hAnsi="Times New Roman"/>
        </w:rPr>
        <w:t>EPA is accounting for the</w:t>
      </w:r>
      <w:r w:rsidR="002969FD">
        <w:rPr>
          <w:rFonts w:ascii="Times New Roman" w:hAnsi="Times New Roman"/>
        </w:rPr>
        <w:t xml:space="preserve"> burden of voluntarily providing s</w:t>
      </w:r>
      <w:r w:rsidR="00C7726C">
        <w:rPr>
          <w:rFonts w:ascii="Times New Roman" w:hAnsi="Times New Roman"/>
        </w:rPr>
        <w:t>upporting documentation</w:t>
      </w:r>
      <w:r w:rsidR="003A189D">
        <w:rPr>
          <w:rFonts w:ascii="Times New Roman" w:hAnsi="Times New Roman"/>
        </w:rPr>
        <w:t xml:space="preserve"> </w:t>
      </w:r>
      <w:r w:rsidR="001565DD">
        <w:rPr>
          <w:rFonts w:ascii="Times New Roman" w:hAnsi="Times New Roman"/>
        </w:rPr>
        <w:t>for registered and unregistered pesticides,</w:t>
      </w:r>
      <w:r w:rsidR="00F92041">
        <w:rPr>
          <w:rFonts w:ascii="Times New Roman" w:hAnsi="Times New Roman"/>
        </w:rPr>
        <w:t xml:space="preserve"> active ingredients and percentage of each for registered pesticides,</w:t>
      </w:r>
      <w:r w:rsidR="001565DD">
        <w:rPr>
          <w:rFonts w:ascii="Times New Roman" w:hAnsi="Times New Roman"/>
        </w:rPr>
        <w:t xml:space="preserve"> as well as intended use information for unregistered pesticides</w:t>
      </w:r>
      <w:r w:rsidR="002969FD">
        <w:rPr>
          <w:rFonts w:ascii="Times New Roman" w:hAnsi="Times New Roman"/>
        </w:rPr>
        <w:t>.</w:t>
      </w:r>
      <w:r w:rsidR="00C7726C">
        <w:rPr>
          <w:rFonts w:ascii="Times New Roman" w:hAnsi="Times New Roman"/>
        </w:rPr>
        <w:t xml:space="preserve"> </w:t>
      </w:r>
      <w:r w:rsidR="005F3366" w:rsidRPr="003001FC">
        <w:rPr>
          <w:rFonts w:ascii="Times New Roman" w:hAnsi="Times New Roman"/>
        </w:rPr>
        <w:t xml:space="preserve">The annual burden increase represents an adjustment. </w:t>
      </w:r>
    </w:p>
    <w:p w:rsidR="005F3366" w:rsidRPr="00C0504A" w:rsidRDefault="005F3366" w:rsidP="005F3366">
      <w:pPr>
        <w:widowControl/>
        <w:tabs>
          <w:tab w:val="left" w:pos="-1440"/>
          <w:tab w:val="left" w:pos="-720"/>
          <w:tab w:val="decimal" w:pos="0"/>
        </w:tabs>
        <w:ind w:firstLine="720"/>
        <w:rPr>
          <w:rFonts w:ascii="Times New Roman" w:hAnsi="Times New Roman"/>
          <w:b/>
          <w:bCs/>
        </w:rPr>
      </w:pPr>
    </w:p>
    <w:p w:rsidR="007060E2" w:rsidRPr="00C0504A" w:rsidRDefault="001D569A" w:rsidP="005F3366">
      <w:pPr>
        <w:widowControl/>
        <w:tabs>
          <w:tab w:val="left" w:pos="-1440"/>
          <w:tab w:val="left" w:pos="-720"/>
          <w:tab w:val="decimal" w:pos="0"/>
        </w:tabs>
        <w:ind w:firstLine="720"/>
        <w:rPr>
          <w:rFonts w:ascii="Times New Roman" w:hAnsi="Times New Roman"/>
        </w:rPr>
      </w:pPr>
      <w:r w:rsidRPr="005F3366">
        <w:rPr>
          <w:rFonts w:ascii="Times New Roman" w:hAnsi="Times New Roman"/>
        </w:rPr>
        <w:t>Labor costs for respondents and the Agency increased as a result of changes in the wage rates made to: a) reflect current wage rates and b) to make the methodology for calculating wage rates consistent with other OPP ICRs.  The new wage estimates incorporated higher estimates for benefits and overhead than were used in the past.</w:t>
      </w:r>
    </w:p>
    <w:p w:rsidR="00772F14" w:rsidRPr="00C0504A" w:rsidRDefault="00772F14">
      <w:pPr>
        <w:widowControl/>
        <w:tabs>
          <w:tab w:val="left" w:pos="-1440"/>
          <w:tab w:val="left" w:pos="-720"/>
          <w:tab w:val="decimal" w:pos="0"/>
        </w:tabs>
        <w:ind w:firstLine="720"/>
        <w:rPr>
          <w:rFonts w:ascii="Times New Roman" w:hAnsi="Times New Roman"/>
          <w:b/>
          <w:bCs/>
        </w:rPr>
      </w:pPr>
    </w:p>
    <w:p w:rsidR="00772F14" w:rsidRPr="00C0504A" w:rsidRDefault="00BE7FD6">
      <w:pPr>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6(g) Burden Statement</w:t>
      </w:r>
    </w:p>
    <w:p w:rsidR="00772F14" w:rsidRPr="00C0504A" w:rsidRDefault="00772F14">
      <w:pPr>
        <w:widowControl/>
        <w:tabs>
          <w:tab w:val="left" w:pos="-1440"/>
          <w:tab w:val="left" w:pos="-720"/>
          <w:tab w:val="decimal" w:pos="0"/>
        </w:tabs>
        <w:ind w:firstLine="720"/>
        <w:rPr>
          <w:rFonts w:ascii="Times New Roman" w:hAnsi="Times New Roman"/>
        </w:rPr>
      </w:pPr>
    </w:p>
    <w:p w:rsidR="00955A62"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The total annual public respondent burden for this collection of information is estimated to be 1</w:t>
      </w:r>
      <w:r w:rsidR="005F40A3">
        <w:rPr>
          <w:rFonts w:ascii="Times New Roman" w:hAnsi="Times New Roman"/>
        </w:rPr>
        <w:t>5</w:t>
      </w:r>
      <w:r w:rsidR="00D348BA">
        <w:rPr>
          <w:rFonts w:ascii="Times New Roman" w:hAnsi="Times New Roman"/>
        </w:rPr>
        <w:t>,</w:t>
      </w:r>
      <w:r w:rsidRPr="00BE7FD6">
        <w:rPr>
          <w:rFonts w:ascii="Times New Roman" w:hAnsi="Times New Roman"/>
        </w:rPr>
        <w:t>0</w:t>
      </w:r>
      <w:r w:rsidR="005F40A3">
        <w:rPr>
          <w:rFonts w:ascii="Times New Roman" w:hAnsi="Times New Roman"/>
        </w:rPr>
        <w:t>5</w:t>
      </w:r>
      <w:r w:rsidRPr="00BE7FD6">
        <w:rPr>
          <w:rFonts w:ascii="Times New Roman" w:hAnsi="Times New Roman"/>
        </w:rPr>
        <w:t>0 hours. The annual respondent burden for the collection of information associated with the submission o</w:t>
      </w:r>
      <w:r w:rsidR="003A189D">
        <w:rPr>
          <w:rFonts w:ascii="Times New Roman" w:hAnsi="Times New Roman"/>
        </w:rPr>
        <w:t>f EPA Form 35</w:t>
      </w:r>
      <w:r w:rsidR="00DA1C5D">
        <w:rPr>
          <w:rFonts w:ascii="Times New Roman" w:hAnsi="Times New Roman"/>
        </w:rPr>
        <w:t>4</w:t>
      </w:r>
      <w:r w:rsidR="003A189D">
        <w:rPr>
          <w:rFonts w:ascii="Times New Roman" w:hAnsi="Times New Roman"/>
        </w:rPr>
        <w:t>0-1</w:t>
      </w:r>
      <w:r w:rsidRPr="00BE7FD6">
        <w:rPr>
          <w:rFonts w:ascii="Times New Roman" w:hAnsi="Times New Roman"/>
        </w:rPr>
        <w:t xml:space="preserve"> is, on average, 0.4</w:t>
      </w:r>
      <w:r w:rsidR="00D348BA">
        <w:rPr>
          <w:rFonts w:ascii="Times New Roman" w:hAnsi="Times New Roman"/>
        </w:rPr>
        <w:t>3</w:t>
      </w:r>
      <w:r w:rsidRPr="00BE7FD6">
        <w:rPr>
          <w:rFonts w:ascii="Times New Roman" w:hAnsi="Times New Roman"/>
        </w:rPr>
        <w:t xml:space="preserve"> hours per submission.</w:t>
      </w:r>
      <w:r w:rsidR="0061014F" w:rsidRPr="0061014F">
        <w:rPr>
          <w:rFonts w:ascii="Times New Roman" w:hAnsi="Times New Roman"/>
          <w:lang w:eastAsia="ko-KR"/>
        </w:rPr>
        <w:t xml:space="preserve"> </w:t>
      </w:r>
      <w:r w:rsidR="0061014F" w:rsidRPr="0061014F">
        <w:rPr>
          <w:rFonts w:ascii="Times New Roman" w:hAnsi="Times New Roman"/>
        </w:rPr>
        <w:t>This estimate includes the time for reviewing instructions, maintaining the data needed, and completing and reviewing the collection of information.  The Agency may not conduct or sponsor, and a person is not required to respond to, a collection of information unless it displays a currently valid OMB control number.</w:t>
      </w:r>
      <w:r w:rsidR="0061014F">
        <w:rPr>
          <w:rFonts w:ascii="Times New Roman" w:hAnsi="Times New Roman"/>
        </w:rPr>
        <w:t xml:space="preserve"> </w:t>
      </w:r>
    </w:p>
    <w:p w:rsidR="00772F14"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 xml:space="preserve"> </w:t>
      </w: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The Agency has established a public docket for this ICR under Docket ID No. EPA-HQ-</w:t>
      </w:r>
      <w:r w:rsidR="00BE7FD6" w:rsidRPr="00BE7FD6">
        <w:rPr>
          <w:rFonts w:ascii="Times New Roman" w:hAnsi="Times New Roman" w:cs="Times New Roman"/>
          <w:sz w:val="24"/>
          <w:szCs w:val="24"/>
        </w:rPr>
        <w:t>OPP-20</w:t>
      </w:r>
      <w:r w:rsidR="0061014F" w:rsidRPr="0061014F">
        <w:rPr>
          <w:rFonts w:ascii="Times New Roman" w:hAnsi="Times New Roman" w:cs="Times New Roman"/>
          <w:sz w:val="24"/>
          <w:szCs w:val="24"/>
        </w:rPr>
        <w:t>11-0843</w:t>
      </w:r>
      <w:r w:rsidRPr="0061014F">
        <w:rPr>
          <w:rFonts w:ascii="Times New Roman" w:hAnsi="Times New Roman" w:cs="Times New Roman"/>
          <w:sz w:val="24"/>
          <w:szCs w:val="24"/>
        </w:rPr>
        <w:t>,</w:t>
      </w:r>
      <w:r>
        <w:rPr>
          <w:rFonts w:ascii="Times New Roman" w:hAnsi="Times New Roman" w:cs="Times New Roman"/>
          <w:sz w:val="24"/>
          <w:szCs w:val="24"/>
        </w:rPr>
        <w:t xml:space="preserve"> which is available for online viewing at www.regulations.gov, or in person viewing at the OPP Docket in </w:t>
      </w:r>
      <w:r w:rsidR="005E0835">
        <w:rPr>
          <w:rFonts w:ascii="Times New Roman" w:hAnsi="Times New Roman" w:cs="Times New Roman"/>
          <w:sz w:val="24"/>
          <w:szCs w:val="24"/>
        </w:rPr>
        <w:t xml:space="preserve">the EPA Docket Center, EPA West, </w:t>
      </w:r>
      <w:r>
        <w:rPr>
          <w:rFonts w:ascii="Times New Roman" w:hAnsi="Times New Roman" w:cs="Times New Roman"/>
          <w:sz w:val="24"/>
          <w:szCs w:val="24"/>
        </w:rPr>
        <w:t xml:space="preserve">Rm. </w:t>
      </w:r>
      <w:r w:rsidR="005E0835">
        <w:rPr>
          <w:rFonts w:ascii="Times New Roman" w:hAnsi="Times New Roman" w:cs="Times New Roman"/>
          <w:sz w:val="24"/>
          <w:szCs w:val="24"/>
        </w:rPr>
        <w:t>3334, 1200 Pennsylvania Ave, NW, Washington DC</w:t>
      </w:r>
      <w:r>
        <w:rPr>
          <w:rFonts w:ascii="Times New Roman" w:hAnsi="Times New Roman" w:cs="Times New Roman"/>
          <w:sz w:val="24"/>
          <w:szCs w:val="24"/>
        </w:rPr>
        <w:t>.  This docket facility is open from 8:30 a.m. to 4</w:t>
      </w:r>
      <w:r w:rsidR="005E0835">
        <w:rPr>
          <w:rFonts w:ascii="Times New Roman" w:hAnsi="Times New Roman" w:cs="Times New Roman"/>
          <w:sz w:val="24"/>
          <w:szCs w:val="24"/>
        </w:rPr>
        <w:t xml:space="preserve">:30 </w:t>
      </w:r>
      <w:r>
        <w:rPr>
          <w:rFonts w:ascii="Times New Roman" w:hAnsi="Times New Roman" w:cs="Times New Roman"/>
          <w:sz w:val="24"/>
          <w:szCs w:val="24"/>
        </w:rPr>
        <w:t xml:space="preserve">p.m., Monday through Friday, excluding legal holidays.  The </w:t>
      </w:r>
      <w:r w:rsidR="005E0835">
        <w:rPr>
          <w:rFonts w:ascii="Times New Roman" w:hAnsi="Times New Roman" w:cs="Times New Roman"/>
          <w:sz w:val="24"/>
          <w:szCs w:val="24"/>
        </w:rPr>
        <w:t>OPP D</w:t>
      </w:r>
      <w:r>
        <w:rPr>
          <w:rFonts w:ascii="Times New Roman" w:hAnsi="Times New Roman" w:cs="Times New Roman"/>
          <w:sz w:val="24"/>
          <w:szCs w:val="24"/>
        </w:rPr>
        <w:t xml:space="preserve">ocket telephone number is (703) 305-5805.  </w:t>
      </w:r>
    </w:p>
    <w:p w:rsidR="009773A4" w:rsidRPr="00C0504A" w:rsidRDefault="009773A4" w:rsidP="009773A4">
      <w:pPr>
        <w:pStyle w:val="PlainText"/>
        <w:ind w:firstLine="720"/>
        <w:rPr>
          <w:rFonts w:ascii="Times New Roman" w:hAnsi="Times New Roman" w:cs="Times New Roman"/>
          <w:sz w:val="24"/>
          <w:szCs w:val="24"/>
        </w:rPr>
      </w:pP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You may submit comments regarding the Agency's need for this information, the accuracy of the provided burden estimates and any suggested methods for minimizing respondent burden, including the use of automated collection techniques. </w:t>
      </w:r>
      <w:r w:rsidR="00BE7FD6" w:rsidRPr="00BE7FD6">
        <w:rPr>
          <w:rFonts w:ascii="Times New Roman" w:hAnsi="Times New Roman"/>
          <w:sz w:val="24"/>
          <w:szCs w:val="24"/>
        </w:rPr>
        <w:t>Submit your comments, referencing Docket ID No. EPA-HQ-OPP-2011-0843</w:t>
      </w:r>
      <w:r w:rsidR="00BE7FD6" w:rsidRPr="00BE7FD6">
        <w:rPr>
          <w:rFonts w:ascii="Times New Roman" w:hAnsi="Times New Roman"/>
          <w:b/>
          <w:sz w:val="24"/>
          <w:szCs w:val="24"/>
        </w:rPr>
        <w:t xml:space="preserve"> </w:t>
      </w:r>
      <w:r w:rsidR="00BE7FD6" w:rsidRPr="00BE7FD6">
        <w:rPr>
          <w:rFonts w:ascii="Times New Roman" w:hAnsi="Times New Roman"/>
          <w:sz w:val="24"/>
          <w:szCs w:val="24"/>
        </w:rPr>
        <w:t>and OMB Control No. 2070-002</w:t>
      </w:r>
      <w:r w:rsidR="005332E0">
        <w:rPr>
          <w:rFonts w:ascii="Times New Roman" w:hAnsi="Times New Roman"/>
          <w:sz w:val="24"/>
          <w:szCs w:val="24"/>
        </w:rPr>
        <w:t>0</w:t>
      </w:r>
      <w:r w:rsidR="00BE7FD6" w:rsidRPr="00BE7FD6">
        <w:rPr>
          <w:rFonts w:ascii="Times New Roman" w:hAnsi="Times New Roman"/>
          <w:sz w:val="24"/>
          <w:szCs w:val="24"/>
        </w:rPr>
        <w:t xml:space="preserve">, to (1) EPA online using www.regulations.gov (our preferred method), or by mail to: </w:t>
      </w:r>
      <w:r w:rsidR="005C380E" w:rsidRPr="005C380E">
        <w:rPr>
          <w:rFonts w:ascii="Times New Roman" w:hAnsi="Times New Roman"/>
          <w:sz w:val="24"/>
          <w:szCs w:val="24"/>
        </w:rPr>
        <w:t>OPP Docket, Environmental Protection Agency Docket Center (EPA/DC), Mailcode: 28221T, 1200 Pennsylvania Ave., NW., Washington, DC 20460</w:t>
      </w:r>
      <w:r w:rsidR="005C380E">
        <w:rPr>
          <w:rFonts w:ascii="Times New Roman" w:hAnsi="Times New Roman"/>
          <w:sz w:val="24"/>
          <w:szCs w:val="24"/>
        </w:rPr>
        <w:t xml:space="preserve">, </w:t>
      </w:r>
      <w:r w:rsidR="00BE7FD6" w:rsidRPr="00BE7FD6">
        <w:rPr>
          <w:rFonts w:ascii="Times New Roman" w:hAnsi="Times New Roman"/>
          <w:sz w:val="24"/>
          <w:szCs w:val="24"/>
        </w:rPr>
        <w:t>and (2) OMB by mail to: Office of Information and Regulatory Affairs, Office of Management and Budget (OMB), Attention: Desk Officer for EPA, 725 17th Street, NW, Washington, DC 20503.</w:t>
      </w:r>
    </w:p>
    <w:p w:rsidR="00F53E3C" w:rsidRDefault="00BE7FD6" w:rsidP="00F53E3C">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7F21CF" w:rsidRDefault="007F21CF">
      <w:pPr>
        <w:widowControl/>
        <w:tabs>
          <w:tab w:val="left" w:pos="-1440"/>
          <w:tab w:val="left" w:pos="-720"/>
          <w:tab w:val="decimal" w:pos="0"/>
        </w:tabs>
        <w:ind w:left="720"/>
        <w:rPr>
          <w:rFonts w:ascii="Times New Roman" w:hAnsi="Times New Roman"/>
          <w:color w:val="000000"/>
        </w:rPr>
      </w:pPr>
    </w:p>
    <w:p w:rsidR="00772F14" w:rsidRPr="00C0504A" w:rsidRDefault="00BE7FD6">
      <w:pPr>
        <w:widowControl/>
        <w:tabs>
          <w:tab w:val="left" w:pos="-1440"/>
          <w:tab w:val="left" w:pos="-720"/>
          <w:tab w:val="decimal" w:pos="0"/>
        </w:tabs>
        <w:ind w:left="720"/>
        <w:rPr>
          <w:rFonts w:ascii="Times New Roman" w:hAnsi="Times New Roman"/>
          <w:color w:val="000000"/>
        </w:rPr>
      </w:pPr>
      <w:r w:rsidRPr="00BE7FD6">
        <w:rPr>
          <w:rFonts w:ascii="Times New Roman" w:hAnsi="Times New Roman"/>
          <w:color w:val="000000"/>
        </w:rPr>
        <w:t xml:space="preserve">                   </w:t>
      </w:r>
    </w:p>
    <w:p w:rsidR="00772F14" w:rsidRPr="00C0504A" w:rsidRDefault="00BE7FD6">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0C60AF" w:rsidRDefault="007F21CF">
      <w:pPr>
        <w:widowControl/>
        <w:autoSpaceDE/>
        <w:autoSpaceDN/>
        <w:adjustRightInd/>
        <w:jc w:val="center"/>
        <w:rPr>
          <w:rFonts w:ascii="Times New Roman" w:hAnsi="Times New Roman"/>
          <w:b/>
          <w:color w:val="000000"/>
        </w:rPr>
      </w:pPr>
      <w:r>
        <w:rPr>
          <w:rFonts w:ascii="Times New Roman" w:hAnsi="Times New Roman"/>
          <w:b/>
          <w:color w:val="000000"/>
        </w:rPr>
        <w:br w:type="page"/>
      </w:r>
      <w:r w:rsidRPr="007F21CF">
        <w:rPr>
          <w:rFonts w:ascii="Times New Roman" w:hAnsi="Times New Roman"/>
          <w:b/>
          <w:color w:val="000000"/>
        </w:rPr>
        <w:t>ATTACHMENTS TO THE SUPPORTING STATEMENT</w:t>
      </w:r>
    </w:p>
    <w:p w:rsidR="007F21CF" w:rsidRPr="007F21CF" w:rsidRDefault="007F21CF" w:rsidP="007F21CF">
      <w:pPr>
        <w:widowControl/>
        <w:tabs>
          <w:tab w:val="left" w:pos="-1440"/>
          <w:tab w:val="left" w:pos="-720"/>
          <w:tab w:val="decimal" w:pos="0"/>
        </w:tabs>
        <w:rPr>
          <w:rFonts w:ascii="Times New Roman" w:hAnsi="Times New Roman"/>
          <w:b/>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r w:rsidRPr="007F21CF">
        <w:rPr>
          <w:rFonts w:ascii="Times New Roman" w:hAnsi="Times New Roman"/>
          <w:color w:val="000000"/>
        </w:rPr>
        <w:t xml:space="preserve">Attachments to the supporting statement are available in the public docket established for this ICR under docket identification number </w:t>
      </w:r>
      <w:r w:rsidRPr="007F21CF">
        <w:rPr>
          <w:rFonts w:ascii="Times New Roman" w:hAnsi="Times New Roman"/>
          <w:b/>
          <w:color w:val="000000"/>
        </w:rPr>
        <w:t>EPA-HQ-OPP-2011-0</w:t>
      </w:r>
      <w:r>
        <w:rPr>
          <w:rFonts w:ascii="Times New Roman" w:hAnsi="Times New Roman"/>
          <w:b/>
          <w:color w:val="000000"/>
        </w:rPr>
        <w:t>843</w:t>
      </w:r>
      <w:r w:rsidRPr="007F21CF">
        <w:rPr>
          <w:rFonts w:ascii="Times New Roman" w:hAnsi="Times New Roman"/>
          <w:color w:val="000000"/>
        </w:rPr>
        <w:t xml:space="preserve">.  These attachments are available for online viewing at </w:t>
      </w:r>
      <w:hyperlink r:id="rId10" w:history="1">
        <w:r w:rsidRPr="007F21CF">
          <w:rPr>
            <w:rStyle w:val="Hyperlink"/>
            <w:rFonts w:ascii="Times New Roman" w:hAnsi="Times New Roman"/>
          </w:rPr>
          <w:t>www.regulations.gov</w:t>
        </w:r>
      </w:hyperlink>
      <w:r w:rsidRPr="007F21CF">
        <w:rPr>
          <w:rFonts w:ascii="Times New Roman" w:hAnsi="Times New Roman"/>
          <w:color w:val="000000"/>
        </w:rPr>
        <w:t xml:space="preserve"> or otherwise accessed as described in section 6(f) of the supporting statement.</w:t>
      </w:r>
    </w:p>
    <w:p w:rsidR="007F21CF" w:rsidRPr="007F21CF" w:rsidRDefault="007F21CF" w:rsidP="007F21CF">
      <w:pPr>
        <w:widowControl/>
        <w:tabs>
          <w:tab w:val="left" w:pos="-1440"/>
          <w:tab w:val="left" w:pos="-720"/>
          <w:tab w:val="decimal" w:pos="0"/>
        </w:tabs>
        <w:rPr>
          <w:rFonts w:ascii="Times New Roman" w:hAnsi="Times New Roman"/>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p>
    <w:tbl>
      <w:tblPr>
        <w:tblW w:w="0" w:type="auto"/>
        <w:tblLook w:val="01E0" w:firstRow="1" w:lastRow="1" w:firstColumn="1" w:lastColumn="1" w:noHBand="0" w:noVBand="0"/>
      </w:tblPr>
      <w:tblGrid>
        <w:gridCol w:w="2088"/>
        <w:gridCol w:w="7488"/>
      </w:tblGrid>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A:</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color w:val="000000"/>
              </w:rPr>
            </w:pPr>
            <w:r w:rsidRPr="007F21CF">
              <w:rPr>
                <w:rFonts w:ascii="Times New Roman" w:hAnsi="Times New Roman"/>
                <w:b/>
                <w:color w:val="000000"/>
              </w:rPr>
              <w:t xml:space="preserve">7 U.S.C. 136o - Section 17 of the </w:t>
            </w:r>
            <w:r w:rsidRPr="007F21CF">
              <w:rPr>
                <w:rFonts w:ascii="Times New Roman" w:hAnsi="Times New Roman"/>
                <w:b/>
                <w:bCs/>
                <w:color w:val="000000"/>
              </w:rPr>
              <w:t>Federal Insecticide, Fungicide, and Rodenticide Act</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US House of Representatives’ </w:t>
            </w:r>
            <w:hyperlink r:id="rId11" w:history="1">
              <w:r w:rsidRPr="007F21CF">
                <w:rPr>
                  <w:rStyle w:val="Hyperlink"/>
                  <w:rFonts w:ascii="Times New Roman" w:hAnsi="Times New Roman"/>
                </w:rPr>
                <w:t>US Code website</w:t>
              </w:r>
            </w:hyperlink>
            <w:r w:rsidRPr="007F21CF">
              <w:rPr>
                <w:rFonts w:ascii="Times New Roman" w:hAnsi="Times New Roman"/>
                <w:color w:val="000000"/>
              </w:rPr>
              <w:t xml:space="preserve"> </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B:</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Pr>
                <w:rFonts w:ascii="Times New Roman" w:hAnsi="Times New Roman"/>
                <w:b/>
                <w:color w:val="000000"/>
              </w:rPr>
              <w:t>19</w:t>
            </w:r>
            <w:r w:rsidRPr="007F21CF">
              <w:rPr>
                <w:rFonts w:ascii="Times New Roman" w:hAnsi="Times New Roman"/>
                <w:b/>
                <w:color w:val="000000"/>
              </w:rPr>
              <w:t xml:space="preserve"> CFR </w:t>
            </w:r>
            <w:r w:rsidRPr="007F21CF">
              <w:rPr>
                <w:rFonts w:ascii="Times New Roman" w:hAnsi="Times New Roman"/>
                <w:b/>
                <w:bCs/>
                <w:color w:val="000000"/>
              </w:rPr>
              <w:t>1</w:t>
            </w:r>
            <w:r w:rsidR="005332E0">
              <w:rPr>
                <w:rFonts w:ascii="Times New Roman" w:hAnsi="Times New Roman"/>
                <w:b/>
                <w:bCs/>
                <w:color w:val="000000"/>
              </w:rPr>
              <w:t>2.110-117.</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National Archives and Records Administration’s </w:t>
            </w:r>
            <w:hyperlink r:id="rId12" w:anchor="19:1.0.1.1.7.0.220" w:history="1">
              <w:r w:rsidRPr="007F21CF">
                <w:rPr>
                  <w:rStyle w:val="Hyperlink"/>
                  <w:rFonts w:ascii="Times New Roman" w:hAnsi="Times New Roman"/>
                </w:rPr>
                <w:t>Electronic CFR Website</w:t>
              </w:r>
            </w:hyperlink>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145A97"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 xml:space="preserve">Attachment </w:t>
            </w:r>
            <w:r w:rsidR="000A0891">
              <w:rPr>
                <w:rFonts w:ascii="Times New Roman" w:hAnsi="Times New Roman"/>
                <w:b/>
                <w:bCs/>
                <w:color w:val="000000"/>
              </w:rPr>
              <w:t>C</w:t>
            </w:r>
            <w:r w:rsidRPr="007F21CF">
              <w:rPr>
                <w:rFonts w:ascii="Times New Roman" w:hAnsi="Times New Roman"/>
                <w:color w:val="000000"/>
              </w:rPr>
              <w:t>:</w:t>
            </w:r>
          </w:p>
        </w:tc>
        <w:tc>
          <w:tcPr>
            <w:tcW w:w="7488" w:type="dxa"/>
          </w:tcPr>
          <w:p w:rsidR="007F21CF" w:rsidRPr="007F21CF" w:rsidRDefault="00145A97" w:rsidP="00145A97">
            <w:pPr>
              <w:widowControl/>
              <w:tabs>
                <w:tab w:val="left" w:pos="-1440"/>
                <w:tab w:val="left" w:pos="-720"/>
                <w:tab w:val="decimal" w:pos="0"/>
              </w:tabs>
              <w:rPr>
                <w:rFonts w:ascii="Times New Roman" w:hAnsi="Times New Roman"/>
                <w:b/>
                <w:bCs/>
                <w:color w:val="000000"/>
              </w:rPr>
            </w:pPr>
            <w:r w:rsidRPr="007F21CF">
              <w:rPr>
                <w:rFonts w:ascii="Times New Roman" w:hAnsi="Times New Roman"/>
                <w:b/>
                <w:color w:val="000000"/>
              </w:rPr>
              <w:t xml:space="preserve">Work Sheets used to Calculate </w:t>
            </w:r>
            <w:r w:rsidRPr="007F21CF">
              <w:rPr>
                <w:rFonts w:ascii="Times New Roman" w:hAnsi="Times New Roman"/>
                <w:b/>
                <w:bCs/>
                <w:color w:val="000000"/>
              </w:rPr>
              <w:t>Labor Costs</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D:</w:t>
            </w:r>
          </w:p>
        </w:tc>
        <w:tc>
          <w:tcPr>
            <w:tcW w:w="7488" w:type="dxa"/>
          </w:tcPr>
          <w:p w:rsidR="00082A97" w:rsidRPr="007F21CF" w:rsidRDefault="00082A97" w:rsidP="00FB0C16">
            <w:pPr>
              <w:widowControl/>
              <w:tabs>
                <w:tab w:val="left" w:pos="-1440"/>
                <w:tab w:val="left" w:pos="-720"/>
                <w:tab w:val="decimal" w:pos="0"/>
              </w:tabs>
              <w:rPr>
                <w:rFonts w:ascii="Times New Roman" w:hAnsi="Times New Roman"/>
                <w:b/>
                <w:color w:val="000000"/>
              </w:rPr>
            </w:pPr>
            <w:r>
              <w:rPr>
                <w:rFonts w:ascii="Times New Roman" w:hAnsi="Times New Roman"/>
                <w:b/>
                <w:color w:val="000000"/>
              </w:rPr>
              <w:t>Summary o</w:t>
            </w:r>
            <w:r w:rsidR="00FB0C16">
              <w:rPr>
                <w:rFonts w:ascii="Times New Roman" w:hAnsi="Times New Roman"/>
                <w:b/>
                <w:color w:val="000000"/>
              </w:rPr>
              <w:t>f</w:t>
            </w:r>
            <w:r>
              <w:rPr>
                <w:rFonts w:ascii="Times New Roman" w:hAnsi="Times New Roman"/>
                <w:b/>
                <w:color w:val="000000"/>
              </w:rPr>
              <w:t xml:space="preserve"> Consultations</w:t>
            </w: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E:</w:t>
            </w: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r>
              <w:rPr>
                <w:rFonts w:ascii="Times New Roman" w:hAnsi="Times New Roman"/>
                <w:b/>
                <w:color w:val="000000"/>
              </w:rPr>
              <w:t>EPA Form 3540-1</w:t>
            </w:r>
          </w:p>
          <w:p w:rsidR="00082A97" w:rsidRDefault="00082A97"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F:</w:t>
            </w:r>
          </w:p>
        </w:tc>
        <w:tc>
          <w:tcPr>
            <w:tcW w:w="7488" w:type="dxa"/>
          </w:tcPr>
          <w:p w:rsidR="00FB0C16" w:rsidRDefault="00FB0C16" w:rsidP="00C213C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CropLife America</w:t>
            </w:r>
          </w:p>
        </w:tc>
      </w:tr>
      <w:tr w:rsidR="00082A97" w:rsidRPr="007F21CF" w:rsidTr="00082A97">
        <w:tc>
          <w:tcPr>
            <w:tcW w:w="2088" w:type="dxa"/>
          </w:tcPr>
          <w:p w:rsidR="00082A97" w:rsidRDefault="00082A97" w:rsidP="00C213CC">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G:</w:t>
            </w: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Chemical Producers and Distributors Association</w:t>
            </w:r>
          </w:p>
        </w:tc>
      </w:tr>
      <w:tr w:rsidR="00FB0C16" w:rsidRPr="007F21CF" w:rsidTr="00082A97">
        <w:tc>
          <w:tcPr>
            <w:tcW w:w="2088" w:type="dxa"/>
          </w:tcPr>
          <w:p w:rsidR="00FB0C16" w:rsidRDefault="00FB0C16" w:rsidP="007F21CF">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H:</w:t>
            </w: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BayerSciences LP</w:t>
            </w:r>
          </w:p>
        </w:tc>
      </w:tr>
      <w:tr w:rsidR="00FB0C16" w:rsidRPr="007F21CF" w:rsidTr="00082A97">
        <w:tc>
          <w:tcPr>
            <w:tcW w:w="2088" w:type="dxa"/>
          </w:tcPr>
          <w:p w:rsidR="00FB0C16" w:rsidRPr="007F21CF"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bl>
    <w:p w:rsidR="007F21CF" w:rsidRPr="007F21CF" w:rsidRDefault="007F21CF" w:rsidP="007F21CF">
      <w:pPr>
        <w:widowControl/>
        <w:tabs>
          <w:tab w:val="left" w:pos="-1440"/>
          <w:tab w:val="left" w:pos="-720"/>
          <w:tab w:val="decimal" w:pos="0"/>
        </w:tabs>
        <w:rPr>
          <w:rFonts w:ascii="Times New Roman" w:hAnsi="Times New Roman"/>
          <w:b/>
          <w:bCs/>
          <w:color w:val="000000"/>
        </w:rPr>
      </w:pPr>
    </w:p>
    <w:p w:rsidR="007F21CF" w:rsidRPr="007F21CF" w:rsidRDefault="007F21CF" w:rsidP="000A0891">
      <w:pPr>
        <w:widowControl/>
        <w:tabs>
          <w:tab w:val="left" w:pos="-1440"/>
          <w:tab w:val="left" w:pos="-720"/>
          <w:tab w:val="decimal" w:pos="0"/>
        </w:tabs>
        <w:jc w:val="center"/>
        <w:rPr>
          <w:rFonts w:ascii="Times New Roman" w:hAnsi="Times New Roman"/>
          <w:color w:val="000000"/>
        </w:rPr>
      </w:pPr>
    </w:p>
    <w:p w:rsidR="00772F14" w:rsidRPr="00C0504A" w:rsidRDefault="00772F14">
      <w:pPr>
        <w:widowControl/>
        <w:tabs>
          <w:tab w:val="left" w:pos="-1440"/>
          <w:tab w:val="left" w:pos="-720"/>
          <w:tab w:val="decimal" w:pos="0"/>
        </w:tabs>
        <w:rPr>
          <w:rFonts w:ascii="Times New Roman" w:hAnsi="Times New Roman"/>
          <w:color w:val="000000"/>
        </w:rPr>
      </w:pPr>
    </w:p>
    <w:sectPr w:rsidR="00772F14" w:rsidRPr="00C0504A" w:rsidSect="00F86BA1">
      <w:footerReference w:type="default" r:id="rId13"/>
      <w:type w:val="continuous"/>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221" w:rsidRDefault="00482221">
      <w:r>
        <w:separator/>
      </w:r>
    </w:p>
  </w:endnote>
  <w:endnote w:type="continuationSeparator" w:id="0">
    <w:p w:rsidR="00482221" w:rsidRDefault="0048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9825"/>
      <w:docPartObj>
        <w:docPartGallery w:val="Page Numbers (Bottom of Page)"/>
        <w:docPartUnique/>
      </w:docPartObj>
    </w:sdtPr>
    <w:sdtEndPr/>
    <w:sdtContent>
      <w:sdt>
        <w:sdtPr>
          <w:id w:val="565050477"/>
          <w:docPartObj>
            <w:docPartGallery w:val="Page Numbers (Top of Page)"/>
            <w:docPartUnique/>
          </w:docPartObj>
        </w:sdtPr>
        <w:sdtEndPr/>
        <w:sdtContent>
          <w:p w:rsidR="0019391C" w:rsidRDefault="0019391C">
            <w:pPr>
              <w:pStyle w:val="Footer"/>
              <w:jc w:val="center"/>
            </w:pPr>
            <w:r w:rsidRPr="00100BD5">
              <w:rPr>
                <w:rFonts w:ascii="Times New Roman" w:hAnsi="Times New Roman"/>
              </w:rPr>
              <w:t xml:space="preserve">Page </w:t>
            </w:r>
            <w:r w:rsidR="00397E11" w:rsidRPr="00100BD5">
              <w:rPr>
                <w:rFonts w:ascii="Times New Roman" w:hAnsi="Times New Roman"/>
              </w:rPr>
              <w:fldChar w:fldCharType="begin"/>
            </w:r>
            <w:r w:rsidRPr="00100BD5">
              <w:rPr>
                <w:rFonts w:ascii="Times New Roman" w:hAnsi="Times New Roman"/>
              </w:rPr>
              <w:instrText xml:space="preserve"> PAGE </w:instrText>
            </w:r>
            <w:r w:rsidR="00397E11" w:rsidRPr="00100BD5">
              <w:rPr>
                <w:rFonts w:ascii="Times New Roman" w:hAnsi="Times New Roman"/>
              </w:rPr>
              <w:fldChar w:fldCharType="separate"/>
            </w:r>
            <w:r w:rsidR="002616B6">
              <w:rPr>
                <w:rFonts w:ascii="Times New Roman" w:hAnsi="Times New Roman"/>
                <w:noProof/>
              </w:rPr>
              <w:t>1</w:t>
            </w:r>
            <w:r w:rsidR="00397E11" w:rsidRPr="00100BD5">
              <w:rPr>
                <w:rFonts w:ascii="Times New Roman" w:hAnsi="Times New Roman"/>
              </w:rPr>
              <w:fldChar w:fldCharType="end"/>
            </w:r>
            <w:r w:rsidRPr="00100BD5">
              <w:rPr>
                <w:rFonts w:ascii="Times New Roman" w:hAnsi="Times New Roman"/>
              </w:rPr>
              <w:t xml:space="preserve"> of </w:t>
            </w:r>
            <w:r w:rsidR="00397E11" w:rsidRPr="00100BD5">
              <w:rPr>
                <w:rFonts w:ascii="Times New Roman" w:hAnsi="Times New Roman"/>
              </w:rPr>
              <w:fldChar w:fldCharType="begin"/>
            </w:r>
            <w:r w:rsidRPr="00100BD5">
              <w:rPr>
                <w:rFonts w:ascii="Times New Roman" w:hAnsi="Times New Roman"/>
              </w:rPr>
              <w:instrText xml:space="preserve"> NUMPAGES  </w:instrText>
            </w:r>
            <w:r w:rsidR="00397E11" w:rsidRPr="00100BD5">
              <w:rPr>
                <w:rFonts w:ascii="Times New Roman" w:hAnsi="Times New Roman"/>
              </w:rPr>
              <w:fldChar w:fldCharType="separate"/>
            </w:r>
            <w:r w:rsidR="002616B6">
              <w:rPr>
                <w:rFonts w:ascii="Times New Roman" w:hAnsi="Times New Roman"/>
                <w:noProof/>
              </w:rPr>
              <w:t>7</w:t>
            </w:r>
            <w:r w:rsidR="00397E11" w:rsidRPr="00100BD5">
              <w:rPr>
                <w:rFonts w:ascii="Times New Roman" w:hAnsi="Times New Roman"/>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221" w:rsidRDefault="00482221">
      <w:r>
        <w:separator/>
      </w:r>
    </w:p>
  </w:footnote>
  <w:footnote w:type="continuationSeparator" w:id="0">
    <w:p w:rsidR="00482221" w:rsidRDefault="00482221">
      <w:r>
        <w:continuationSeparator/>
      </w:r>
    </w:p>
  </w:footnote>
  <w:footnote w:id="1">
    <w:p w:rsidR="0019391C" w:rsidRPr="005B772A" w:rsidRDefault="0019391C" w:rsidP="005B772A">
      <w:pPr>
        <w:pStyle w:val="FootnoteText"/>
        <w:rPr>
          <w:rFonts w:ascii="Times New Roman" w:hAnsi="Times New Roman"/>
          <w:szCs w:val="22"/>
        </w:rPr>
      </w:pPr>
      <w:r w:rsidRPr="00BE7FD6">
        <w:rPr>
          <w:rStyle w:val="FootnoteReference"/>
          <w:rFonts w:ascii="Times New Roman" w:hAnsi="Times New Roman"/>
          <w:sz w:val="22"/>
          <w:szCs w:val="22"/>
        </w:rPr>
        <w:footnoteRef/>
      </w:r>
      <w:r w:rsidRPr="00BE7FD6">
        <w:rPr>
          <w:rFonts w:ascii="Times New Roman" w:hAnsi="Times New Roman"/>
          <w:szCs w:val="22"/>
        </w:rPr>
        <w:t xml:space="preserve"> Inflation rate based on Consumer Price Index, All Urban Consumers, U.S. City Average, Series ID: CUSR0000SA0; change from June 2008 to June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8A0454"/>
    <w:multiLevelType w:val="hybridMultilevel"/>
    <w:tmpl w:val="D88C24FE"/>
    <w:lvl w:ilvl="0" w:tplc="89004AAE">
      <w:start w:val="1"/>
      <w:numFmt w:val="lowerRoman"/>
      <w:pStyle w:val="Heading4"/>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76B297E"/>
    <w:multiLevelType w:val="hybridMultilevel"/>
    <w:tmpl w:val="1DD00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F06016"/>
    <w:multiLevelType w:val="hybridMultilevel"/>
    <w:tmpl w:val="859C2874"/>
    <w:lvl w:ilvl="0" w:tplc="FA4498B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D21CA4"/>
    <w:multiLevelType w:val="hybridMultilevel"/>
    <w:tmpl w:val="4DD0BE92"/>
    <w:lvl w:ilvl="0" w:tplc="01BE2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005CC"/>
    <w:multiLevelType w:val="hybridMultilevel"/>
    <w:tmpl w:val="1C7E8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AC3D43"/>
    <w:multiLevelType w:val="hybridMultilevel"/>
    <w:tmpl w:val="CDB0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C40CFA"/>
    <w:multiLevelType w:val="hybridMultilevel"/>
    <w:tmpl w:val="0CD8F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1C109E"/>
    <w:multiLevelType w:val="hybridMultilevel"/>
    <w:tmpl w:val="C99E57A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632033"/>
    <w:multiLevelType w:val="hybridMultilevel"/>
    <w:tmpl w:val="E8A2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791EFC"/>
    <w:multiLevelType w:val="hybridMultilevel"/>
    <w:tmpl w:val="CD92E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7"/>
  </w:num>
  <w:num w:numId="4">
    <w:abstractNumId w:val="9"/>
  </w:num>
  <w:num w:numId="5">
    <w:abstractNumId w:val="8"/>
  </w:num>
  <w:num w:numId="6">
    <w:abstractNumId w:val="3"/>
  </w:num>
  <w:num w:numId="7">
    <w:abstractNumId w:val="13"/>
  </w:num>
  <w:num w:numId="8">
    <w:abstractNumId w:val="2"/>
  </w:num>
  <w:num w:numId="9">
    <w:abstractNumId w:val="2"/>
    <w:lvlOverride w:ilvl="0">
      <w:startOverride w:val="1"/>
    </w:lvlOverride>
  </w:num>
  <w:num w:numId="10">
    <w:abstractNumId w:val="5"/>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14"/>
    <w:rsid w:val="00004AD0"/>
    <w:rsid w:val="0001154F"/>
    <w:rsid w:val="000119FD"/>
    <w:rsid w:val="00014306"/>
    <w:rsid w:val="000212A9"/>
    <w:rsid w:val="000322EC"/>
    <w:rsid w:val="00033B5E"/>
    <w:rsid w:val="0003678B"/>
    <w:rsid w:val="0003702D"/>
    <w:rsid w:val="00041B9A"/>
    <w:rsid w:val="00041EA9"/>
    <w:rsid w:val="000475D9"/>
    <w:rsid w:val="00047D04"/>
    <w:rsid w:val="00050251"/>
    <w:rsid w:val="00053573"/>
    <w:rsid w:val="00082A97"/>
    <w:rsid w:val="00086B2C"/>
    <w:rsid w:val="00093CF2"/>
    <w:rsid w:val="000A0891"/>
    <w:rsid w:val="000A5E90"/>
    <w:rsid w:val="000B55F4"/>
    <w:rsid w:val="000C0A7A"/>
    <w:rsid w:val="000C60AF"/>
    <w:rsid w:val="000D0D0E"/>
    <w:rsid w:val="000E535B"/>
    <w:rsid w:val="000E7C34"/>
    <w:rsid w:val="00100BD5"/>
    <w:rsid w:val="001121ED"/>
    <w:rsid w:val="001179C9"/>
    <w:rsid w:val="001214C6"/>
    <w:rsid w:val="00126204"/>
    <w:rsid w:val="00136082"/>
    <w:rsid w:val="00145A97"/>
    <w:rsid w:val="00155A54"/>
    <w:rsid w:val="001565DD"/>
    <w:rsid w:val="001669C7"/>
    <w:rsid w:val="00166F58"/>
    <w:rsid w:val="001707B3"/>
    <w:rsid w:val="00173FBB"/>
    <w:rsid w:val="00192183"/>
    <w:rsid w:val="0019391C"/>
    <w:rsid w:val="001A210C"/>
    <w:rsid w:val="001C6D8C"/>
    <w:rsid w:val="001D569A"/>
    <w:rsid w:val="001E68FF"/>
    <w:rsid w:val="001F21C5"/>
    <w:rsid w:val="00200F0E"/>
    <w:rsid w:val="00202B85"/>
    <w:rsid w:val="00205230"/>
    <w:rsid w:val="00212F11"/>
    <w:rsid w:val="00225491"/>
    <w:rsid w:val="00226992"/>
    <w:rsid w:val="00232A06"/>
    <w:rsid w:val="00236BDF"/>
    <w:rsid w:val="00240CE1"/>
    <w:rsid w:val="00242950"/>
    <w:rsid w:val="00247355"/>
    <w:rsid w:val="002616B6"/>
    <w:rsid w:val="00267DCF"/>
    <w:rsid w:val="00270CAC"/>
    <w:rsid w:val="00274718"/>
    <w:rsid w:val="0029190C"/>
    <w:rsid w:val="002969FD"/>
    <w:rsid w:val="002A215F"/>
    <w:rsid w:val="002A2477"/>
    <w:rsid w:val="002B33C9"/>
    <w:rsid w:val="002B3EF8"/>
    <w:rsid w:val="002C00CA"/>
    <w:rsid w:val="002D61B9"/>
    <w:rsid w:val="002E097C"/>
    <w:rsid w:val="002E1844"/>
    <w:rsid w:val="002F14E8"/>
    <w:rsid w:val="002F1F58"/>
    <w:rsid w:val="002F3D66"/>
    <w:rsid w:val="002F6B52"/>
    <w:rsid w:val="003001FC"/>
    <w:rsid w:val="00302F41"/>
    <w:rsid w:val="00305E20"/>
    <w:rsid w:val="00310466"/>
    <w:rsid w:val="00316CC2"/>
    <w:rsid w:val="00320FC8"/>
    <w:rsid w:val="00333A41"/>
    <w:rsid w:val="00333BC5"/>
    <w:rsid w:val="00344D68"/>
    <w:rsid w:val="003548AE"/>
    <w:rsid w:val="00355F8F"/>
    <w:rsid w:val="003658F5"/>
    <w:rsid w:val="00371C30"/>
    <w:rsid w:val="00376EED"/>
    <w:rsid w:val="003809D2"/>
    <w:rsid w:val="003822C6"/>
    <w:rsid w:val="003834CE"/>
    <w:rsid w:val="00386FE9"/>
    <w:rsid w:val="0039251A"/>
    <w:rsid w:val="00394751"/>
    <w:rsid w:val="00397E11"/>
    <w:rsid w:val="003A0661"/>
    <w:rsid w:val="003A189D"/>
    <w:rsid w:val="003B1536"/>
    <w:rsid w:val="003B6727"/>
    <w:rsid w:val="003C5E0A"/>
    <w:rsid w:val="003C719F"/>
    <w:rsid w:val="003D048E"/>
    <w:rsid w:val="003E2F45"/>
    <w:rsid w:val="003E44CC"/>
    <w:rsid w:val="003E4F30"/>
    <w:rsid w:val="003F511D"/>
    <w:rsid w:val="003F6041"/>
    <w:rsid w:val="003F6D66"/>
    <w:rsid w:val="003F7440"/>
    <w:rsid w:val="00406A14"/>
    <w:rsid w:val="004103A2"/>
    <w:rsid w:val="004109A0"/>
    <w:rsid w:val="00412E2E"/>
    <w:rsid w:val="00413215"/>
    <w:rsid w:val="004174DA"/>
    <w:rsid w:val="004225A7"/>
    <w:rsid w:val="004330F1"/>
    <w:rsid w:val="004358DB"/>
    <w:rsid w:val="00441FED"/>
    <w:rsid w:val="0045550D"/>
    <w:rsid w:val="00455751"/>
    <w:rsid w:val="004607F4"/>
    <w:rsid w:val="004622D9"/>
    <w:rsid w:val="00462781"/>
    <w:rsid w:val="004655AE"/>
    <w:rsid w:val="004679AA"/>
    <w:rsid w:val="00480220"/>
    <w:rsid w:val="0048152C"/>
    <w:rsid w:val="00482221"/>
    <w:rsid w:val="00484891"/>
    <w:rsid w:val="0048728A"/>
    <w:rsid w:val="0048769C"/>
    <w:rsid w:val="004957C0"/>
    <w:rsid w:val="00495D4B"/>
    <w:rsid w:val="00497F7D"/>
    <w:rsid w:val="004A3075"/>
    <w:rsid w:val="004A5E98"/>
    <w:rsid w:val="004B67CC"/>
    <w:rsid w:val="004C0628"/>
    <w:rsid w:val="004D507D"/>
    <w:rsid w:val="004E3AD5"/>
    <w:rsid w:val="004F0948"/>
    <w:rsid w:val="004F11F8"/>
    <w:rsid w:val="004F23AD"/>
    <w:rsid w:val="004F4A28"/>
    <w:rsid w:val="00500347"/>
    <w:rsid w:val="00500EBB"/>
    <w:rsid w:val="00514B6D"/>
    <w:rsid w:val="00520F86"/>
    <w:rsid w:val="005324E9"/>
    <w:rsid w:val="005332E0"/>
    <w:rsid w:val="00535401"/>
    <w:rsid w:val="00536CA2"/>
    <w:rsid w:val="0054257F"/>
    <w:rsid w:val="005460B0"/>
    <w:rsid w:val="00546B78"/>
    <w:rsid w:val="00551F92"/>
    <w:rsid w:val="005539ED"/>
    <w:rsid w:val="0055597A"/>
    <w:rsid w:val="00567F79"/>
    <w:rsid w:val="00582B41"/>
    <w:rsid w:val="0058548E"/>
    <w:rsid w:val="005867E2"/>
    <w:rsid w:val="00591446"/>
    <w:rsid w:val="005A1FED"/>
    <w:rsid w:val="005A2010"/>
    <w:rsid w:val="005B007E"/>
    <w:rsid w:val="005B772A"/>
    <w:rsid w:val="005C15B9"/>
    <w:rsid w:val="005C380E"/>
    <w:rsid w:val="005C4840"/>
    <w:rsid w:val="005C766E"/>
    <w:rsid w:val="005C7CB6"/>
    <w:rsid w:val="005C7DC2"/>
    <w:rsid w:val="005E0835"/>
    <w:rsid w:val="005E3A00"/>
    <w:rsid w:val="005E4815"/>
    <w:rsid w:val="005E74FC"/>
    <w:rsid w:val="005F3366"/>
    <w:rsid w:val="005F40A3"/>
    <w:rsid w:val="005F4C42"/>
    <w:rsid w:val="00601B91"/>
    <w:rsid w:val="00604E22"/>
    <w:rsid w:val="0061014F"/>
    <w:rsid w:val="006130A3"/>
    <w:rsid w:val="00620D55"/>
    <w:rsid w:val="0063254D"/>
    <w:rsid w:val="00637158"/>
    <w:rsid w:val="00647326"/>
    <w:rsid w:val="0065123D"/>
    <w:rsid w:val="00654A98"/>
    <w:rsid w:val="006572D6"/>
    <w:rsid w:val="006614B8"/>
    <w:rsid w:val="00662E66"/>
    <w:rsid w:val="00663DF7"/>
    <w:rsid w:val="00666873"/>
    <w:rsid w:val="006707A6"/>
    <w:rsid w:val="00670C7A"/>
    <w:rsid w:val="00675CDB"/>
    <w:rsid w:val="0069202B"/>
    <w:rsid w:val="006A7D30"/>
    <w:rsid w:val="006B10A7"/>
    <w:rsid w:val="006C3670"/>
    <w:rsid w:val="006C5295"/>
    <w:rsid w:val="006D51D1"/>
    <w:rsid w:val="006E5BA5"/>
    <w:rsid w:val="006E738E"/>
    <w:rsid w:val="006F2AD8"/>
    <w:rsid w:val="00700BDF"/>
    <w:rsid w:val="007052A3"/>
    <w:rsid w:val="007060E2"/>
    <w:rsid w:val="00717FA2"/>
    <w:rsid w:val="0073121F"/>
    <w:rsid w:val="00735644"/>
    <w:rsid w:val="007417CE"/>
    <w:rsid w:val="00741FE1"/>
    <w:rsid w:val="0074357F"/>
    <w:rsid w:val="007576F8"/>
    <w:rsid w:val="007703CA"/>
    <w:rsid w:val="007705F0"/>
    <w:rsid w:val="00772F14"/>
    <w:rsid w:val="00780D74"/>
    <w:rsid w:val="007A1B24"/>
    <w:rsid w:val="007A596E"/>
    <w:rsid w:val="007C1B83"/>
    <w:rsid w:val="007C26A8"/>
    <w:rsid w:val="007D28F7"/>
    <w:rsid w:val="007D59EC"/>
    <w:rsid w:val="007F04E1"/>
    <w:rsid w:val="007F08AE"/>
    <w:rsid w:val="007F21CF"/>
    <w:rsid w:val="007F266B"/>
    <w:rsid w:val="007F54C6"/>
    <w:rsid w:val="007F7DB9"/>
    <w:rsid w:val="00814236"/>
    <w:rsid w:val="00817CE4"/>
    <w:rsid w:val="0082245E"/>
    <w:rsid w:val="0082298B"/>
    <w:rsid w:val="00834802"/>
    <w:rsid w:val="00845B84"/>
    <w:rsid w:val="008504F5"/>
    <w:rsid w:val="008518C1"/>
    <w:rsid w:val="0085499E"/>
    <w:rsid w:val="00857DB3"/>
    <w:rsid w:val="00865B9F"/>
    <w:rsid w:val="00877856"/>
    <w:rsid w:val="00877F4C"/>
    <w:rsid w:val="00881A66"/>
    <w:rsid w:val="00881CBE"/>
    <w:rsid w:val="00881F42"/>
    <w:rsid w:val="00891D5A"/>
    <w:rsid w:val="00895244"/>
    <w:rsid w:val="008967C5"/>
    <w:rsid w:val="00896AF4"/>
    <w:rsid w:val="008A6493"/>
    <w:rsid w:val="008B0693"/>
    <w:rsid w:val="008B40E9"/>
    <w:rsid w:val="008B56CA"/>
    <w:rsid w:val="008D2CC7"/>
    <w:rsid w:val="00902433"/>
    <w:rsid w:val="00903BD4"/>
    <w:rsid w:val="00916680"/>
    <w:rsid w:val="00924D04"/>
    <w:rsid w:val="00926A4C"/>
    <w:rsid w:val="009379B0"/>
    <w:rsid w:val="0094709C"/>
    <w:rsid w:val="00955A62"/>
    <w:rsid w:val="009561E1"/>
    <w:rsid w:val="009565A0"/>
    <w:rsid w:val="00956C59"/>
    <w:rsid w:val="009654CA"/>
    <w:rsid w:val="009707E8"/>
    <w:rsid w:val="00971E61"/>
    <w:rsid w:val="009773A4"/>
    <w:rsid w:val="00983711"/>
    <w:rsid w:val="009A0CA6"/>
    <w:rsid w:val="009B3747"/>
    <w:rsid w:val="009B603E"/>
    <w:rsid w:val="009C3911"/>
    <w:rsid w:val="009D42CE"/>
    <w:rsid w:val="009E662F"/>
    <w:rsid w:val="009F1967"/>
    <w:rsid w:val="009F277A"/>
    <w:rsid w:val="00A01F9F"/>
    <w:rsid w:val="00A07845"/>
    <w:rsid w:val="00A15C4A"/>
    <w:rsid w:val="00A23F7D"/>
    <w:rsid w:val="00A33730"/>
    <w:rsid w:val="00A43441"/>
    <w:rsid w:val="00A546BB"/>
    <w:rsid w:val="00A62673"/>
    <w:rsid w:val="00A633E1"/>
    <w:rsid w:val="00A634BD"/>
    <w:rsid w:val="00A64AF5"/>
    <w:rsid w:val="00A749F0"/>
    <w:rsid w:val="00A7599B"/>
    <w:rsid w:val="00A77C8F"/>
    <w:rsid w:val="00A8300A"/>
    <w:rsid w:val="00A87F90"/>
    <w:rsid w:val="00A936C2"/>
    <w:rsid w:val="00AA3D8D"/>
    <w:rsid w:val="00AB297E"/>
    <w:rsid w:val="00AB4775"/>
    <w:rsid w:val="00AB718D"/>
    <w:rsid w:val="00AC4BF1"/>
    <w:rsid w:val="00AC59CC"/>
    <w:rsid w:val="00AC5E5E"/>
    <w:rsid w:val="00AD10BF"/>
    <w:rsid w:val="00AD5148"/>
    <w:rsid w:val="00AD574A"/>
    <w:rsid w:val="00AD6A71"/>
    <w:rsid w:val="00AE1491"/>
    <w:rsid w:val="00AE1591"/>
    <w:rsid w:val="00AE48F7"/>
    <w:rsid w:val="00AF42E3"/>
    <w:rsid w:val="00B04024"/>
    <w:rsid w:val="00B13EC1"/>
    <w:rsid w:val="00B21D12"/>
    <w:rsid w:val="00B30CFF"/>
    <w:rsid w:val="00B35592"/>
    <w:rsid w:val="00B51753"/>
    <w:rsid w:val="00B54B81"/>
    <w:rsid w:val="00B55B70"/>
    <w:rsid w:val="00B564D1"/>
    <w:rsid w:val="00B56B6B"/>
    <w:rsid w:val="00B57866"/>
    <w:rsid w:val="00B6052E"/>
    <w:rsid w:val="00B62E60"/>
    <w:rsid w:val="00B74425"/>
    <w:rsid w:val="00B746C6"/>
    <w:rsid w:val="00B759E1"/>
    <w:rsid w:val="00B766D4"/>
    <w:rsid w:val="00B81E19"/>
    <w:rsid w:val="00B86F30"/>
    <w:rsid w:val="00B9245F"/>
    <w:rsid w:val="00BA1BAB"/>
    <w:rsid w:val="00BA265F"/>
    <w:rsid w:val="00BB43D4"/>
    <w:rsid w:val="00BC0E1D"/>
    <w:rsid w:val="00BD1BCD"/>
    <w:rsid w:val="00BD5C58"/>
    <w:rsid w:val="00BD6213"/>
    <w:rsid w:val="00BD775E"/>
    <w:rsid w:val="00BE2EA7"/>
    <w:rsid w:val="00BE73D5"/>
    <w:rsid w:val="00BE7FD6"/>
    <w:rsid w:val="00BF33EA"/>
    <w:rsid w:val="00BF3C47"/>
    <w:rsid w:val="00C00D72"/>
    <w:rsid w:val="00C0504A"/>
    <w:rsid w:val="00C05E76"/>
    <w:rsid w:val="00C14A35"/>
    <w:rsid w:val="00C212BF"/>
    <w:rsid w:val="00C213CC"/>
    <w:rsid w:val="00C23C9E"/>
    <w:rsid w:val="00C2636F"/>
    <w:rsid w:val="00C441DD"/>
    <w:rsid w:val="00C44575"/>
    <w:rsid w:val="00C51453"/>
    <w:rsid w:val="00C515D0"/>
    <w:rsid w:val="00C63655"/>
    <w:rsid w:val="00C6366D"/>
    <w:rsid w:val="00C639E2"/>
    <w:rsid w:val="00C6417C"/>
    <w:rsid w:val="00C755C0"/>
    <w:rsid w:val="00C7628F"/>
    <w:rsid w:val="00C7726C"/>
    <w:rsid w:val="00C83271"/>
    <w:rsid w:val="00CA6132"/>
    <w:rsid w:val="00CC743A"/>
    <w:rsid w:val="00CD1D06"/>
    <w:rsid w:val="00CD4691"/>
    <w:rsid w:val="00CE255F"/>
    <w:rsid w:val="00CE5B52"/>
    <w:rsid w:val="00D059CC"/>
    <w:rsid w:val="00D21CC4"/>
    <w:rsid w:val="00D22FDE"/>
    <w:rsid w:val="00D23465"/>
    <w:rsid w:val="00D26AC4"/>
    <w:rsid w:val="00D34564"/>
    <w:rsid w:val="00D34571"/>
    <w:rsid w:val="00D348BA"/>
    <w:rsid w:val="00D45C5A"/>
    <w:rsid w:val="00D4692C"/>
    <w:rsid w:val="00D523F7"/>
    <w:rsid w:val="00D55BDD"/>
    <w:rsid w:val="00D67800"/>
    <w:rsid w:val="00D70345"/>
    <w:rsid w:val="00D7143C"/>
    <w:rsid w:val="00D73A5F"/>
    <w:rsid w:val="00D7487A"/>
    <w:rsid w:val="00D94C2E"/>
    <w:rsid w:val="00DA0C25"/>
    <w:rsid w:val="00DA1C5D"/>
    <w:rsid w:val="00DB038B"/>
    <w:rsid w:val="00DC1521"/>
    <w:rsid w:val="00DE226E"/>
    <w:rsid w:val="00DE3E60"/>
    <w:rsid w:val="00DE7148"/>
    <w:rsid w:val="00E033A0"/>
    <w:rsid w:val="00E14D26"/>
    <w:rsid w:val="00E15CC9"/>
    <w:rsid w:val="00E17791"/>
    <w:rsid w:val="00E261EA"/>
    <w:rsid w:val="00E3128C"/>
    <w:rsid w:val="00E33E02"/>
    <w:rsid w:val="00E379E2"/>
    <w:rsid w:val="00E415F7"/>
    <w:rsid w:val="00E43926"/>
    <w:rsid w:val="00E464CA"/>
    <w:rsid w:val="00E52B2F"/>
    <w:rsid w:val="00E55AC6"/>
    <w:rsid w:val="00E57B51"/>
    <w:rsid w:val="00E677CB"/>
    <w:rsid w:val="00E71003"/>
    <w:rsid w:val="00E71B3C"/>
    <w:rsid w:val="00E77FF8"/>
    <w:rsid w:val="00E80097"/>
    <w:rsid w:val="00E824A9"/>
    <w:rsid w:val="00E845E2"/>
    <w:rsid w:val="00EA55FA"/>
    <w:rsid w:val="00EB08D6"/>
    <w:rsid w:val="00EB2100"/>
    <w:rsid w:val="00EC12B8"/>
    <w:rsid w:val="00ED051C"/>
    <w:rsid w:val="00ED09F0"/>
    <w:rsid w:val="00EE5D3B"/>
    <w:rsid w:val="00EE62A2"/>
    <w:rsid w:val="00EE732E"/>
    <w:rsid w:val="00EF0F45"/>
    <w:rsid w:val="00EF7574"/>
    <w:rsid w:val="00F207C2"/>
    <w:rsid w:val="00F277DC"/>
    <w:rsid w:val="00F33623"/>
    <w:rsid w:val="00F35B4D"/>
    <w:rsid w:val="00F46ADC"/>
    <w:rsid w:val="00F5278C"/>
    <w:rsid w:val="00F537A2"/>
    <w:rsid w:val="00F53E3C"/>
    <w:rsid w:val="00F54901"/>
    <w:rsid w:val="00F551D7"/>
    <w:rsid w:val="00F56C85"/>
    <w:rsid w:val="00F57642"/>
    <w:rsid w:val="00F602CB"/>
    <w:rsid w:val="00F60F4F"/>
    <w:rsid w:val="00F6239A"/>
    <w:rsid w:val="00F625BF"/>
    <w:rsid w:val="00F81480"/>
    <w:rsid w:val="00F81FFB"/>
    <w:rsid w:val="00F84508"/>
    <w:rsid w:val="00F84DEE"/>
    <w:rsid w:val="00F86BA1"/>
    <w:rsid w:val="00F86E48"/>
    <w:rsid w:val="00F91098"/>
    <w:rsid w:val="00F92041"/>
    <w:rsid w:val="00FB0C16"/>
    <w:rsid w:val="00FC1559"/>
    <w:rsid w:val="00FD52C0"/>
    <w:rsid w:val="00FD536D"/>
    <w:rsid w:val="00FE0FAF"/>
    <w:rsid w:val="00FE22FC"/>
    <w:rsid w:val="00FE29B3"/>
    <w:rsid w:val="00FE652B"/>
    <w:rsid w:val="00FF3B65"/>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 w:type="paragraph" w:customStyle="1" w:styleId="Level1">
    <w:name w:val="Level 1"/>
    <w:rsid w:val="007705F0"/>
    <w:pPr>
      <w:widowControl w:val="0"/>
      <w:autoSpaceDE w:val="0"/>
      <w:autoSpaceDN w:val="0"/>
      <w:adjustRightInd w:val="0"/>
      <w:ind w:left="720"/>
      <w:jc w:val="both"/>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6237">
      <w:bodyDiv w:val="1"/>
      <w:marLeft w:val="0"/>
      <w:marRight w:val="0"/>
      <w:marTop w:val="0"/>
      <w:marBottom w:val="0"/>
      <w:divBdr>
        <w:top w:val="none" w:sz="0" w:space="0" w:color="auto"/>
        <w:left w:val="none" w:sz="0" w:space="0" w:color="auto"/>
        <w:bottom w:val="none" w:sz="0" w:space="0" w:color="auto"/>
        <w:right w:val="none" w:sz="0" w:space="0" w:color="auto"/>
      </w:divBdr>
    </w:div>
    <w:div w:id="489951231">
      <w:bodyDiv w:val="1"/>
      <w:marLeft w:val="0"/>
      <w:marRight w:val="0"/>
      <w:marTop w:val="0"/>
      <w:marBottom w:val="0"/>
      <w:divBdr>
        <w:top w:val="none" w:sz="0" w:space="0" w:color="auto"/>
        <w:left w:val="none" w:sz="0" w:space="0" w:color="auto"/>
        <w:bottom w:val="none" w:sz="0" w:space="0" w:color="auto"/>
        <w:right w:val="none" w:sz="0" w:space="0" w:color="auto"/>
      </w:divBdr>
    </w:div>
    <w:div w:id="773403320">
      <w:bodyDiv w:val="1"/>
      <w:marLeft w:val="0"/>
      <w:marRight w:val="0"/>
      <w:marTop w:val="0"/>
      <w:marBottom w:val="0"/>
      <w:divBdr>
        <w:top w:val="none" w:sz="0" w:space="0" w:color="auto"/>
        <w:left w:val="none" w:sz="0" w:space="0" w:color="auto"/>
        <w:bottom w:val="none" w:sz="0" w:space="0" w:color="auto"/>
        <w:right w:val="none" w:sz="0" w:space="0" w:color="auto"/>
      </w:divBdr>
    </w:div>
    <w:div w:id="1169980981">
      <w:bodyDiv w:val="1"/>
      <w:marLeft w:val="0"/>
      <w:marRight w:val="0"/>
      <w:marTop w:val="0"/>
      <w:marBottom w:val="0"/>
      <w:divBdr>
        <w:top w:val="none" w:sz="0" w:space="0" w:color="auto"/>
        <w:left w:val="none" w:sz="0" w:space="0" w:color="auto"/>
        <w:bottom w:val="none" w:sz="0" w:space="0" w:color="auto"/>
        <w:right w:val="none" w:sz="0" w:space="0" w:color="auto"/>
      </w:divBdr>
    </w:div>
    <w:div w:id="1844975707">
      <w:bodyDiv w:val="1"/>
      <w:marLeft w:val="0"/>
      <w:marRight w:val="0"/>
      <w:marTop w:val="0"/>
      <w:marBottom w:val="0"/>
      <w:divBdr>
        <w:top w:val="none" w:sz="0" w:space="0" w:color="auto"/>
        <w:left w:val="none" w:sz="0" w:space="0" w:color="auto"/>
        <w:bottom w:val="none" w:sz="0" w:space="0" w:color="auto"/>
        <w:right w:val="none" w:sz="0" w:space="0" w:color="auto"/>
      </w:divBdr>
    </w:div>
    <w:div w:id="2145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hyperlink" Target="http://ecfr.gpoaccess.gov/cgi/t/text/text-idx?c=ecfr&amp;rgn=div5&amp;view=text&amp;node=19:1.0.1.1.7&amp;idno=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uscode-cgi/fastweb.exe?getdoc+uscview+t05t08+1899+1++()%20%20AND%20((7)%20ADJ%20USC)%3ACITE%20AND%20(USC%20w%2F10%20(136o))%3ACI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bls.gov/news.release/ecec.t0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10958</Words>
  <Characters>62466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73278</CharactersWithSpaces>
  <SharedDoc>false</SharedDoc>
  <HLinks>
    <vt:vector size="12" baseType="variant">
      <vt:variant>
        <vt:i4>2818151</vt:i4>
      </vt:variant>
      <vt:variant>
        <vt:i4>32</vt:i4>
      </vt:variant>
      <vt:variant>
        <vt:i4>0</vt:i4>
      </vt:variant>
      <vt:variant>
        <vt:i4>5</vt:i4>
      </vt:variant>
      <vt:variant>
        <vt:lpwstr>http://www.regulations.gov/</vt:lpwstr>
      </vt:variant>
      <vt:variant>
        <vt:lpwstr/>
      </vt:variant>
      <vt:variant>
        <vt:i4>2818151</vt:i4>
      </vt:variant>
      <vt:variant>
        <vt:i4>29</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2016-10-17T20:12:00Z</dcterms:created>
  <dcterms:modified xsi:type="dcterms:W3CDTF">2016-10-17T20:12:00Z</dcterms:modified>
</cp:coreProperties>
</file>