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E7BE0" w14:textId="4F203C09" w:rsidR="00772F14" w:rsidRPr="002805A1" w:rsidRDefault="00772F14">
      <w:pPr>
        <w:jc w:val="center"/>
        <w:rPr>
          <w:rFonts w:ascii="Times New Roman" w:hAnsi="Times New Roman"/>
          <w:b/>
        </w:rPr>
      </w:pPr>
      <w:bookmarkStart w:id="0" w:name="_GoBack"/>
      <w:bookmarkEnd w:id="0"/>
      <w:r w:rsidRPr="002805A1">
        <w:rPr>
          <w:rFonts w:ascii="Times New Roman" w:hAnsi="Times New Roman"/>
          <w:b/>
        </w:rPr>
        <w:t>SUPPORTING STATEMENT</w:t>
      </w:r>
      <w:r w:rsidR="00E30365" w:rsidRPr="002805A1">
        <w:rPr>
          <w:rFonts w:ascii="Times New Roman" w:hAnsi="Times New Roman"/>
          <w:b/>
        </w:rPr>
        <w:t xml:space="preserve"> FOR</w:t>
      </w:r>
    </w:p>
    <w:p w14:paraId="45CFC75E" w14:textId="244C096B" w:rsidR="00E30365" w:rsidRPr="00263E20" w:rsidRDefault="00E30365">
      <w:pPr>
        <w:jc w:val="center"/>
        <w:rPr>
          <w:rFonts w:ascii="Times New Roman" w:hAnsi="Times New Roman"/>
        </w:rPr>
      </w:pPr>
      <w:r w:rsidRPr="00E30365">
        <w:rPr>
          <w:rFonts w:ascii="Times New Roman" w:hAnsi="Times New Roman"/>
          <w:b/>
          <w:bCs/>
        </w:rPr>
        <w:t>AN INFORMATION COLLECTION REQUEST (ICR)</w:t>
      </w:r>
    </w:p>
    <w:p w14:paraId="4FF9A235" w14:textId="77777777" w:rsidR="00772F14" w:rsidRPr="00263E20" w:rsidRDefault="00772F14">
      <w:pPr>
        <w:rPr>
          <w:rFonts w:ascii="Times New Roman" w:hAnsi="Times New Roman"/>
          <w:b/>
          <w:bCs/>
        </w:rPr>
      </w:pPr>
    </w:p>
    <w:p w14:paraId="36D09C2D" w14:textId="77777777" w:rsidR="00772F14" w:rsidRPr="00263E20" w:rsidRDefault="00772F14">
      <w:pPr>
        <w:rPr>
          <w:rFonts w:ascii="Times New Roman" w:hAnsi="Times New Roman"/>
        </w:rPr>
      </w:pPr>
      <w:r w:rsidRPr="00263E20">
        <w:rPr>
          <w:rFonts w:ascii="Times New Roman" w:hAnsi="Times New Roman"/>
          <w:b/>
          <w:bCs/>
        </w:rPr>
        <w:t>1. Identification of the Information Collection</w:t>
      </w:r>
    </w:p>
    <w:p w14:paraId="7C044AC7" w14:textId="77777777" w:rsidR="00772F14" w:rsidRPr="00263E20" w:rsidRDefault="00772F14">
      <w:pPr>
        <w:rPr>
          <w:rFonts w:ascii="Times New Roman" w:hAnsi="Times New Roman"/>
        </w:rPr>
      </w:pPr>
    </w:p>
    <w:p w14:paraId="4BB5ABBA" w14:textId="2EF447F4" w:rsidR="00772F14" w:rsidRPr="00263E20" w:rsidRDefault="00772F14" w:rsidP="008011BF">
      <w:pPr>
        <w:tabs>
          <w:tab w:val="left" w:pos="8402"/>
        </w:tabs>
        <w:ind w:firstLine="720"/>
        <w:rPr>
          <w:rFonts w:ascii="Times New Roman" w:hAnsi="Times New Roman"/>
          <w:b/>
          <w:bCs/>
        </w:rPr>
      </w:pPr>
      <w:r w:rsidRPr="00263E20">
        <w:rPr>
          <w:rFonts w:ascii="Times New Roman" w:hAnsi="Times New Roman"/>
          <w:b/>
          <w:bCs/>
        </w:rPr>
        <w:t>1(a) Title of the Information Collection</w:t>
      </w:r>
      <w:r w:rsidR="001C658B">
        <w:rPr>
          <w:rFonts w:ascii="Times New Roman" w:hAnsi="Times New Roman"/>
          <w:b/>
          <w:bCs/>
        </w:rPr>
        <w:tab/>
      </w:r>
    </w:p>
    <w:p w14:paraId="1389ED18" w14:textId="77777777" w:rsidR="00772F14" w:rsidRPr="00263E20" w:rsidRDefault="00772F14">
      <w:pPr>
        <w:rPr>
          <w:rFonts w:ascii="Times New Roman" w:hAnsi="Times New Roman"/>
          <w:b/>
          <w:bCs/>
        </w:rPr>
      </w:pPr>
    </w:p>
    <w:p w14:paraId="2D596220" w14:textId="77777777" w:rsidR="007F21CF" w:rsidRPr="00263E20" w:rsidRDefault="007F21CF">
      <w:pPr>
        <w:ind w:firstLine="720"/>
        <w:rPr>
          <w:rFonts w:ascii="Times New Roman" w:hAnsi="Times New Roman"/>
        </w:rPr>
      </w:pPr>
      <w:r w:rsidRPr="00263E20">
        <w:rPr>
          <w:rFonts w:ascii="Times New Roman" w:hAnsi="Times New Roman"/>
        </w:rPr>
        <w:t xml:space="preserve">TITLE: </w:t>
      </w:r>
      <w:r w:rsidR="00772F14" w:rsidRPr="00263E20">
        <w:rPr>
          <w:rFonts w:ascii="Times New Roman" w:hAnsi="Times New Roman"/>
        </w:rPr>
        <w:t xml:space="preserve">Notice of Arrival of Pesticides and Devices under section 17(c) of </w:t>
      </w:r>
      <w:r w:rsidR="006A7D30" w:rsidRPr="00263E20">
        <w:rPr>
          <w:rFonts w:ascii="Times New Roman" w:hAnsi="Times New Roman"/>
        </w:rPr>
        <w:t>FIFRA</w:t>
      </w:r>
      <w:r w:rsidR="00500EBB" w:rsidRPr="00263E20">
        <w:rPr>
          <w:rFonts w:ascii="Times New Roman" w:hAnsi="Times New Roman"/>
        </w:rPr>
        <w:t xml:space="preserve">. </w:t>
      </w:r>
    </w:p>
    <w:p w14:paraId="59162623" w14:textId="77777777" w:rsidR="007F21CF" w:rsidRPr="00263E20" w:rsidRDefault="007F21CF" w:rsidP="007F21CF">
      <w:pPr>
        <w:ind w:firstLine="720"/>
        <w:rPr>
          <w:rFonts w:ascii="Times New Roman" w:hAnsi="Times New Roman"/>
        </w:rPr>
      </w:pPr>
    </w:p>
    <w:p w14:paraId="41C1F59D" w14:textId="3970A14E" w:rsidR="00772F14" w:rsidRPr="00263E20" w:rsidRDefault="007F21CF">
      <w:pPr>
        <w:ind w:firstLine="720"/>
        <w:rPr>
          <w:rFonts w:ascii="Times New Roman" w:hAnsi="Times New Roman"/>
        </w:rPr>
      </w:pPr>
      <w:r w:rsidRPr="00263E20">
        <w:rPr>
          <w:rFonts w:ascii="Times New Roman" w:hAnsi="Times New Roman"/>
        </w:rPr>
        <w:t>OMB No. 2070-0020</w:t>
      </w:r>
      <w:r w:rsidRPr="00263E20">
        <w:rPr>
          <w:rFonts w:ascii="Times New Roman" w:hAnsi="Times New Roman"/>
        </w:rPr>
        <w:tab/>
      </w:r>
      <w:r w:rsidRPr="00263E20">
        <w:rPr>
          <w:rFonts w:ascii="Times New Roman" w:hAnsi="Times New Roman"/>
        </w:rPr>
        <w:tab/>
      </w:r>
      <w:r w:rsidRPr="00263E20">
        <w:rPr>
          <w:rFonts w:ascii="Times New Roman" w:hAnsi="Times New Roman"/>
        </w:rPr>
        <w:tab/>
      </w:r>
      <w:r w:rsidRPr="00263E20">
        <w:rPr>
          <w:rFonts w:ascii="Times New Roman" w:hAnsi="Times New Roman"/>
        </w:rPr>
        <w:tab/>
        <w:t>EPA No. 0152.</w:t>
      </w:r>
      <w:r w:rsidR="000706A1" w:rsidRPr="00263E20">
        <w:rPr>
          <w:rFonts w:ascii="Times New Roman" w:hAnsi="Times New Roman"/>
        </w:rPr>
        <w:t>1</w:t>
      </w:r>
      <w:r w:rsidR="000706A1">
        <w:rPr>
          <w:rFonts w:ascii="Times New Roman" w:hAnsi="Times New Roman"/>
        </w:rPr>
        <w:t>2</w:t>
      </w:r>
    </w:p>
    <w:p w14:paraId="48F86D43" w14:textId="77777777" w:rsidR="00772F14" w:rsidRPr="00263E20" w:rsidRDefault="00772F14">
      <w:pPr>
        <w:rPr>
          <w:rFonts w:ascii="Times New Roman" w:hAnsi="Times New Roman"/>
        </w:rPr>
      </w:pPr>
      <w:r w:rsidRPr="00263E20">
        <w:rPr>
          <w:rFonts w:ascii="Times New Roman" w:hAnsi="Times New Roman"/>
        </w:rPr>
        <w:t xml:space="preserve"> </w:t>
      </w:r>
    </w:p>
    <w:p w14:paraId="7D848C63" w14:textId="77777777" w:rsidR="00772F14" w:rsidRPr="00263E20" w:rsidRDefault="00A7599B">
      <w:pPr>
        <w:ind w:firstLine="720"/>
        <w:rPr>
          <w:rFonts w:ascii="Times New Roman" w:hAnsi="Times New Roman"/>
        </w:rPr>
      </w:pPr>
      <w:r w:rsidRPr="00263E20">
        <w:rPr>
          <w:rFonts w:ascii="Times New Roman" w:hAnsi="Times New Roman"/>
          <w:b/>
          <w:bCs/>
        </w:rPr>
        <w:t>1(b) Short Characterization/Abstract</w:t>
      </w:r>
    </w:p>
    <w:p w14:paraId="610AA521" w14:textId="77777777" w:rsidR="00772F14" w:rsidRPr="00263E20" w:rsidRDefault="00772F14">
      <w:pPr>
        <w:rPr>
          <w:rFonts w:ascii="Times New Roman" w:hAnsi="Times New Roman"/>
        </w:rPr>
      </w:pPr>
    </w:p>
    <w:p w14:paraId="706DC3DE" w14:textId="251E192E" w:rsidR="0029190C" w:rsidRPr="00263E20" w:rsidRDefault="00A7599B" w:rsidP="0029190C">
      <w:pPr>
        <w:ind w:firstLine="720"/>
        <w:rPr>
          <w:rFonts w:ascii="Times New Roman" w:hAnsi="Times New Roman"/>
        </w:rPr>
      </w:pPr>
      <w:r w:rsidRPr="00263E20">
        <w:rPr>
          <w:rFonts w:ascii="Times New Roman" w:hAnsi="Times New Roman"/>
        </w:rPr>
        <w:t>The U.S. Customs and Border Protection (C</w:t>
      </w:r>
      <w:r w:rsidR="0055597A" w:rsidRPr="00263E20">
        <w:rPr>
          <w:rFonts w:ascii="Times New Roman" w:hAnsi="Times New Roman"/>
        </w:rPr>
        <w:t>ustoms</w:t>
      </w:r>
      <w:r w:rsidRPr="00263E20">
        <w:rPr>
          <w:rFonts w:ascii="Times New Roman" w:hAnsi="Times New Roman"/>
        </w:rPr>
        <w:t xml:space="preserve">) regulations at 19 CFR 12.112 require that an importer desiring to import pesticides into the United States shall, prior to the shipment's arrival </w:t>
      </w:r>
      <w:r w:rsidR="006A7D30" w:rsidRPr="00263E20">
        <w:rPr>
          <w:rFonts w:ascii="Times New Roman" w:hAnsi="Times New Roman"/>
        </w:rPr>
        <w:t>in</w:t>
      </w:r>
      <w:r w:rsidRPr="00263E20">
        <w:rPr>
          <w:rFonts w:ascii="Times New Roman" w:hAnsi="Times New Roman"/>
        </w:rPr>
        <w:t xml:space="preserve"> the United States, submit a Notice of Arrival (NOA) of Pesticides and Devices (EPA Form 3540-1 </w:t>
      </w:r>
      <w:r w:rsidR="00457F11">
        <w:rPr>
          <w:rFonts w:ascii="Times New Roman" w:hAnsi="Times New Roman"/>
        </w:rPr>
        <w:t xml:space="preserve">or its </w:t>
      </w:r>
      <w:r w:rsidR="00912C29">
        <w:rPr>
          <w:rFonts w:ascii="Times New Roman" w:hAnsi="Times New Roman"/>
        </w:rPr>
        <w:t>Customs</w:t>
      </w:r>
      <w:r w:rsidR="00457F11">
        <w:rPr>
          <w:rFonts w:ascii="Times New Roman" w:hAnsi="Times New Roman"/>
        </w:rPr>
        <w:t>-authorized electronic equivalent</w:t>
      </w:r>
      <w:r w:rsidRPr="00263E20">
        <w:rPr>
          <w:rFonts w:ascii="Times New Roman" w:hAnsi="Times New Roman"/>
        </w:rPr>
        <w:t xml:space="preserve">) to the U.S. Environmental Protection Agency (EPA or Agency). </w:t>
      </w:r>
      <w:r w:rsidR="00BD3679" w:rsidRPr="00263E20">
        <w:rPr>
          <w:rFonts w:ascii="Times New Roman" w:hAnsi="Times New Roman"/>
        </w:rPr>
        <w:t xml:space="preserve">Once </w:t>
      </w:r>
      <w:r w:rsidRPr="00263E20">
        <w:rPr>
          <w:rFonts w:ascii="Times New Roman" w:hAnsi="Times New Roman"/>
        </w:rPr>
        <w:t xml:space="preserve">EPA </w:t>
      </w:r>
      <w:r w:rsidR="00BD3679" w:rsidRPr="00263E20">
        <w:rPr>
          <w:rFonts w:ascii="Times New Roman" w:hAnsi="Times New Roman"/>
        </w:rPr>
        <w:t xml:space="preserve">receives the NOA, </w:t>
      </w:r>
      <w:r w:rsidR="004A5261" w:rsidRPr="00263E20">
        <w:rPr>
          <w:rFonts w:ascii="Times New Roman" w:hAnsi="Times New Roman"/>
        </w:rPr>
        <w:t xml:space="preserve">EPA </w:t>
      </w:r>
      <w:r w:rsidRPr="00263E20">
        <w:rPr>
          <w:rFonts w:ascii="Times New Roman" w:hAnsi="Times New Roman"/>
        </w:rPr>
        <w:t xml:space="preserve">will determine the disposition of the shipment. Upon completing </w:t>
      </w:r>
      <w:r w:rsidR="00BD3679" w:rsidRPr="00263E20">
        <w:rPr>
          <w:rFonts w:ascii="Times New Roman" w:hAnsi="Times New Roman"/>
        </w:rPr>
        <w:t>its review</w:t>
      </w:r>
      <w:r w:rsidRPr="00263E20">
        <w:rPr>
          <w:rFonts w:ascii="Times New Roman" w:hAnsi="Times New Roman"/>
        </w:rPr>
        <w:t xml:space="preserve">, </w:t>
      </w:r>
      <w:r w:rsidR="00BD3679" w:rsidRPr="00263E20">
        <w:rPr>
          <w:rFonts w:ascii="Times New Roman" w:hAnsi="Times New Roman"/>
        </w:rPr>
        <w:t xml:space="preserve">the </w:t>
      </w:r>
      <w:r w:rsidRPr="00263E20">
        <w:rPr>
          <w:rFonts w:ascii="Times New Roman" w:hAnsi="Times New Roman"/>
        </w:rPr>
        <w:t xml:space="preserve">EPA </w:t>
      </w:r>
      <w:r w:rsidR="00BD3679" w:rsidRPr="00263E20">
        <w:rPr>
          <w:rFonts w:ascii="Times New Roman" w:hAnsi="Times New Roman"/>
        </w:rPr>
        <w:t xml:space="preserve">response is sent </w:t>
      </w:r>
      <w:r w:rsidRPr="00263E20">
        <w:rPr>
          <w:rFonts w:ascii="Times New Roman" w:hAnsi="Times New Roman"/>
        </w:rPr>
        <w:t>to the importer</w:t>
      </w:r>
      <w:r w:rsidR="006A7D30" w:rsidRPr="00263E20">
        <w:rPr>
          <w:rFonts w:ascii="Times New Roman" w:hAnsi="Times New Roman"/>
        </w:rPr>
        <w:t xml:space="preserve"> of record</w:t>
      </w:r>
      <w:r w:rsidR="00F277DC" w:rsidRPr="00263E20">
        <w:rPr>
          <w:rFonts w:ascii="Times New Roman" w:hAnsi="Times New Roman"/>
        </w:rPr>
        <w:t xml:space="preserve"> (importer)</w:t>
      </w:r>
      <w:r w:rsidRPr="00263E20">
        <w:rPr>
          <w:rFonts w:ascii="Times New Roman" w:hAnsi="Times New Roman"/>
        </w:rPr>
        <w:t xml:space="preserve"> or </w:t>
      </w:r>
      <w:r w:rsidR="006A7D30" w:rsidRPr="00263E20">
        <w:rPr>
          <w:rFonts w:ascii="Times New Roman" w:hAnsi="Times New Roman"/>
        </w:rPr>
        <w:t xml:space="preserve">licensed </w:t>
      </w:r>
      <w:r w:rsidR="00F277DC" w:rsidRPr="00263E20">
        <w:rPr>
          <w:rFonts w:ascii="Times New Roman" w:hAnsi="Times New Roman"/>
        </w:rPr>
        <w:t xml:space="preserve">customs </w:t>
      </w:r>
      <w:r w:rsidR="006A7D30" w:rsidRPr="00263E20">
        <w:rPr>
          <w:rFonts w:ascii="Times New Roman" w:hAnsi="Times New Roman"/>
        </w:rPr>
        <w:t>broker</w:t>
      </w:r>
      <w:r w:rsidR="00F277DC" w:rsidRPr="00263E20">
        <w:rPr>
          <w:rFonts w:ascii="Times New Roman" w:hAnsi="Times New Roman"/>
        </w:rPr>
        <w:t xml:space="preserve"> (broker)</w:t>
      </w:r>
      <w:r w:rsidRPr="00263E20">
        <w:rPr>
          <w:rFonts w:ascii="Times New Roman" w:hAnsi="Times New Roman"/>
        </w:rPr>
        <w:t xml:space="preserve">, who must present the </w:t>
      </w:r>
      <w:r w:rsidR="00BD3679" w:rsidRPr="00263E20">
        <w:rPr>
          <w:rFonts w:ascii="Times New Roman" w:hAnsi="Times New Roman"/>
        </w:rPr>
        <w:t xml:space="preserve">NOA </w:t>
      </w:r>
      <w:r w:rsidRPr="00263E20">
        <w:rPr>
          <w:rFonts w:ascii="Times New Roman" w:hAnsi="Times New Roman"/>
        </w:rPr>
        <w:t>to C</w:t>
      </w:r>
      <w:r w:rsidR="0055597A" w:rsidRPr="00263E20">
        <w:rPr>
          <w:rFonts w:ascii="Times New Roman" w:hAnsi="Times New Roman"/>
        </w:rPr>
        <w:t>ustoms</w:t>
      </w:r>
      <w:r w:rsidRPr="00263E20">
        <w:rPr>
          <w:rFonts w:ascii="Times New Roman" w:hAnsi="Times New Roman"/>
        </w:rPr>
        <w:t xml:space="preserve"> upon arrival of the shipment at the port of entry. This is necessary to ensure</w:t>
      </w:r>
      <w:r w:rsidR="00192183" w:rsidRPr="00263E20">
        <w:rPr>
          <w:rFonts w:ascii="Times New Roman" w:hAnsi="Times New Roman"/>
        </w:rPr>
        <w:t xml:space="preserve"> that</w:t>
      </w:r>
      <w:r w:rsidRPr="00263E20">
        <w:rPr>
          <w:rFonts w:ascii="Times New Roman" w:hAnsi="Times New Roman"/>
        </w:rPr>
        <w:t xml:space="preserve"> EPA is notified of the arrival of pesticides and devices as required under the Federal Insecticide, Fungicide, and Rodenticide Act (FIFRA) section 17(c), and </w:t>
      </w:r>
      <w:r w:rsidR="00192183" w:rsidRPr="00263E20">
        <w:rPr>
          <w:rFonts w:ascii="Times New Roman" w:hAnsi="Times New Roman"/>
        </w:rPr>
        <w:t xml:space="preserve">that EPA </w:t>
      </w:r>
      <w:r w:rsidRPr="00263E20">
        <w:rPr>
          <w:rFonts w:ascii="Times New Roman" w:hAnsi="Times New Roman"/>
        </w:rPr>
        <w:t>has the ability to examine such shipments to determine compliance</w:t>
      </w:r>
      <w:r w:rsidR="00192183" w:rsidRPr="00263E20">
        <w:rPr>
          <w:rFonts w:ascii="Times New Roman" w:hAnsi="Times New Roman"/>
        </w:rPr>
        <w:t xml:space="preserve"> with FIFRA</w:t>
      </w:r>
      <w:r w:rsidR="00F277DC" w:rsidRPr="00263E20">
        <w:rPr>
          <w:rFonts w:ascii="Times New Roman" w:hAnsi="Times New Roman"/>
        </w:rPr>
        <w:t>.</w:t>
      </w:r>
      <w:r w:rsidRPr="00263E20">
        <w:rPr>
          <w:rFonts w:ascii="Times New Roman" w:hAnsi="Times New Roman"/>
        </w:rPr>
        <w:t xml:space="preserve"> </w:t>
      </w:r>
    </w:p>
    <w:p w14:paraId="3E001688" w14:textId="77777777" w:rsidR="0029190C" w:rsidRPr="00263E20" w:rsidRDefault="0029190C" w:rsidP="0029190C">
      <w:pPr>
        <w:ind w:firstLine="720"/>
        <w:rPr>
          <w:rFonts w:ascii="Times New Roman" w:hAnsi="Times New Roman"/>
        </w:rPr>
      </w:pPr>
    </w:p>
    <w:p w14:paraId="246D350D" w14:textId="0EB8BA61" w:rsidR="0029190C" w:rsidRPr="00263E20" w:rsidRDefault="00A7599B" w:rsidP="0029190C">
      <w:pPr>
        <w:rPr>
          <w:rFonts w:ascii="Times New Roman" w:hAnsi="Times New Roman"/>
        </w:rPr>
      </w:pPr>
      <w:r w:rsidRPr="00263E20">
        <w:rPr>
          <w:rFonts w:ascii="Times New Roman" w:hAnsi="Times New Roman"/>
        </w:rPr>
        <w:tab/>
      </w:r>
      <w:r w:rsidR="00DC5B94" w:rsidRPr="00263E20">
        <w:rPr>
          <w:rFonts w:ascii="Times New Roman" w:hAnsi="Times New Roman"/>
        </w:rPr>
        <w:t>The NOA</w:t>
      </w:r>
      <w:r w:rsidR="00C515D0" w:rsidRPr="00263E20">
        <w:rPr>
          <w:rFonts w:ascii="Times New Roman" w:hAnsi="Times New Roman"/>
        </w:rPr>
        <w:t xml:space="preserve"> </w:t>
      </w:r>
      <w:r w:rsidRPr="00263E20">
        <w:rPr>
          <w:rFonts w:ascii="Times New Roman" w:hAnsi="Times New Roman"/>
        </w:rPr>
        <w:t>requires</w:t>
      </w:r>
      <w:r w:rsidR="00247355" w:rsidRPr="00263E20">
        <w:rPr>
          <w:rFonts w:ascii="Times New Roman" w:hAnsi="Times New Roman"/>
        </w:rPr>
        <w:t xml:space="preserve"> the</w:t>
      </w:r>
      <w:r w:rsidRPr="00263E20">
        <w:rPr>
          <w:rFonts w:ascii="Times New Roman" w:hAnsi="Times New Roman"/>
        </w:rPr>
        <w:t xml:space="preserve"> identification and address information of </w:t>
      </w:r>
      <w:r w:rsidR="006707A6" w:rsidRPr="00263E20">
        <w:rPr>
          <w:rFonts w:ascii="Times New Roman" w:hAnsi="Times New Roman"/>
        </w:rPr>
        <w:t xml:space="preserve">parties involved in the importation of the pesticide or device </w:t>
      </w:r>
      <w:r w:rsidRPr="00263E20">
        <w:rPr>
          <w:rFonts w:ascii="Times New Roman" w:hAnsi="Times New Roman"/>
        </w:rPr>
        <w:t xml:space="preserve">and information on the identity of the imported pesticide or device shipment. </w:t>
      </w:r>
      <w:r w:rsidR="0029190C" w:rsidRPr="00263E20">
        <w:rPr>
          <w:rFonts w:ascii="Times New Roman" w:hAnsi="Times New Roman"/>
        </w:rPr>
        <w:t xml:space="preserve">When </w:t>
      </w:r>
      <w:r w:rsidR="00BD3679" w:rsidRPr="00263E20">
        <w:rPr>
          <w:rFonts w:ascii="Times New Roman" w:hAnsi="Times New Roman"/>
        </w:rPr>
        <w:t>the NOA</w:t>
      </w:r>
      <w:r w:rsidR="00C515D0" w:rsidRPr="00263E20">
        <w:rPr>
          <w:rFonts w:ascii="Times New Roman" w:hAnsi="Times New Roman"/>
        </w:rPr>
        <w:t xml:space="preserve"> </w:t>
      </w:r>
      <w:r w:rsidR="0029190C" w:rsidRPr="00263E20">
        <w:rPr>
          <w:rFonts w:ascii="Times New Roman" w:hAnsi="Times New Roman"/>
        </w:rPr>
        <w:t>is submitted to</w:t>
      </w:r>
      <w:r w:rsidR="00500EBB" w:rsidRPr="00263E20">
        <w:rPr>
          <w:rFonts w:ascii="Times New Roman" w:hAnsi="Times New Roman"/>
        </w:rPr>
        <w:t xml:space="preserve"> the </w:t>
      </w:r>
      <w:r w:rsidR="0029190C" w:rsidRPr="00263E20">
        <w:rPr>
          <w:rFonts w:ascii="Times New Roman" w:hAnsi="Times New Roman"/>
        </w:rPr>
        <w:t>EPA region</w:t>
      </w:r>
      <w:r w:rsidR="00247355" w:rsidRPr="00263E20">
        <w:rPr>
          <w:rFonts w:ascii="Times New Roman" w:hAnsi="Times New Roman"/>
        </w:rPr>
        <w:t>al office</w:t>
      </w:r>
      <w:r w:rsidR="00500EBB" w:rsidRPr="00263E20">
        <w:rPr>
          <w:rFonts w:ascii="Times New Roman" w:hAnsi="Times New Roman"/>
        </w:rPr>
        <w:t xml:space="preserve"> having jurisdiction over the state or territory in which the port of entry is located, </w:t>
      </w:r>
      <w:r w:rsidR="00D73A5F" w:rsidRPr="00263E20">
        <w:rPr>
          <w:rFonts w:ascii="Times New Roman" w:hAnsi="Times New Roman"/>
        </w:rPr>
        <w:t xml:space="preserve">EPA enforcement </w:t>
      </w:r>
      <w:r w:rsidR="00AE1491" w:rsidRPr="00263E20">
        <w:rPr>
          <w:rFonts w:ascii="Times New Roman" w:hAnsi="Times New Roman"/>
        </w:rPr>
        <w:t xml:space="preserve">personnel </w:t>
      </w:r>
      <w:r w:rsidR="00BD3679" w:rsidRPr="00263E20">
        <w:rPr>
          <w:rFonts w:ascii="Times New Roman" w:hAnsi="Times New Roman"/>
        </w:rPr>
        <w:t>will</w:t>
      </w:r>
      <w:r w:rsidR="0029190C" w:rsidRPr="00263E20">
        <w:rPr>
          <w:rFonts w:ascii="Times New Roman" w:hAnsi="Times New Roman"/>
        </w:rPr>
        <w:t xml:space="preserve"> determine whether the shipment should be released for entry upon arrival</w:t>
      </w:r>
      <w:r w:rsidR="00E677CB" w:rsidRPr="00263E20">
        <w:rPr>
          <w:rFonts w:ascii="Times New Roman" w:hAnsi="Times New Roman"/>
        </w:rPr>
        <w:t>,</w:t>
      </w:r>
      <w:r w:rsidR="0029190C" w:rsidRPr="00263E20">
        <w:rPr>
          <w:rFonts w:ascii="Times New Roman" w:hAnsi="Times New Roman"/>
        </w:rPr>
        <w:t xml:space="preserve"> </w:t>
      </w:r>
      <w:r w:rsidR="00240CE1" w:rsidRPr="00263E20">
        <w:rPr>
          <w:rFonts w:ascii="Times New Roman" w:hAnsi="Times New Roman"/>
        </w:rPr>
        <w:t xml:space="preserve">detained </w:t>
      </w:r>
      <w:r w:rsidR="0029190C" w:rsidRPr="00263E20">
        <w:rPr>
          <w:rFonts w:ascii="Times New Roman" w:hAnsi="Times New Roman"/>
        </w:rPr>
        <w:t>for examination</w:t>
      </w:r>
      <w:r w:rsidR="00E677CB" w:rsidRPr="00263E20">
        <w:rPr>
          <w:rFonts w:ascii="Times New Roman" w:hAnsi="Times New Roman"/>
        </w:rPr>
        <w:t>, or refused</w:t>
      </w:r>
      <w:r w:rsidR="0073121F" w:rsidRPr="00263E20">
        <w:rPr>
          <w:rFonts w:ascii="Times New Roman" w:hAnsi="Times New Roman"/>
        </w:rPr>
        <w:t xml:space="preserve"> admission into the United States</w:t>
      </w:r>
      <w:r w:rsidR="00E677CB" w:rsidRPr="00263E20">
        <w:rPr>
          <w:rFonts w:ascii="Times New Roman" w:hAnsi="Times New Roman"/>
        </w:rPr>
        <w:t>.</w:t>
      </w:r>
      <w:r w:rsidR="0029190C" w:rsidRPr="00263E20">
        <w:rPr>
          <w:rFonts w:ascii="Times New Roman" w:hAnsi="Times New Roman"/>
        </w:rPr>
        <w:t xml:space="preserve"> The responsible EPA official returns the </w:t>
      </w:r>
      <w:r w:rsidR="00BD3679" w:rsidRPr="00263E20">
        <w:rPr>
          <w:rFonts w:ascii="Times New Roman" w:hAnsi="Times New Roman"/>
        </w:rPr>
        <w:t xml:space="preserve">NOA </w:t>
      </w:r>
      <w:r w:rsidR="0029190C" w:rsidRPr="00263E20">
        <w:rPr>
          <w:rFonts w:ascii="Times New Roman" w:hAnsi="Times New Roman"/>
        </w:rPr>
        <w:t xml:space="preserve">to the </w:t>
      </w:r>
      <w:r w:rsidR="00F277DC" w:rsidRPr="00263E20">
        <w:rPr>
          <w:rFonts w:ascii="Times New Roman" w:hAnsi="Times New Roman"/>
        </w:rPr>
        <w:t xml:space="preserve">importer or broker </w:t>
      </w:r>
      <w:r w:rsidR="0029190C" w:rsidRPr="00263E20">
        <w:rPr>
          <w:rFonts w:ascii="Times New Roman" w:hAnsi="Times New Roman"/>
        </w:rPr>
        <w:t xml:space="preserve">with EPA instructions to </w:t>
      </w:r>
      <w:r w:rsidR="005A2010" w:rsidRPr="00263E20">
        <w:rPr>
          <w:rFonts w:ascii="Times New Roman" w:hAnsi="Times New Roman"/>
        </w:rPr>
        <w:t>C</w:t>
      </w:r>
      <w:r w:rsidR="0055597A" w:rsidRPr="00263E20">
        <w:rPr>
          <w:rFonts w:ascii="Times New Roman" w:hAnsi="Times New Roman"/>
        </w:rPr>
        <w:t>ustom</w:t>
      </w:r>
      <w:r w:rsidR="00A546BB" w:rsidRPr="00263E20">
        <w:rPr>
          <w:rFonts w:ascii="Times New Roman" w:hAnsi="Times New Roman"/>
        </w:rPr>
        <w:t>s</w:t>
      </w:r>
      <w:r w:rsidR="005A2010" w:rsidRPr="00263E20" w:rsidDel="005A2010">
        <w:rPr>
          <w:rFonts w:ascii="Times New Roman" w:hAnsi="Times New Roman"/>
        </w:rPr>
        <w:t xml:space="preserve"> </w:t>
      </w:r>
      <w:r w:rsidR="0029190C" w:rsidRPr="00263E20">
        <w:rPr>
          <w:rFonts w:ascii="Times New Roman" w:hAnsi="Times New Roman"/>
        </w:rPr>
        <w:t>as to the disposition of the shipment.</w:t>
      </w:r>
    </w:p>
    <w:p w14:paraId="0C98FECE" w14:textId="77777777" w:rsidR="00E17791" w:rsidRPr="00263E20" w:rsidRDefault="00E17791" w:rsidP="00E17791">
      <w:pPr>
        <w:ind w:firstLine="720"/>
        <w:rPr>
          <w:rFonts w:ascii="Times New Roman" w:hAnsi="Times New Roman"/>
        </w:rPr>
      </w:pPr>
    </w:p>
    <w:p w14:paraId="6473D876" w14:textId="55C00FCB" w:rsidR="0029190C" w:rsidRDefault="00BE7FD6" w:rsidP="0029190C">
      <w:pPr>
        <w:rPr>
          <w:rFonts w:ascii="Times New Roman" w:hAnsi="Times New Roman"/>
        </w:rPr>
      </w:pPr>
      <w:r w:rsidRPr="00263E20">
        <w:rPr>
          <w:rFonts w:ascii="Times New Roman" w:hAnsi="Times New Roman"/>
        </w:rPr>
        <w:tab/>
        <w:t>Upon the arrival of the shipment, the importer</w:t>
      </w:r>
      <w:r w:rsidR="00F277DC" w:rsidRPr="00263E20">
        <w:rPr>
          <w:rFonts w:ascii="Times New Roman" w:hAnsi="Times New Roman"/>
        </w:rPr>
        <w:t xml:space="preserve"> or broker</w:t>
      </w:r>
      <w:r w:rsidRPr="00263E20">
        <w:rPr>
          <w:rFonts w:ascii="Times New Roman" w:hAnsi="Times New Roman"/>
        </w:rPr>
        <w:t xml:space="preserve"> </w:t>
      </w:r>
      <w:r w:rsidR="00BD3679" w:rsidRPr="00263E20">
        <w:rPr>
          <w:rFonts w:ascii="Times New Roman" w:hAnsi="Times New Roman"/>
        </w:rPr>
        <w:t xml:space="preserve">must </w:t>
      </w:r>
      <w:r w:rsidRPr="00263E20">
        <w:rPr>
          <w:rFonts w:ascii="Times New Roman" w:hAnsi="Times New Roman"/>
        </w:rPr>
        <w:t xml:space="preserve">present the completed </w:t>
      </w:r>
      <w:r w:rsidR="0041241D">
        <w:rPr>
          <w:rFonts w:ascii="Times New Roman" w:hAnsi="Times New Roman"/>
        </w:rPr>
        <w:t xml:space="preserve">paper </w:t>
      </w:r>
      <w:r w:rsidRPr="00263E20">
        <w:rPr>
          <w:rFonts w:ascii="Times New Roman" w:hAnsi="Times New Roman"/>
        </w:rPr>
        <w:t>NOA to the C</w:t>
      </w:r>
      <w:r w:rsidR="0055597A" w:rsidRPr="00263E20">
        <w:rPr>
          <w:rFonts w:ascii="Times New Roman" w:hAnsi="Times New Roman"/>
        </w:rPr>
        <w:t>ustoms</w:t>
      </w:r>
      <w:r w:rsidRPr="00263E20">
        <w:rPr>
          <w:rFonts w:ascii="Times New Roman" w:hAnsi="Times New Roman"/>
        </w:rPr>
        <w:t xml:space="preserve"> </w:t>
      </w:r>
      <w:r w:rsidR="00DC5B94" w:rsidRPr="00263E20">
        <w:rPr>
          <w:rFonts w:ascii="Times New Roman" w:hAnsi="Times New Roman"/>
        </w:rPr>
        <w:t xml:space="preserve">and Border Protection’s </w:t>
      </w:r>
      <w:r w:rsidRPr="00263E20">
        <w:rPr>
          <w:rFonts w:ascii="Times New Roman" w:hAnsi="Times New Roman"/>
        </w:rPr>
        <w:t xml:space="preserve">port of entry. </w:t>
      </w:r>
      <w:r w:rsidR="00DC5B94" w:rsidRPr="00263E20">
        <w:rPr>
          <w:rFonts w:ascii="Times New Roman" w:hAnsi="Times New Roman"/>
        </w:rPr>
        <w:t>The</w:t>
      </w:r>
      <w:r w:rsidRPr="00263E20">
        <w:rPr>
          <w:rFonts w:ascii="Times New Roman" w:hAnsi="Times New Roman"/>
        </w:rPr>
        <w:t xml:space="preserve"> entry </w:t>
      </w:r>
      <w:r w:rsidR="00FE5B7C" w:rsidRPr="00263E20">
        <w:rPr>
          <w:rFonts w:ascii="Times New Roman" w:hAnsi="Times New Roman"/>
        </w:rPr>
        <w:t xml:space="preserve">information </w:t>
      </w:r>
      <w:r w:rsidRPr="00263E20">
        <w:rPr>
          <w:rFonts w:ascii="Times New Roman" w:hAnsi="Times New Roman"/>
        </w:rPr>
        <w:t xml:space="preserve">for </w:t>
      </w:r>
      <w:r w:rsidR="00DC5B94" w:rsidRPr="00263E20">
        <w:rPr>
          <w:rFonts w:ascii="Times New Roman" w:hAnsi="Times New Roman"/>
        </w:rPr>
        <w:t xml:space="preserve">each </w:t>
      </w:r>
      <w:r w:rsidRPr="00263E20">
        <w:rPr>
          <w:rFonts w:ascii="Times New Roman" w:hAnsi="Times New Roman"/>
        </w:rPr>
        <w:t xml:space="preserve">shipment </w:t>
      </w:r>
      <w:r w:rsidR="00DC5B94" w:rsidRPr="00263E20">
        <w:rPr>
          <w:rFonts w:ascii="Times New Roman" w:hAnsi="Times New Roman"/>
        </w:rPr>
        <w:t xml:space="preserve">will be handled </w:t>
      </w:r>
      <w:r w:rsidRPr="00263E20">
        <w:rPr>
          <w:rFonts w:ascii="Times New Roman" w:hAnsi="Times New Roman"/>
        </w:rPr>
        <w:t xml:space="preserve">with the NOA and </w:t>
      </w:r>
      <w:r w:rsidR="004A5261" w:rsidRPr="00263E20">
        <w:rPr>
          <w:rFonts w:ascii="Times New Roman" w:hAnsi="Times New Roman"/>
        </w:rPr>
        <w:t>Customs</w:t>
      </w:r>
      <w:r w:rsidR="00DC5B94" w:rsidRPr="00263E20">
        <w:rPr>
          <w:rFonts w:ascii="Times New Roman" w:hAnsi="Times New Roman"/>
        </w:rPr>
        <w:t xml:space="preserve"> </w:t>
      </w:r>
      <w:r w:rsidRPr="00263E20">
        <w:rPr>
          <w:rFonts w:ascii="Times New Roman" w:hAnsi="Times New Roman"/>
        </w:rPr>
        <w:t>notifies the EPA regional office of any discrepancies, which EPA will resolve with the importer</w:t>
      </w:r>
      <w:r w:rsidR="00F277DC" w:rsidRPr="00263E20">
        <w:rPr>
          <w:rFonts w:ascii="Times New Roman" w:hAnsi="Times New Roman"/>
        </w:rPr>
        <w:t xml:space="preserve"> or broker</w:t>
      </w:r>
      <w:r w:rsidRPr="00263E20">
        <w:rPr>
          <w:rFonts w:ascii="Times New Roman" w:hAnsi="Times New Roman"/>
        </w:rPr>
        <w:t>. If there are no discrepancies, C</w:t>
      </w:r>
      <w:r w:rsidR="0055597A" w:rsidRPr="00263E20">
        <w:rPr>
          <w:rFonts w:ascii="Times New Roman" w:hAnsi="Times New Roman"/>
        </w:rPr>
        <w:t>ustoms</w:t>
      </w:r>
      <w:r w:rsidRPr="00263E20">
        <w:rPr>
          <w:rFonts w:ascii="Times New Roman" w:hAnsi="Times New Roman"/>
        </w:rPr>
        <w:t xml:space="preserve"> follows instructions regarding release, detention, or refusal. If there are discrepancies, the shipment may be detained until cleared for release</w:t>
      </w:r>
      <w:r w:rsidR="00247355" w:rsidRPr="00263E20">
        <w:rPr>
          <w:rFonts w:ascii="Times New Roman" w:hAnsi="Times New Roman"/>
        </w:rPr>
        <w:t>,</w:t>
      </w:r>
      <w:r w:rsidRPr="00263E20">
        <w:rPr>
          <w:rFonts w:ascii="Times New Roman" w:hAnsi="Times New Roman"/>
        </w:rPr>
        <w:t xml:space="preserve"> or retained for examination. If EPA inspects the shipment and it appears from examination of a sample that it is adulterated, </w:t>
      </w:r>
      <w:r w:rsidR="0029190C" w:rsidRPr="00263E20">
        <w:rPr>
          <w:rFonts w:ascii="Times New Roman" w:hAnsi="Times New Roman"/>
        </w:rPr>
        <w:t>misbranded</w:t>
      </w:r>
      <w:r w:rsidR="00240CE1" w:rsidRPr="00263E20">
        <w:rPr>
          <w:rFonts w:ascii="Times New Roman" w:hAnsi="Times New Roman"/>
        </w:rPr>
        <w:t>,</w:t>
      </w:r>
      <w:r w:rsidR="0029190C" w:rsidRPr="00263E20">
        <w:rPr>
          <w:rFonts w:ascii="Times New Roman" w:hAnsi="Times New Roman"/>
        </w:rPr>
        <w:t xml:space="preserve"> or otherwise violates the provisions of FIFRA, or is otherwise injurious to health or the environment, the pesticide or device may be refused admission into the United States.</w:t>
      </w:r>
    </w:p>
    <w:p w14:paraId="12D0B578" w14:textId="77777777" w:rsidR="005F083F" w:rsidRDefault="005F083F" w:rsidP="0029190C">
      <w:pPr>
        <w:rPr>
          <w:rFonts w:ascii="Times New Roman" w:hAnsi="Times New Roman"/>
        </w:rPr>
      </w:pPr>
    </w:p>
    <w:p w14:paraId="6A57D06C" w14:textId="7257B4F9" w:rsidR="00D86DE0" w:rsidRDefault="005F083F" w:rsidP="007C000F">
      <w:pPr>
        <w:rPr>
          <w:rFonts w:ascii="Times New Roman" w:hAnsi="Times New Roman"/>
        </w:rPr>
      </w:pPr>
      <w:r>
        <w:rPr>
          <w:rFonts w:ascii="Times New Roman" w:hAnsi="Times New Roman"/>
        </w:rPr>
        <w:tab/>
      </w:r>
      <w:r w:rsidR="00D86DE0" w:rsidRPr="00D86DE0">
        <w:rPr>
          <w:rFonts w:ascii="Times New Roman" w:hAnsi="Times New Roman"/>
        </w:rPr>
        <w:t xml:space="preserve">On February 19, 2014, President Obama issued Executive Order (EO) 13659, Streamlining the Export/Import Process for America’s Businesses, in order to reduce unnecessary procedural requirements relating to, among other things, importing into the United States, while continuing to protect national security, public health and safety, the environment, and natural resources. See 79 FR 10657 (February 25, 2014). Among other directives, EO 13659 mandates that no later than December 31, 2016, </w:t>
      </w:r>
      <w:r w:rsidR="00D86DE0">
        <w:rPr>
          <w:rFonts w:ascii="Times New Roman" w:hAnsi="Times New Roman"/>
        </w:rPr>
        <w:t>International Trade Data System</w:t>
      </w:r>
      <w:r w:rsidR="00D86DE0" w:rsidRPr="00D86DE0">
        <w:rPr>
          <w:rFonts w:ascii="Times New Roman" w:hAnsi="Times New Roman"/>
        </w:rPr>
        <w:t xml:space="preserve"> </w:t>
      </w:r>
      <w:r w:rsidR="00D86DE0">
        <w:rPr>
          <w:rFonts w:ascii="Times New Roman" w:hAnsi="Times New Roman"/>
        </w:rPr>
        <w:t>(</w:t>
      </w:r>
      <w:r w:rsidR="00D86DE0" w:rsidRPr="00D86DE0">
        <w:rPr>
          <w:rFonts w:ascii="Times New Roman" w:hAnsi="Times New Roman"/>
        </w:rPr>
        <w:t>ITDS</w:t>
      </w:r>
      <w:r w:rsidR="00D86DE0">
        <w:rPr>
          <w:rFonts w:ascii="Times New Roman" w:hAnsi="Times New Roman"/>
        </w:rPr>
        <w:t>)</w:t>
      </w:r>
      <w:r w:rsidR="00D86DE0" w:rsidRPr="00D86DE0">
        <w:rPr>
          <w:rFonts w:ascii="Times New Roman" w:hAnsi="Times New Roman"/>
        </w:rPr>
        <w:t xml:space="preserve"> “agencies shall have capabilities, agreements, and other requirements in place to utilize the ITDS and supporting systems, such as the Automated </w:t>
      </w:r>
      <w:r w:rsidR="00D86DE0" w:rsidRPr="00D86DE0">
        <w:rPr>
          <w:rFonts w:ascii="Times New Roman" w:hAnsi="Times New Roman"/>
        </w:rPr>
        <w:lastRenderedPageBreak/>
        <w:t xml:space="preserve">Commercial Environment [ACE], as the primary means of receiving from users … the standard set of data and other relevant documentation (exclusive of applications for permits, licenses, or certifications) required for the release of imported cargo…” By that time, ACE is expected to have the operational capabilities necessary to enable users to transmit a harmonized set of import data elements, via a “single window,” to obtain the release and clearance of goods. As a result, ITDS would eliminate redundant reporting requirements and facilitate the transition from paper-based requirements reporting and other procedures to faster and more cost-effective electronic submissions to, and communication among, government agencies. </w:t>
      </w:r>
    </w:p>
    <w:p w14:paraId="47EA1A46" w14:textId="77777777" w:rsidR="00D86DE0" w:rsidRDefault="00D86DE0" w:rsidP="007C000F">
      <w:pPr>
        <w:rPr>
          <w:rFonts w:ascii="Times New Roman" w:hAnsi="Times New Roman"/>
        </w:rPr>
      </w:pPr>
    </w:p>
    <w:p w14:paraId="6CAB1D10" w14:textId="70ACCDF7" w:rsidR="00D61F95" w:rsidRDefault="0095352C" w:rsidP="002E052F">
      <w:pPr>
        <w:ind w:firstLine="720"/>
        <w:rPr>
          <w:rFonts w:ascii="Times New Roman" w:hAnsi="Times New Roman"/>
        </w:rPr>
      </w:pPr>
      <w:r>
        <w:rPr>
          <w:rFonts w:ascii="Times New Roman" w:hAnsi="Times New Roman"/>
        </w:rPr>
        <w:t>To support the implementation of ITDS</w:t>
      </w:r>
      <w:r w:rsidR="005F083F">
        <w:rPr>
          <w:rFonts w:ascii="Times New Roman" w:hAnsi="Times New Roman"/>
        </w:rPr>
        <w:t xml:space="preserve">, </w:t>
      </w:r>
      <w:r w:rsidR="00BE0E26">
        <w:rPr>
          <w:rFonts w:ascii="Times New Roman" w:hAnsi="Times New Roman"/>
        </w:rPr>
        <w:t xml:space="preserve">EPA </w:t>
      </w:r>
      <w:r w:rsidR="007A3CF1">
        <w:rPr>
          <w:rFonts w:ascii="Times New Roman" w:hAnsi="Times New Roman"/>
        </w:rPr>
        <w:t>began</w:t>
      </w:r>
      <w:r w:rsidR="00D7447F">
        <w:rPr>
          <w:rFonts w:ascii="Times New Roman" w:hAnsi="Times New Roman"/>
        </w:rPr>
        <w:t xml:space="preserve"> </w:t>
      </w:r>
      <w:r w:rsidR="00BE0E26">
        <w:rPr>
          <w:rFonts w:ascii="Times New Roman" w:hAnsi="Times New Roman"/>
        </w:rPr>
        <w:t>collecting NOA information elec</w:t>
      </w:r>
      <w:r w:rsidR="002E052F">
        <w:rPr>
          <w:rFonts w:ascii="Times New Roman" w:hAnsi="Times New Roman"/>
        </w:rPr>
        <w:t xml:space="preserve">tronically </w:t>
      </w:r>
      <w:r w:rsidR="005F12C7">
        <w:rPr>
          <w:rFonts w:ascii="Times New Roman" w:hAnsi="Times New Roman"/>
        </w:rPr>
        <w:t xml:space="preserve">in June 2016 </w:t>
      </w:r>
      <w:r w:rsidR="002E052F">
        <w:rPr>
          <w:rFonts w:ascii="Times New Roman" w:hAnsi="Times New Roman"/>
        </w:rPr>
        <w:t xml:space="preserve">through the “Emergency Processing Request for Information Collected in </w:t>
      </w:r>
      <w:r w:rsidR="00BE0E26">
        <w:rPr>
          <w:rFonts w:ascii="Times New Roman" w:hAnsi="Times New Roman"/>
        </w:rPr>
        <w:t xml:space="preserve">ITDS Pilot </w:t>
      </w:r>
      <w:r w:rsidR="002E052F">
        <w:rPr>
          <w:rFonts w:ascii="Times New Roman" w:hAnsi="Times New Roman"/>
        </w:rPr>
        <w:t xml:space="preserve">for Pesticide Notice of Arrival” </w:t>
      </w:r>
      <w:r w:rsidR="00BE0E26">
        <w:rPr>
          <w:rFonts w:ascii="Times New Roman" w:hAnsi="Times New Roman"/>
        </w:rPr>
        <w:t xml:space="preserve">ICR (OMB Control No. 2070-0020; EPA ICR No. 0152.11; ICR Ref. No. 201606-2070-002). </w:t>
      </w:r>
      <w:r w:rsidR="002E052F">
        <w:rPr>
          <w:rFonts w:ascii="Times New Roman" w:hAnsi="Times New Roman"/>
        </w:rPr>
        <w:t xml:space="preserve">This pilot was </w:t>
      </w:r>
      <w:r w:rsidR="002E052F" w:rsidRPr="002E052F">
        <w:rPr>
          <w:rFonts w:ascii="Times New Roman" w:hAnsi="Times New Roman"/>
        </w:rPr>
        <w:t xml:space="preserve">necessary for successful testing of </w:t>
      </w:r>
      <w:r w:rsidR="002E052F">
        <w:rPr>
          <w:rFonts w:ascii="Times New Roman" w:hAnsi="Times New Roman"/>
        </w:rPr>
        <w:t>ITDS</w:t>
      </w:r>
      <w:r w:rsidR="002E052F" w:rsidRPr="002E052F">
        <w:rPr>
          <w:rFonts w:ascii="Times New Roman" w:hAnsi="Times New Roman"/>
        </w:rPr>
        <w:t xml:space="preserve"> before the December 31, 2016 deadline established in EO 13659</w:t>
      </w:r>
      <w:r w:rsidR="007A3CF1">
        <w:rPr>
          <w:rFonts w:ascii="Times New Roman" w:hAnsi="Times New Roman"/>
        </w:rPr>
        <w:t>.</w:t>
      </w:r>
      <w:r w:rsidR="002E052F" w:rsidRPr="002E052F">
        <w:rPr>
          <w:rFonts w:ascii="Times New Roman" w:hAnsi="Times New Roman"/>
        </w:rPr>
        <w:t xml:space="preserve"> More specifically, the EPA </w:t>
      </w:r>
      <w:r w:rsidR="002E052F">
        <w:rPr>
          <w:rFonts w:ascii="Times New Roman" w:hAnsi="Times New Roman"/>
        </w:rPr>
        <w:t>requested the</w:t>
      </w:r>
      <w:r w:rsidR="002E052F" w:rsidRPr="002E052F">
        <w:rPr>
          <w:rFonts w:ascii="Times New Roman" w:hAnsi="Times New Roman"/>
        </w:rPr>
        <w:t xml:space="preserve"> emergency processing of the collection of a few additional data elements in the ITDS pilot for pesticides and devices that </w:t>
      </w:r>
      <w:r w:rsidR="002E052F">
        <w:rPr>
          <w:rFonts w:ascii="Times New Roman" w:hAnsi="Times New Roman"/>
        </w:rPr>
        <w:t>were</w:t>
      </w:r>
      <w:r w:rsidR="002E052F" w:rsidRPr="002E052F">
        <w:rPr>
          <w:rFonts w:ascii="Times New Roman" w:hAnsi="Times New Roman"/>
        </w:rPr>
        <w:t xml:space="preserve"> not covered by </w:t>
      </w:r>
      <w:r w:rsidR="002E052F">
        <w:rPr>
          <w:rFonts w:ascii="Times New Roman" w:hAnsi="Times New Roman"/>
        </w:rPr>
        <w:t xml:space="preserve">EPA ICR No. 0152.10. </w:t>
      </w:r>
    </w:p>
    <w:p w14:paraId="7B86D5E9" w14:textId="77777777" w:rsidR="00D61F95" w:rsidRDefault="00D61F95" w:rsidP="002E052F">
      <w:pPr>
        <w:ind w:firstLine="720"/>
        <w:rPr>
          <w:rFonts w:ascii="Times New Roman" w:hAnsi="Times New Roman"/>
        </w:rPr>
      </w:pPr>
    </w:p>
    <w:p w14:paraId="6BCE6BB9" w14:textId="11A3CA6D" w:rsidR="005F083F" w:rsidRPr="00263E20" w:rsidRDefault="002E052F" w:rsidP="002E052F">
      <w:pPr>
        <w:ind w:firstLine="720"/>
        <w:rPr>
          <w:rFonts w:ascii="Times New Roman" w:hAnsi="Times New Roman"/>
        </w:rPr>
      </w:pPr>
      <w:r>
        <w:rPr>
          <w:rFonts w:ascii="Times New Roman" w:hAnsi="Times New Roman"/>
        </w:rPr>
        <w:t xml:space="preserve">Under the ITDS pilot, </w:t>
      </w:r>
      <w:r w:rsidR="005F083F">
        <w:rPr>
          <w:rFonts w:ascii="Times New Roman" w:hAnsi="Times New Roman"/>
        </w:rPr>
        <w:t>i</w:t>
      </w:r>
      <w:r w:rsidR="005F083F" w:rsidRPr="005F083F">
        <w:rPr>
          <w:rFonts w:ascii="Times New Roman" w:hAnsi="Times New Roman"/>
        </w:rPr>
        <w:t>mporter</w:t>
      </w:r>
      <w:r w:rsidR="005F083F">
        <w:rPr>
          <w:rFonts w:ascii="Times New Roman" w:hAnsi="Times New Roman"/>
        </w:rPr>
        <w:t>s</w:t>
      </w:r>
      <w:r w:rsidR="005F083F" w:rsidRPr="005F083F">
        <w:rPr>
          <w:rFonts w:ascii="Times New Roman" w:hAnsi="Times New Roman"/>
        </w:rPr>
        <w:t xml:space="preserve"> </w:t>
      </w:r>
      <w:r w:rsidR="00FC4063">
        <w:rPr>
          <w:rFonts w:ascii="Times New Roman" w:hAnsi="Times New Roman"/>
        </w:rPr>
        <w:t>were given</w:t>
      </w:r>
      <w:r w:rsidR="00FC4063" w:rsidRPr="005F083F">
        <w:rPr>
          <w:rFonts w:ascii="Times New Roman" w:hAnsi="Times New Roman"/>
        </w:rPr>
        <w:t xml:space="preserve"> </w:t>
      </w:r>
      <w:r w:rsidR="005F083F" w:rsidRPr="005F083F">
        <w:rPr>
          <w:rFonts w:ascii="Times New Roman" w:hAnsi="Times New Roman"/>
        </w:rPr>
        <w:t xml:space="preserve">the option to electronically file the data needed for a NOA through </w:t>
      </w:r>
      <w:r w:rsidR="00BE0E26">
        <w:rPr>
          <w:rFonts w:ascii="Times New Roman" w:hAnsi="Times New Roman"/>
        </w:rPr>
        <w:t xml:space="preserve">Custom’s </w:t>
      </w:r>
      <w:r w:rsidR="00BE0E26" w:rsidRPr="00D61F95">
        <w:rPr>
          <w:rFonts w:ascii="Times New Roman" w:hAnsi="Times New Roman"/>
        </w:rPr>
        <w:t>ACE</w:t>
      </w:r>
      <w:r w:rsidR="005F083F" w:rsidRPr="005F083F">
        <w:rPr>
          <w:rFonts w:ascii="Times New Roman" w:hAnsi="Times New Roman"/>
        </w:rPr>
        <w:t xml:space="preserve">. Both the electronic and paper NOAs </w:t>
      </w:r>
      <w:r w:rsidR="0035399C">
        <w:rPr>
          <w:rFonts w:ascii="Times New Roman" w:hAnsi="Times New Roman"/>
        </w:rPr>
        <w:t>collect</w:t>
      </w:r>
      <w:r w:rsidR="0035399C" w:rsidRPr="005F083F">
        <w:rPr>
          <w:rFonts w:ascii="Times New Roman" w:hAnsi="Times New Roman"/>
        </w:rPr>
        <w:t xml:space="preserve"> </w:t>
      </w:r>
      <w:r w:rsidR="005F083F" w:rsidRPr="005F083F">
        <w:rPr>
          <w:rFonts w:ascii="Times New Roman" w:hAnsi="Times New Roman"/>
        </w:rPr>
        <w:t>the same data that allow</w:t>
      </w:r>
      <w:r w:rsidR="00D61F95">
        <w:rPr>
          <w:rFonts w:ascii="Times New Roman" w:hAnsi="Times New Roman"/>
        </w:rPr>
        <w:t>s</w:t>
      </w:r>
      <w:r w:rsidR="005F083F" w:rsidRPr="005F083F">
        <w:rPr>
          <w:rFonts w:ascii="Times New Roman" w:hAnsi="Times New Roman"/>
        </w:rPr>
        <w:t xml:space="preserve"> EPA to determine whether the pesticide or device complies with FIFRA import requirements. Electronic filings offer the benefit of providing information once to ACE thus meeting both </w:t>
      </w:r>
      <w:r w:rsidR="00300D42">
        <w:rPr>
          <w:rFonts w:ascii="Times New Roman" w:hAnsi="Times New Roman"/>
        </w:rPr>
        <w:t>Customs</w:t>
      </w:r>
      <w:r w:rsidR="00300D42" w:rsidRPr="005F083F">
        <w:rPr>
          <w:rFonts w:ascii="Times New Roman" w:hAnsi="Times New Roman"/>
        </w:rPr>
        <w:t xml:space="preserve"> </w:t>
      </w:r>
      <w:r w:rsidR="005F083F" w:rsidRPr="005F083F">
        <w:rPr>
          <w:rFonts w:ascii="Times New Roman" w:hAnsi="Times New Roman"/>
        </w:rPr>
        <w:t>and EPA reporting requirements well in advance of the shipment’s arrival in the United States. Most of the electronic filings are automatically processed, and an early indication is provided to the filer if the initial reporting requirements have been met and if the shipment can be released upon arrival at the port of entry. For those filings that do not meet the reporting requirements, automatic checks will be performed to notify the filer of errors. For filings that require non-automated checks, EPA staff can review and provide feedback notifications through ACE to the filer on what information is needed that has not been provided.</w:t>
      </w:r>
      <w:r>
        <w:rPr>
          <w:rFonts w:ascii="Times New Roman" w:hAnsi="Times New Roman"/>
        </w:rPr>
        <w:t xml:space="preserve"> </w:t>
      </w:r>
      <w:r w:rsidR="00FC4063">
        <w:rPr>
          <w:rFonts w:ascii="Times New Roman" w:hAnsi="Times New Roman"/>
        </w:rPr>
        <w:t xml:space="preserve">Customs </w:t>
      </w:r>
      <w:r w:rsidR="00262E45">
        <w:rPr>
          <w:rFonts w:ascii="Times New Roman" w:hAnsi="Times New Roman"/>
        </w:rPr>
        <w:t xml:space="preserve">has since made </w:t>
      </w:r>
      <w:r w:rsidR="00FC4063">
        <w:rPr>
          <w:rFonts w:ascii="Times New Roman" w:hAnsi="Times New Roman"/>
        </w:rPr>
        <w:t xml:space="preserve">the electronic filing option available </w:t>
      </w:r>
      <w:r w:rsidR="0004378D">
        <w:rPr>
          <w:rFonts w:ascii="Times New Roman" w:hAnsi="Times New Roman"/>
        </w:rPr>
        <w:t xml:space="preserve">permanently </w:t>
      </w:r>
      <w:r w:rsidR="00FC4063">
        <w:rPr>
          <w:rFonts w:ascii="Times New Roman" w:hAnsi="Times New Roman"/>
        </w:rPr>
        <w:t>through an interim final rule</w:t>
      </w:r>
      <w:r w:rsidR="00262E45">
        <w:rPr>
          <w:rFonts w:ascii="Times New Roman" w:hAnsi="Times New Roman"/>
        </w:rPr>
        <w:t xml:space="preserve"> published on September 30, 2016 (81 FR 67140)</w:t>
      </w:r>
      <w:r w:rsidR="002F63B3">
        <w:rPr>
          <w:rFonts w:ascii="Times New Roman" w:hAnsi="Times New Roman"/>
        </w:rPr>
        <w:t>, and effective immediately</w:t>
      </w:r>
      <w:r>
        <w:rPr>
          <w:rFonts w:ascii="Times New Roman" w:hAnsi="Times New Roman"/>
        </w:rPr>
        <w:t xml:space="preserve">. This </w:t>
      </w:r>
      <w:r w:rsidR="0035399C">
        <w:rPr>
          <w:rFonts w:ascii="Times New Roman" w:hAnsi="Times New Roman"/>
        </w:rPr>
        <w:t xml:space="preserve">renewal </w:t>
      </w:r>
      <w:r>
        <w:rPr>
          <w:rFonts w:ascii="Times New Roman" w:hAnsi="Times New Roman"/>
        </w:rPr>
        <w:t xml:space="preserve">ICR </w:t>
      </w:r>
      <w:r w:rsidR="0035399C">
        <w:rPr>
          <w:rFonts w:ascii="Times New Roman" w:hAnsi="Times New Roman"/>
        </w:rPr>
        <w:t xml:space="preserve">incorporates the burdens from the emergency ITDS Pilot ICR and </w:t>
      </w:r>
      <w:r>
        <w:rPr>
          <w:rFonts w:ascii="Times New Roman" w:hAnsi="Times New Roman"/>
        </w:rPr>
        <w:t>now covers both paper and electronic filings</w:t>
      </w:r>
      <w:r w:rsidR="00F30C06">
        <w:rPr>
          <w:rFonts w:ascii="Times New Roman" w:hAnsi="Times New Roman"/>
        </w:rPr>
        <w:t xml:space="preserve"> of NOAs</w:t>
      </w:r>
      <w:r w:rsidR="008A1677">
        <w:rPr>
          <w:rFonts w:ascii="Times New Roman" w:hAnsi="Times New Roman"/>
        </w:rPr>
        <w:t xml:space="preserve"> as a result of the interim final rule</w:t>
      </w:r>
      <w:r>
        <w:rPr>
          <w:rFonts w:ascii="Times New Roman" w:hAnsi="Times New Roman"/>
        </w:rPr>
        <w:t xml:space="preserve">. </w:t>
      </w:r>
    </w:p>
    <w:p w14:paraId="4B44067A" w14:textId="77777777" w:rsidR="0055597A" w:rsidRPr="00263E20" w:rsidRDefault="0055597A" w:rsidP="00C0504A"/>
    <w:p w14:paraId="0BB94779" w14:textId="66834C8A" w:rsidR="00C755C0" w:rsidRPr="00263E20" w:rsidRDefault="0055597A" w:rsidP="00C0504A">
      <w:pPr>
        <w:rPr>
          <w:rFonts w:ascii="Times New Roman" w:hAnsi="Times New Roman"/>
        </w:rPr>
      </w:pPr>
      <w:r w:rsidRPr="00263E20">
        <w:rPr>
          <w:rFonts w:ascii="Times New Roman" w:hAnsi="Times New Roman"/>
        </w:rPr>
        <w:tab/>
      </w:r>
      <w:r w:rsidR="00C755C0" w:rsidRPr="00263E20">
        <w:rPr>
          <w:rFonts w:ascii="Times New Roman" w:hAnsi="Times New Roman"/>
        </w:rPr>
        <w:t>During th</w:t>
      </w:r>
      <w:r w:rsidR="002A215F" w:rsidRPr="00263E20">
        <w:rPr>
          <w:rFonts w:ascii="Times New Roman" w:hAnsi="Times New Roman"/>
        </w:rPr>
        <w:t>is</w:t>
      </w:r>
      <w:r w:rsidR="00C755C0" w:rsidRPr="00263E20">
        <w:rPr>
          <w:rFonts w:ascii="Times New Roman" w:hAnsi="Times New Roman"/>
        </w:rPr>
        <w:t xml:space="preserve"> renewal of this information collection,</w:t>
      </w:r>
      <w:r w:rsidR="00814236" w:rsidRPr="00263E20">
        <w:rPr>
          <w:rFonts w:ascii="Times New Roman" w:hAnsi="Times New Roman"/>
        </w:rPr>
        <w:t xml:space="preserve"> </w:t>
      </w:r>
      <w:r w:rsidR="00C755C0" w:rsidRPr="00263E20">
        <w:rPr>
          <w:rFonts w:ascii="Times New Roman" w:hAnsi="Times New Roman"/>
        </w:rPr>
        <w:t>EPA is</w:t>
      </w:r>
      <w:r w:rsidR="00E43926" w:rsidRPr="00263E20">
        <w:rPr>
          <w:rFonts w:ascii="Times New Roman" w:hAnsi="Times New Roman"/>
        </w:rPr>
        <w:t xml:space="preserve"> also </w:t>
      </w:r>
      <w:r w:rsidR="00C755C0" w:rsidRPr="00263E20">
        <w:rPr>
          <w:rFonts w:ascii="Times New Roman" w:hAnsi="Times New Roman"/>
        </w:rPr>
        <w:t xml:space="preserve">capturing the burden </w:t>
      </w:r>
      <w:r w:rsidR="00F207C2" w:rsidRPr="00263E20">
        <w:rPr>
          <w:rFonts w:ascii="Times New Roman" w:hAnsi="Times New Roman"/>
        </w:rPr>
        <w:t>of</w:t>
      </w:r>
      <w:r w:rsidR="00E43926" w:rsidRPr="00263E20">
        <w:rPr>
          <w:rFonts w:ascii="Times New Roman" w:hAnsi="Times New Roman"/>
        </w:rPr>
        <w:t xml:space="preserve"> providing</w:t>
      </w:r>
      <w:r w:rsidR="00CE255F" w:rsidRPr="00263E20">
        <w:rPr>
          <w:rFonts w:ascii="Times New Roman" w:hAnsi="Times New Roman"/>
        </w:rPr>
        <w:t xml:space="preserve"> the </w:t>
      </w:r>
      <w:r w:rsidR="007F54C6" w:rsidRPr="00263E20">
        <w:rPr>
          <w:rFonts w:ascii="Times New Roman" w:hAnsi="Times New Roman"/>
        </w:rPr>
        <w:t>label and other</w:t>
      </w:r>
      <w:r w:rsidR="00F207C2" w:rsidRPr="00263E20">
        <w:rPr>
          <w:rFonts w:ascii="Times New Roman" w:hAnsi="Times New Roman"/>
        </w:rPr>
        <w:t xml:space="preserve"> </w:t>
      </w:r>
      <w:r w:rsidR="006707A6" w:rsidRPr="00263E20">
        <w:rPr>
          <w:rFonts w:ascii="Times New Roman" w:hAnsi="Times New Roman"/>
        </w:rPr>
        <w:t xml:space="preserve">supporting documentation </w:t>
      </w:r>
      <w:r w:rsidR="00C755C0" w:rsidRPr="00263E20">
        <w:rPr>
          <w:rFonts w:ascii="Times New Roman" w:hAnsi="Times New Roman"/>
        </w:rPr>
        <w:t>that is currently submitted by</w:t>
      </w:r>
      <w:r w:rsidR="006707A6" w:rsidRPr="00263E20">
        <w:rPr>
          <w:rFonts w:ascii="Times New Roman" w:hAnsi="Times New Roman"/>
        </w:rPr>
        <w:t xml:space="preserve"> most</w:t>
      </w:r>
      <w:r w:rsidR="00247355" w:rsidRPr="00263E20">
        <w:rPr>
          <w:rFonts w:ascii="Times New Roman" w:hAnsi="Times New Roman"/>
        </w:rPr>
        <w:t xml:space="preserve"> </w:t>
      </w:r>
      <w:r w:rsidR="00C755C0" w:rsidRPr="00263E20">
        <w:rPr>
          <w:rFonts w:ascii="Times New Roman" w:hAnsi="Times New Roman"/>
        </w:rPr>
        <w:t>importers to</w:t>
      </w:r>
      <w:r w:rsidR="00C0504A" w:rsidRPr="00263E20">
        <w:rPr>
          <w:rFonts w:ascii="Times New Roman" w:hAnsi="Times New Roman"/>
        </w:rPr>
        <w:t xml:space="preserve"> the Agency </w:t>
      </w:r>
      <w:r w:rsidR="007F54C6" w:rsidRPr="00263E20">
        <w:rPr>
          <w:rFonts w:ascii="Times New Roman" w:hAnsi="Times New Roman"/>
        </w:rPr>
        <w:t xml:space="preserve">as part of </w:t>
      </w:r>
      <w:r w:rsidR="00FE5B7C" w:rsidRPr="00263E20">
        <w:rPr>
          <w:rFonts w:ascii="Times New Roman" w:hAnsi="Times New Roman"/>
        </w:rPr>
        <w:t xml:space="preserve">an </w:t>
      </w:r>
      <w:r w:rsidR="007F54C6" w:rsidRPr="00263E20">
        <w:rPr>
          <w:rFonts w:ascii="Times New Roman" w:hAnsi="Times New Roman"/>
        </w:rPr>
        <w:t xml:space="preserve">existing </w:t>
      </w:r>
      <w:r w:rsidR="00FE5B7C" w:rsidRPr="00263E20">
        <w:rPr>
          <w:rFonts w:ascii="Times New Roman" w:hAnsi="Times New Roman"/>
        </w:rPr>
        <w:t xml:space="preserve">voluntary </w:t>
      </w:r>
      <w:r w:rsidR="007F54C6" w:rsidRPr="00263E20">
        <w:rPr>
          <w:rFonts w:ascii="Times New Roman" w:hAnsi="Times New Roman"/>
        </w:rPr>
        <w:t>practice</w:t>
      </w:r>
      <w:r w:rsidR="000475D9" w:rsidRPr="00263E20">
        <w:rPr>
          <w:rFonts w:ascii="Times New Roman" w:hAnsi="Times New Roman"/>
        </w:rPr>
        <w:t>.</w:t>
      </w:r>
      <w:r w:rsidR="00C0504A" w:rsidRPr="00263E20">
        <w:rPr>
          <w:rFonts w:ascii="Times New Roman" w:hAnsi="Times New Roman"/>
        </w:rPr>
        <w:t xml:space="preserve"> </w:t>
      </w:r>
      <w:r w:rsidR="00C755C0" w:rsidRPr="00263E20">
        <w:rPr>
          <w:rFonts w:ascii="Times New Roman" w:hAnsi="Times New Roman"/>
        </w:rPr>
        <w:t xml:space="preserve">EPA has found that questions about a shipment can </w:t>
      </w:r>
      <w:r w:rsidR="00247355" w:rsidRPr="00263E20">
        <w:rPr>
          <w:rFonts w:ascii="Times New Roman" w:hAnsi="Times New Roman"/>
        </w:rPr>
        <w:t xml:space="preserve">often </w:t>
      </w:r>
      <w:r w:rsidR="00C755C0" w:rsidRPr="00263E20">
        <w:rPr>
          <w:rFonts w:ascii="Times New Roman" w:hAnsi="Times New Roman"/>
        </w:rPr>
        <w:t>be resolved if</w:t>
      </w:r>
      <w:r w:rsidR="006707A6" w:rsidRPr="00263E20">
        <w:rPr>
          <w:rFonts w:ascii="Times New Roman" w:hAnsi="Times New Roman"/>
        </w:rPr>
        <w:t xml:space="preserve"> </w:t>
      </w:r>
      <w:r w:rsidR="007F54C6" w:rsidRPr="00263E20">
        <w:rPr>
          <w:rFonts w:ascii="Times New Roman" w:hAnsi="Times New Roman"/>
        </w:rPr>
        <w:t xml:space="preserve">the label or other </w:t>
      </w:r>
      <w:r w:rsidR="006707A6" w:rsidRPr="00263E20">
        <w:rPr>
          <w:rFonts w:ascii="Times New Roman" w:hAnsi="Times New Roman"/>
        </w:rPr>
        <w:t>supporting documenta</w:t>
      </w:r>
      <w:r w:rsidR="00C755C0" w:rsidRPr="00263E20">
        <w:rPr>
          <w:rFonts w:ascii="Times New Roman" w:hAnsi="Times New Roman"/>
        </w:rPr>
        <w:t xml:space="preserve">tion </w:t>
      </w:r>
      <w:r w:rsidR="005C7CB6" w:rsidRPr="00263E20">
        <w:rPr>
          <w:rFonts w:ascii="Times New Roman" w:hAnsi="Times New Roman"/>
        </w:rPr>
        <w:t>accompanies</w:t>
      </w:r>
      <w:r w:rsidR="00F207C2" w:rsidRPr="00263E20">
        <w:rPr>
          <w:rFonts w:ascii="Times New Roman" w:hAnsi="Times New Roman"/>
        </w:rPr>
        <w:t xml:space="preserve"> the </w:t>
      </w:r>
      <w:r w:rsidR="00FE5B7C" w:rsidRPr="00263E20">
        <w:rPr>
          <w:rFonts w:ascii="Times New Roman" w:hAnsi="Times New Roman"/>
        </w:rPr>
        <w:t>NOA</w:t>
      </w:r>
      <w:r w:rsidR="00F207C2" w:rsidRPr="00263E20">
        <w:rPr>
          <w:rFonts w:ascii="Times New Roman" w:hAnsi="Times New Roman"/>
        </w:rPr>
        <w:t xml:space="preserve"> </w:t>
      </w:r>
      <w:r w:rsidR="000475D9" w:rsidRPr="00263E20">
        <w:rPr>
          <w:rFonts w:ascii="Times New Roman" w:hAnsi="Times New Roman"/>
        </w:rPr>
        <w:t>prior to the</w:t>
      </w:r>
      <w:r w:rsidR="00663DF7" w:rsidRPr="00263E20">
        <w:rPr>
          <w:rFonts w:ascii="Times New Roman" w:hAnsi="Times New Roman"/>
        </w:rPr>
        <w:t xml:space="preserve"> arrival of the</w:t>
      </w:r>
      <w:r w:rsidR="000475D9" w:rsidRPr="00263E20">
        <w:rPr>
          <w:rFonts w:ascii="Times New Roman" w:hAnsi="Times New Roman"/>
        </w:rPr>
        <w:t xml:space="preserve"> shipment in the U</w:t>
      </w:r>
      <w:r w:rsidR="00663DF7" w:rsidRPr="00263E20">
        <w:rPr>
          <w:rFonts w:ascii="Times New Roman" w:hAnsi="Times New Roman"/>
        </w:rPr>
        <w:t xml:space="preserve">nited </w:t>
      </w:r>
      <w:r w:rsidR="000475D9" w:rsidRPr="00263E20">
        <w:rPr>
          <w:rFonts w:ascii="Times New Roman" w:hAnsi="Times New Roman"/>
        </w:rPr>
        <w:t>S</w:t>
      </w:r>
      <w:r w:rsidR="00663DF7" w:rsidRPr="00263E20">
        <w:rPr>
          <w:rFonts w:ascii="Times New Roman" w:hAnsi="Times New Roman"/>
        </w:rPr>
        <w:t>tates</w:t>
      </w:r>
      <w:r w:rsidR="007C26A8" w:rsidRPr="00263E20">
        <w:rPr>
          <w:rFonts w:ascii="Times New Roman" w:hAnsi="Times New Roman"/>
        </w:rPr>
        <w:t xml:space="preserve">. </w:t>
      </w:r>
    </w:p>
    <w:p w14:paraId="5DF79591" w14:textId="77777777" w:rsidR="00772F14" w:rsidRPr="00263E20" w:rsidRDefault="00772F14">
      <w:pPr>
        <w:rPr>
          <w:rFonts w:ascii="Times New Roman" w:hAnsi="Times New Roman"/>
        </w:rPr>
      </w:pPr>
    </w:p>
    <w:p w14:paraId="7E31C6BF" w14:textId="49E47939" w:rsidR="00772F14" w:rsidRPr="00263E20" w:rsidRDefault="00772F14">
      <w:pPr>
        <w:ind w:firstLine="720"/>
        <w:rPr>
          <w:rFonts w:ascii="Times New Roman" w:hAnsi="Times New Roman"/>
        </w:rPr>
      </w:pPr>
      <w:r w:rsidRPr="00263E20">
        <w:rPr>
          <w:rFonts w:ascii="Times New Roman" w:hAnsi="Times New Roman"/>
        </w:rPr>
        <w:t xml:space="preserve">Respondents subject to this information collection include all importers of pesticides and </w:t>
      </w:r>
      <w:r w:rsidR="00C763A0" w:rsidRPr="00263E20">
        <w:rPr>
          <w:rFonts w:ascii="Times New Roman" w:hAnsi="Times New Roman"/>
        </w:rPr>
        <w:t xml:space="preserve">pesticidal </w:t>
      </w:r>
      <w:r w:rsidRPr="00263E20">
        <w:rPr>
          <w:rFonts w:ascii="Times New Roman" w:hAnsi="Times New Roman"/>
        </w:rPr>
        <w:t xml:space="preserve">devices as defined by FIFRA.   </w:t>
      </w:r>
    </w:p>
    <w:p w14:paraId="56A27CE1" w14:textId="77777777" w:rsidR="00772F14" w:rsidRPr="00263E20" w:rsidRDefault="00772F14">
      <w:pPr>
        <w:rPr>
          <w:rFonts w:ascii="Times New Roman" w:hAnsi="Times New Roman"/>
        </w:rPr>
      </w:pPr>
    </w:p>
    <w:p w14:paraId="329DA85E" w14:textId="77777777" w:rsidR="00772F14" w:rsidRPr="00263E20" w:rsidRDefault="00BE7FD6">
      <w:pPr>
        <w:rPr>
          <w:rFonts w:ascii="Times New Roman" w:hAnsi="Times New Roman"/>
          <w:b/>
          <w:bCs/>
        </w:rPr>
      </w:pPr>
      <w:r w:rsidRPr="00263E20">
        <w:rPr>
          <w:rFonts w:ascii="Times New Roman" w:hAnsi="Times New Roman"/>
          <w:b/>
          <w:bCs/>
        </w:rPr>
        <w:t>2. Need for and Use of the Collection</w:t>
      </w:r>
    </w:p>
    <w:p w14:paraId="6550F5D0" w14:textId="77777777" w:rsidR="002F14E8" w:rsidRPr="00263E20" w:rsidRDefault="002F14E8">
      <w:pPr>
        <w:ind w:firstLine="720"/>
        <w:rPr>
          <w:rFonts w:ascii="Times New Roman" w:hAnsi="Times New Roman"/>
          <w:b/>
          <w:bCs/>
        </w:rPr>
      </w:pPr>
    </w:p>
    <w:p w14:paraId="6DF31A54" w14:textId="77777777" w:rsidR="00772F14" w:rsidRPr="00263E20" w:rsidRDefault="00BE7FD6">
      <w:pPr>
        <w:ind w:firstLine="720"/>
        <w:rPr>
          <w:rFonts w:ascii="Times New Roman" w:hAnsi="Times New Roman"/>
        </w:rPr>
      </w:pPr>
      <w:r w:rsidRPr="00263E20">
        <w:rPr>
          <w:rFonts w:ascii="Times New Roman" w:hAnsi="Times New Roman"/>
          <w:b/>
          <w:bCs/>
        </w:rPr>
        <w:t xml:space="preserve">2(a) Need/Authority for the Collection  </w:t>
      </w:r>
    </w:p>
    <w:p w14:paraId="22460CB1" w14:textId="77777777" w:rsidR="00F86BA1" w:rsidRPr="00263E20" w:rsidRDefault="00F86BA1">
      <w:pPr>
        <w:ind w:firstLine="720"/>
        <w:rPr>
          <w:rFonts w:ascii="Times New Roman" w:hAnsi="Times New Roman"/>
        </w:rPr>
      </w:pPr>
    </w:p>
    <w:p w14:paraId="7461A5A9" w14:textId="110116F3" w:rsidR="00772F14" w:rsidRPr="00263E20" w:rsidRDefault="00BE7FD6" w:rsidP="002678E7">
      <w:pPr>
        <w:ind w:firstLine="720"/>
        <w:rPr>
          <w:rFonts w:ascii="Times New Roman" w:hAnsi="Times New Roman"/>
          <w:bCs/>
        </w:rPr>
      </w:pPr>
      <w:r w:rsidRPr="00263E20">
        <w:rPr>
          <w:rFonts w:ascii="Times New Roman" w:hAnsi="Times New Roman"/>
        </w:rPr>
        <w:t>This information collection activity allows C</w:t>
      </w:r>
      <w:r w:rsidR="0055597A" w:rsidRPr="00263E20">
        <w:rPr>
          <w:rFonts w:ascii="Times New Roman" w:hAnsi="Times New Roman"/>
        </w:rPr>
        <w:t xml:space="preserve">ustoms </w:t>
      </w:r>
      <w:r w:rsidRPr="00263E20">
        <w:rPr>
          <w:rFonts w:ascii="Times New Roman" w:hAnsi="Times New Roman"/>
        </w:rPr>
        <w:t>to fulfill its statutory obligation under FIFRA section 17(c)</w:t>
      </w:r>
      <w:r w:rsidR="002678E7">
        <w:rPr>
          <w:rFonts w:ascii="Times New Roman" w:hAnsi="Times New Roman"/>
        </w:rPr>
        <w:t xml:space="preserve"> (Attachment A)</w:t>
      </w:r>
      <w:r w:rsidRPr="00263E20">
        <w:rPr>
          <w:rFonts w:ascii="Times New Roman" w:hAnsi="Times New Roman"/>
        </w:rPr>
        <w:t xml:space="preserve"> to notify the EPA of the </w:t>
      </w:r>
      <w:r w:rsidR="00772F14" w:rsidRPr="00263E20">
        <w:rPr>
          <w:rFonts w:ascii="Times New Roman" w:hAnsi="Times New Roman"/>
        </w:rPr>
        <w:t xml:space="preserve">arrival of pesticides </w:t>
      </w:r>
      <w:r w:rsidR="00DC5B94" w:rsidRPr="00263E20">
        <w:rPr>
          <w:rFonts w:ascii="Times New Roman" w:hAnsi="Times New Roman"/>
        </w:rPr>
        <w:t xml:space="preserve">and pesticidal devices </w:t>
      </w:r>
      <w:r w:rsidR="00772F14" w:rsidRPr="00263E20">
        <w:rPr>
          <w:rFonts w:ascii="Times New Roman" w:hAnsi="Times New Roman"/>
        </w:rPr>
        <w:t xml:space="preserve">in the United States. </w:t>
      </w:r>
      <w:r w:rsidR="00305E20" w:rsidRPr="00263E20">
        <w:rPr>
          <w:rFonts w:ascii="Times New Roman" w:hAnsi="Times New Roman"/>
        </w:rPr>
        <w:t xml:space="preserve">A NOA must be submitted for all imported </w:t>
      </w:r>
      <w:r w:rsidR="009A6DB5" w:rsidRPr="00263E20">
        <w:rPr>
          <w:rFonts w:ascii="Times New Roman" w:hAnsi="Times New Roman"/>
          <w:bCs/>
        </w:rPr>
        <w:t>pesticides</w:t>
      </w:r>
      <w:r w:rsidR="009A6DB5" w:rsidRPr="00263E20">
        <w:rPr>
          <w:rFonts w:ascii="Times New Roman" w:hAnsi="Times New Roman"/>
        </w:rPr>
        <w:t xml:space="preserve"> and </w:t>
      </w:r>
      <w:r w:rsidR="00FE5B7C" w:rsidRPr="00263E20">
        <w:rPr>
          <w:rFonts w:ascii="Times New Roman" w:hAnsi="Times New Roman"/>
        </w:rPr>
        <w:t xml:space="preserve">pesticidal </w:t>
      </w:r>
      <w:r w:rsidR="00305E20" w:rsidRPr="00263E20">
        <w:rPr>
          <w:rFonts w:ascii="Times New Roman" w:hAnsi="Times New Roman"/>
        </w:rPr>
        <w:t>devices</w:t>
      </w:r>
      <w:r w:rsidR="00413215" w:rsidRPr="00263E20">
        <w:rPr>
          <w:rFonts w:ascii="Times New Roman" w:hAnsi="Times New Roman"/>
          <w:bCs/>
        </w:rPr>
        <w:t xml:space="preserve">, including but not limited to those pesticides that are registered under section 3 of FIFRA and to those </w:t>
      </w:r>
      <w:r w:rsidR="00413215" w:rsidRPr="00263E20">
        <w:rPr>
          <w:rFonts w:ascii="Times New Roman" w:hAnsi="Times New Roman"/>
          <w:bCs/>
        </w:rPr>
        <w:lastRenderedPageBreak/>
        <w:t>that may be transferred, sold, or distributed without registration pursuant to 40 CFR 152.30</w:t>
      </w:r>
      <w:r w:rsidR="00305E20" w:rsidRPr="00263E20">
        <w:rPr>
          <w:rFonts w:ascii="Times New Roman" w:hAnsi="Times New Roman"/>
          <w:bCs/>
        </w:rPr>
        <w:t xml:space="preserve">, such as pesticides for which an Experimental Use Permit has been granted under section 5 of FIFRA, and pesticides for which an Exemption has been granted under sections 18 or 25(b) of FIFRA. </w:t>
      </w:r>
      <w:r w:rsidR="00FE652B" w:rsidRPr="00263E20">
        <w:rPr>
          <w:rFonts w:ascii="Times New Roman" w:hAnsi="Times New Roman"/>
        </w:rPr>
        <w:t>This notification</w:t>
      </w:r>
      <w:r w:rsidR="00772F14" w:rsidRPr="00263E20">
        <w:rPr>
          <w:rFonts w:ascii="Times New Roman" w:hAnsi="Times New Roman"/>
        </w:rPr>
        <w:t xml:space="preserve"> allows EPA to determine </w:t>
      </w:r>
      <w:r w:rsidR="00881F42" w:rsidRPr="00263E20">
        <w:rPr>
          <w:rFonts w:ascii="Times New Roman" w:hAnsi="Times New Roman"/>
        </w:rPr>
        <w:t>whether</w:t>
      </w:r>
      <w:r w:rsidR="00772F14" w:rsidRPr="00263E20">
        <w:rPr>
          <w:rFonts w:ascii="Times New Roman" w:hAnsi="Times New Roman"/>
        </w:rPr>
        <w:t xml:space="preserve"> import</w:t>
      </w:r>
      <w:r w:rsidR="00F277DC" w:rsidRPr="00263E20">
        <w:rPr>
          <w:rFonts w:ascii="Times New Roman" w:hAnsi="Times New Roman"/>
        </w:rPr>
        <w:t>ed</w:t>
      </w:r>
      <w:r w:rsidR="00305E20" w:rsidRPr="00263E20">
        <w:rPr>
          <w:rFonts w:ascii="Times New Roman" w:hAnsi="Times New Roman"/>
        </w:rPr>
        <w:t xml:space="preserve"> </w:t>
      </w:r>
      <w:r w:rsidR="009A6DB5" w:rsidRPr="00263E20">
        <w:rPr>
          <w:rFonts w:ascii="Times New Roman" w:hAnsi="Times New Roman"/>
        </w:rPr>
        <w:t xml:space="preserve">pesticidal </w:t>
      </w:r>
      <w:r w:rsidR="00305E20" w:rsidRPr="00263E20">
        <w:rPr>
          <w:rFonts w:ascii="Times New Roman" w:hAnsi="Times New Roman"/>
        </w:rPr>
        <w:t>devices and</w:t>
      </w:r>
      <w:r w:rsidR="00717FA2" w:rsidRPr="00263E20">
        <w:rPr>
          <w:rFonts w:ascii="Times New Roman" w:hAnsi="Times New Roman"/>
        </w:rPr>
        <w:t xml:space="preserve"> registered and unregistered pesticides </w:t>
      </w:r>
      <w:r w:rsidR="00772F14" w:rsidRPr="00263E20">
        <w:rPr>
          <w:rFonts w:ascii="Times New Roman" w:hAnsi="Times New Roman"/>
        </w:rPr>
        <w:t xml:space="preserve">comply with </w:t>
      </w:r>
      <w:r w:rsidR="002F14E8" w:rsidRPr="00263E20">
        <w:rPr>
          <w:rFonts w:ascii="Times New Roman" w:hAnsi="Times New Roman"/>
        </w:rPr>
        <w:t>FIFRA</w:t>
      </w:r>
      <w:r w:rsidR="00772F14" w:rsidRPr="00263E20">
        <w:rPr>
          <w:rFonts w:ascii="Times New Roman" w:hAnsi="Times New Roman"/>
        </w:rPr>
        <w:t xml:space="preserve">. The information permits EPA to </w:t>
      </w:r>
      <w:r w:rsidR="00663DF7" w:rsidRPr="00263E20">
        <w:rPr>
          <w:rFonts w:ascii="Times New Roman" w:hAnsi="Times New Roman"/>
        </w:rPr>
        <w:t xml:space="preserve">stop </w:t>
      </w:r>
      <w:r w:rsidR="00AE48F7" w:rsidRPr="00263E20">
        <w:rPr>
          <w:rFonts w:ascii="Times New Roman" w:hAnsi="Times New Roman"/>
        </w:rPr>
        <w:t xml:space="preserve">suspended, cancelled, </w:t>
      </w:r>
      <w:r w:rsidR="00772F14" w:rsidRPr="00263E20">
        <w:rPr>
          <w:rFonts w:ascii="Times New Roman" w:hAnsi="Times New Roman"/>
        </w:rPr>
        <w:t>misbranded, contaminated, or otherwise violative products from being imported into the country, track those that do enter, and minimize any adverse</w:t>
      </w:r>
      <w:r w:rsidR="00E677CB" w:rsidRPr="00263E20">
        <w:rPr>
          <w:rFonts w:ascii="Times New Roman" w:hAnsi="Times New Roman"/>
        </w:rPr>
        <w:t xml:space="preserve"> human health or </w:t>
      </w:r>
      <w:r w:rsidR="00772F14" w:rsidRPr="00263E20">
        <w:rPr>
          <w:rFonts w:ascii="Times New Roman" w:hAnsi="Times New Roman"/>
        </w:rPr>
        <w:t>environmental impact that might arise from the importation of violative products. If EPA did not collect this i</w:t>
      </w:r>
      <w:r w:rsidR="00240CE1" w:rsidRPr="00263E20">
        <w:rPr>
          <w:rFonts w:ascii="Times New Roman" w:hAnsi="Times New Roman"/>
        </w:rPr>
        <w:t xml:space="preserve">nformation, </w:t>
      </w:r>
      <w:r w:rsidR="005A2010" w:rsidRPr="00263E20">
        <w:rPr>
          <w:rFonts w:ascii="Times New Roman" w:hAnsi="Times New Roman"/>
        </w:rPr>
        <w:t>C</w:t>
      </w:r>
      <w:r w:rsidR="0055597A" w:rsidRPr="00263E20">
        <w:rPr>
          <w:rFonts w:ascii="Times New Roman" w:hAnsi="Times New Roman"/>
        </w:rPr>
        <w:t>ustoms</w:t>
      </w:r>
      <w:r w:rsidR="005A2010" w:rsidRPr="00263E20" w:rsidDel="005A2010">
        <w:rPr>
          <w:rFonts w:ascii="Times New Roman" w:hAnsi="Times New Roman"/>
        </w:rPr>
        <w:t xml:space="preserve"> </w:t>
      </w:r>
      <w:r w:rsidR="00240CE1" w:rsidRPr="00263E20">
        <w:rPr>
          <w:rFonts w:ascii="Times New Roman" w:hAnsi="Times New Roman"/>
        </w:rPr>
        <w:t>and EPA</w:t>
      </w:r>
      <w:r w:rsidR="00772F14" w:rsidRPr="00263E20">
        <w:rPr>
          <w:rFonts w:ascii="Times New Roman" w:hAnsi="Times New Roman"/>
        </w:rPr>
        <w:t xml:space="preserve"> would be unable to meet their statutory requirements under FIFRA.</w:t>
      </w:r>
      <w:r w:rsidR="002678E7" w:rsidRPr="002678E7">
        <w:rPr>
          <w:rFonts w:ascii="Melior" w:hAnsi="Melior" w:cs="Melior"/>
          <w:sz w:val="18"/>
          <w:szCs w:val="18"/>
        </w:rPr>
        <w:t xml:space="preserve"> </w:t>
      </w:r>
      <w:r w:rsidR="002678E7" w:rsidRPr="002678E7">
        <w:rPr>
          <w:rFonts w:ascii="Times New Roman" w:hAnsi="Times New Roman"/>
        </w:rPr>
        <w:t>The statutory provisions set forth in</w:t>
      </w:r>
      <w:r w:rsidR="002678E7">
        <w:rPr>
          <w:rFonts w:ascii="Times New Roman" w:hAnsi="Times New Roman"/>
        </w:rPr>
        <w:t xml:space="preserve"> </w:t>
      </w:r>
      <w:r w:rsidR="002678E7" w:rsidRPr="002678E7">
        <w:rPr>
          <w:rFonts w:ascii="Times New Roman" w:hAnsi="Times New Roman"/>
        </w:rPr>
        <w:t>section 17(c) of the FIFRA, 7 U.S.C.</w:t>
      </w:r>
      <w:r w:rsidR="002678E7">
        <w:rPr>
          <w:rFonts w:ascii="Times New Roman" w:hAnsi="Times New Roman"/>
        </w:rPr>
        <w:t xml:space="preserve"> </w:t>
      </w:r>
      <w:r w:rsidR="002678E7" w:rsidRPr="002678E7">
        <w:rPr>
          <w:rFonts w:ascii="Times New Roman" w:hAnsi="Times New Roman"/>
        </w:rPr>
        <w:t xml:space="preserve">136o(c), are implemented in the </w:t>
      </w:r>
      <w:r w:rsidR="00D14EBE">
        <w:rPr>
          <w:rFonts w:ascii="Times New Roman" w:hAnsi="Times New Roman"/>
        </w:rPr>
        <w:t xml:space="preserve">Customs </w:t>
      </w:r>
      <w:r w:rsidR="002678E7" w:rsidRPr="002678E7">
        <w:rPr>
          <w:rFonts w:ascii="Times New Roman" w:hAnsi="Times New Roman"/>
        </w:rPr>
        <w:t>regulations at §§ 12.110 through 12.117</w:t>
      </w:r>
      <w:r w:rsidR="002678E7">
        <w:rPr>
          <w:rFonts w:ascii="Times New Roman" w:hAnsi="Times New Roman"/>
        </w:rPr>
        <w:t xml:space="preserve"> </w:t>
      </w:r>
      <w:r w:rsidR="002678E7" w:rsidRPr="002678E7">
        <w:rPr>
          <w:rFonts w:ascii="Times New Roman" w:hAnsi="Times New Roman"/>
        </w:rPr>
        <w:t xml:space="preserve">of title 19 of the </w:t>
      </w:r>
      <w:r w:rsidR="00AE6411">
        <w:rPr>
          <w:rFonts w:ascii="Times New Roman" w:hAnsi="Times New Roman"/>
        </w:rPr>
        <w:t>CFR</w:t>
      </w:r>
      <w:r w:rsidR="002678E7" w:rsidRPr="002678E7">
        <w:rPr>
          <w:rFonts w:ascii="Times New Roman" w:hAnsi="Times New Roman"/>
        </w:rPr>
        <w:t xml:space="preserve"> (19 CFR 12.110–12.117) </w:t>
      </w:r>
      <w:r w:rsidR="002678E7">
        <w:rPr>
          <w:rFonts w:ascii="Times New Roman" w:hAnsi="Times New Roman"/>
        </w:rPr>
        <w:t>(Attachment B).</w:t>
      </w:r>
    </w:p>
    <w:p w14:paraId="611D298C" w14:textId="77777777" w:rsidR="00772F14" w:rsidRPr="00263E20" w:rsidRDefault="00772F14">
      <w:pPr>
        <w:rPr>
          <w:rFonts w:ascii="Times New Roman" w:hAnsi="Times New Roman"/>
        </w:rPr>
      </w:pPr>
    </w:p>
    <w:p w14:paraId="36CFC217" w14:textId="77777777" w:rsidR="00772F14" w:rsidRPr="00263E20" w:rsidRDefault="00BE7FD6">
      <w:pPr>
        <w:ind w:firstLine="720"/>
        <w:rPr>
          <w:rFonts w:ascii="Times New Roman" w:hAnsi="Times New Roman"/>
        </w:rPr>
      </w:pPr>
      <w:r w:rsidRPr="00263E20">
        <w:rPr>
          <w:rFonts w:ascii="Times New Roman" w:hAnsi="Times New Roman"/>
          <w:b/>
          <w:bCs/>
        </w:rPr>
        <w:t>2(b) Practical Utility/Users of the Data</w:t>
      </w:r>
      <w:r w:rsidRPr="00263E20">
        <w:rPr>
          <w:rFonts w:ascii="Times New Roman" w:hAnsi="Times New Roman"/>
        </w:rPr>
        <w:tab/>
      </w:r>
    </w:p>
    <w:p w14:paraId="5B55CB37" w14:textId="77777777" w:rsidR="00413215" w:rsidRPr="00263E20" w:rsidRDefault="00413215" w:rsidP="00413215">
      <w:pPr>
        <w:rPr>
          <w:rFonts w:ascii="Times New Roman" w:hAnsi="Times New Roman"/>
        </w:rPr>
      </w:pPr>
    </w:p>
    <w:p w14:paraId="0561D52D" w14:textId="314C0467" w:rsidR="00E71B3C" w:rsidRPr="00263E20" w:rsidRDefault="00413215">
      <w:pPr>
        <w:rPr>
          <w:rFonts w:ascii="Times New Roman" w:hAnsi="Times New Roman"/>
        </w:rPr>
      </w:pPr>
      <w:r w:rsidRPr="00263E20">
        <w:rPr>
          <w:rFonts w:ascii="Times New Roman" w:hAnsi="Times New Roman"/>
        </w:rPr>
        <w:tab/>
      </w:r>
      <w:r w:rsidR="00BE7FD6" w:rsidRPr="00263E20">
        <w:rPr>
          <w:rFonts w:ascii="Times New Roman" w:hAnsi="Times New Roman"/>
        </w:rPr>
        <w:t xml:space="preserve">The information is used by EPA regional pesticide </w:t>
      </w:r>
      <w:r w:rsidR="00983711" w:rsidRPr="00263E20">
        <w:rPr>
          <w:rFonts w:ascii="Times New Roman" w:hAnsi="Times New Roman"/>
        </w:rPr>
        <w:t xml:space="preserve">compliance and </w:t>
      </w:r>
      <w:r w:rsidR="00BE7FD6" w:rsidRPr="00263E20">
        <w:rPr>
          <w:rFonts w:ascii="Times New Roman" w:hAnsi="Times New Roman"/>
        </w:rPr>
        <w:t>enforcement staff, the Office of Enforcement and Compliance Assurance (OECA), and the Office of Pesticide Programs (OPP) to monitor and assure compliance with FIFRA. C</w:t>
      </w:r>
      <w:r w:rsidR="0055597A" w:rsidRPr="00263E20">
        <w:rPr>
          <w:rFonts w:ascii="Times New Roman" w:hAnsi="Times New Roman"/>
        </w:rPr>
        <w:t>ustoms</w:t>
      </w:r>
      <w:r w:rsidR="00BE7FD6" w:rsidRPr="00263E20">
        <w:rPr>
          <w:rFonts w:ascii="Times New Roman" w:hAnsi="Times New Roman"/>
        </w:rPr>
        <w:t xml:space="preserve"> uses this information to ensure pesticide and </w:t>
      </w:r>
      <w:r w:rsidR="009A6DB5" w:rsidRPr="00263E20">
        <w:rPr>
          <w:rFonts w:ascii="Times New Roman" w:hAnsi="Times New Roman"/>
        </w:rPr>
        <w:t xml:space="preserve">pesticidal </w:t>
      </w:r>
      <w:r w:rsidR="00BE7FD6" w:rsidRPr="00263E20">
        <w:rPr>
          <w:rFonts w:ascii="Times New Roman" w:hAnsi="Times New Roman"/>
        </w:rPr>
        <w:t>device products admitted to the U.S. have been reviewed by EPA for compliance. The absence of an accompanying NOA is, under C</w:t>
      </w:r>
      <w:r w:rsidR="0055597A" w:rsidRPr="00263E20">
        <w:rPr>
          <w:rFonts w:ascii="Times New Roman" w:hAnsi="Times New Roman"/>
        </w:rPr>
        <w:t>ustoms</w:t>
      </w:r>
      <w:r w:rsidR="00BE7FD6" w:rsidRPr="00263E20">
        <w:rPr>
          <w:rFonts w:ascii="Times New Roman" w:hAnsi="Times New Roman"/>
        </w:rPr>
        <w:t xml:space="preserve"> regulations, grounds for refusal of entry into the United States.</w:t>
      </w:r>
    </w:p>
    <w:p w14:paraId="153BCACF" w14:textId="77777777" w:rsidR="00772F14" w:rsidRPr="00263E20" w:rsidRDefault="00772F14">
      <w:pPr>
        <w:rPr>
          <w:rFonts w:ascii="Times New Roman" w:hAnsi="Times New Roman"/>
        </w:rPr>
      </w:pPr>
    </w:p>
    <w:p w14:paraId="31E0282A" w14:textId="77777777" w:rsidR="00772F14" w:rsidRPr="00263E20" w:rsidRDefault="00BE7FD6" w:rsidP="003F7440">
      <w:pPr>
        <w:rPr>
          <w:rFonts w:ascii="Times New Roman" w:hAnsi="Times New Roman"/>
        </w:rPr>
      </w:pPr>
      <w:r w:rsidRPr="00263E20">
        <w:rPr>
          <w:rFonts w:ascii="Times New Roman" w:hAnsi="Times New Roman"/>
          <w:b/>
          <w:bCs/>
        </w:rPr>
        <w:t>3. Non-Duplication, Consultations, and other Criteria.</w:t>
      </w:r>
    </w:p>
    <w:p w14:paraId="7F71993D" w14:textId="77777777" w:rsidR="00772F14" w:rsidRPr="00263E20" w:rsidRDefault="00772F14" w:rsidP="003F7440">
      <w:pPr>
        <w:rPr>
          <w:rFonts w:ascii="Times New Roman" w:hAnsi="Times New Roman"/>
        </w:rPr>
      </w:pPr>
    </w:p>
    <w:p w14:paraId="4410AC06" w14:textId="77777777" w:rsidR="00772F14" w:rsidRPr="00263E20" w:rsidRDefault="00BE7FD6" w:rsidP="003F7440">
      <w:pPr>
        <w:ind w:firstLine="720"/>
        <w:rPr>
          <w:rFonts w:ascii="Times New Roman" w:hAnsi="Times New Roman"/>
        </w:rPr>
      </w:pPr>
      <w:r w:rsidRPr="00263E20">
        <w:rPr>
          <w:rFonts w:ascii="Times New Roman" w:hAnsi="Times New Roman"/>
          <w:b/>
          <w:bCs/>
        </w:rPr>
        <w:t>3(a) Non Duplication</w:t>
      </w:r>
    </w:p>
    <w:p w14:paraId="4EA44D8D" w14:textId="77777777" w:rsidR="00772F14" w:rsidRPr="00263E20" w:rsidRDefault="00772F14" w:rsidP="003F7440">
      <w:pPr>
        <w:rPr>
          <w:rFonts w:ascii="Times New Roman" w:hAnsi="Times New Roman"/>
        </w:rPr>
      </w:pPr>
    </w:p>
    <w:p w14:paraId="6AFDE936" w14:textId="7F6C339B" w:rsidR="00F60BB3" w:rsidRPr="00F60BB3" w:rsidRDefault="00BE7FD6" w:rsidP="00F60BB3">
      <w:pPr>
        <w:rPr>
          <w:rFonts w:ascii="Times New Roman" w:hAnsi="Times New Roman"/>
        </w:rPr>
      </w:pPr>
      <w:r w:rsidRPr="00263E20">
        <w:rPr>
          <w:rFonts w:ascii="Times New Roman" w:hAnsi="Times New Roman"/>
        </w:rPr>
        <w:tab/>
      </w:r>
      <w:r w:rsidR="00F60BB3" w:rsidRPr="00F60BB3">
        <w:rPr>
          <w:rFonts w:ascii="Times New Roman" w:hAnsi="Times New Roman"/>
        </w:rPr>
        <w:t>The information collection currently involves a partial duplication</w:t>
      </w:r>
      <w:r w:rsidR="00C73C2B">
        <w:rPr>
          <w:rFonts w:ascii="Times New Roman" w:hAnsi="Times New Roman"/>
        </w:rPr>
        <w:t xml:space="preserve"> if filing with a paper NOA</w:t>
      </w:r>
      <w:r w:rsidR="00F60BB3" w:rsidRPr="00F60BB3">
        <w:rPr>
          <w:rFonts w:ascii="Times New Roman" w:hAnsi="Times New Roman"/>
        </w:rPr>
        <w:t xml:space="preserve">. Much of the identifying information collected on </w:t>
      </w:r>
      <w:r w:rsidR="00F90A5F">
        <w:rPr>
          <w:rFonts w:ascii="Times New Roman" w:hAnsi="Times New Roman"/>
        </w:rPr>
        <w:t>a paper</w:t>
      </w:r>
      <w:r w:rsidR="00F60BB3" w:rsidRPr="00F60BB3">
        <w:rPr>
          <w:rFonts w:ascii="Times New Roman" w:hAnsi="Times New Roman"/>
        </w:rPr>
        <w:t xml:space="preserve"> </w:t>
      </w:r>
      <w:r w:rsidR="00C73C2B">
        <w:rPr>
          <w:rFonts w:ascii="Times New Roman" w:hAnsi="Times New Roman"/>
        </w:rPr>
        <w:t>NOA</w:t>
      </w:r>
      <w:r w:rsidR="00F60BB3" w:rsidRPr="00F60BB3">
        <w:rPr>
          <w:rFonts w:ascii="Times New Roman" w:hAnsi="Times New Roman"/>
        </w:rPr>
        <w:t xml:space="preserve"> is identical or similar to information collected on </w:t>
      </w:r>
      <w:r w:rsidR="00D14EBE">
        <w:rPr>
          <w:rFonts w:ascii="Times New Roman" w:hAnsi="Times New Roman"/>
        </w:rPr>
        <w:t>Customs</w:t>
      </w:r>
      <w:r w:rsidR="00D14EBE" w:rsidRPr="00F60BB3">
        <w:rPr>
          <w:rFonts w:ascii="Times New Roman" w:hAnsi="Times New Roman"/>
        </w:rPr>
        <w:t xml:space="preserve">’ </w:t>
      </w:r>
      <w:r w:rsidR="00F60BB3" w:rsidRPr="00F60BB3">
        <w:rPr>
          <w:rFonts w:ascii="Times New Roman" w:hAnsi="Times New Roman"/>
        </w:rPr>
        <w:t>entry notice form (Form 3461, OMB Control Number 1651-0024).</w:t>
      </w:r>
    </w:p>
    <w:p w14:paraId="29E8BACD" w14:textId="77777777" w:rsidR="00F60BB3" w:rsidRPr="00F60BB3" w:rsidRDefault="00F60BB3" w:rsidP="00F60BB3">
      <w:pPr>
        <w:rPr>
          <w:rFonts w:ascii="Times New Roman" w:hAnsi="Times New Roman"/>
        </w:rPr>
      </w:pPr>
    </w:p>
    <w:p w14:paraId="0A4206A5" w14:textId="4C51A08F" w:rsidR="00E87F6C" w:rsidRDefault="00F60BB3" w:rsidP="00190D58">
      <w:pPr>
        <w:ind w:firstLine="720"/>
        <w:rPr>
          <w:rFonts w:ascii="Times New Roman" w:hAnsi="Times New Roman"/>
        </w:rPr>
      </w:pPr>
      <w:r w:rsidRPr="00F60BB3">
        <w:rPr>
          <w:rFonts w:ascii="Times New Roman" w:hAnsi="Times New Roman"/>
        </w:rPr>
        <w:t xml:space="preserve">Under the existing regulation, the NOA must be submitted to EPA prior to arrival so that EPA can assess whether the shipment complies with FIFRA and provide recommendations about the disposition of the shipment to </w:t>
      </w:r>
      <w:r w:rsidR="00300D42">
        <w:rPr>
          <w:rFonts w:ascii="Times New Roman" w:hAnsi="Times New Roman"/>
        </w:rPr>
        <w:t>Customs</w:t>
      </w:r>
      <w:r w:rsidR="00300D42" w:rsidRPr="00F60BB3">
        <w:rPr>
          <w:rFonts w:ascii="Times New Roman" w:hAnsi="Times New Roman"/>
        </w:rPr>
        <w:t xml:space="preserve"> </w:t>
      </w:r>
      <w:r w:rsidRPr="00F60BB3">
        <w:rPr>
          <w:rFonts w:ascii="Times New Roman" w:hAnsi="Times New Roman"/>
        </w:rPr>
        <w:t xml:space="preserve">when shipment arrives on the NOA form and returns it to the importer. The importer then includes the NOA with other shipment paperwork for presentation to </w:t>
      </w:r>
      <w:r w:rsidR="00300D42">
        <w:rPr>
          <w:rFonts w:ascii="Times New Roman" w:hAnsi="Times New Roman"/>
        </w:rPr>
        <w:t>Customs</w:t>
      </w:r>
      <w:r w:rsidR="00300D42" w:rsidRPr="00F60BB3">
        <w:rPr>
          <w:rFonts w:ascii="Times New Roman" w:hAnsi="Times New Roman"/>
        </w:rPr>
        <w:t xml:space="preserve"> </w:t>
      </w:r>
      <w:r w:rsidRPr="00F60BB3">
        <w:rPr>
          <w:rFonts w:ascii="Times New Roman" w:hAnsi="Times New Roman"/>
        </w:rPr>
        <w:t>at the port. On the other hand, entry forms are to be presented only when a shipment will make entry, which can occur up to 15 days after a pesticide or device arrives in the U.S.</w:t>
      </w:r>
      <w:r w:rsidR="00716829">
        <w:rPr>
          <w:rFonts w:ascii="Times New Roman" w:hAnsi="Times New Roman"/>
        </w:rPr>
        <w:t>,</w:t>
      </w:r>
      <w:r w:rsidRPr="00F60BB3">
        <w:rPr>
          <w:rFonts w:ascii="Times New Roman" w:hAnsi="Times New Roman"/>
        </w:rPr>
        <w:t xml:space="preserve"> and the entry forms do not contain all of the information required in a notice of arrival. </w:t>
      </w:r>
    </w:p>
    <w:p w14:paraId="4D085F74" w14:textId="77777777" w:rsidR="00E87F6C" w:rsidRDefault="00E87F6C" w:rsidP="00F60BB3">
      <w:pPr>
        <w:rPr>
          <w:rFonts w:ascii="Times New Roman" w:hAnsi="Times New Roman"/>
        </w:rPr>
      </w:pPr>
    </w:p>
    <w:p w14:paraId="055A70BF" w14:textId="328B1D52" w:rsidR="00FE652B" w:rsidRPr="00263E20" w:rsidRDefault="00580CEE" w:rsidP="00B5709D">
      <w:pPr>
        <w:ind w:firstLine="720"/>
        <w:rPr>
          <w:rFonts w:ascii="Times New Roman" w:hAnsi="Times New Roman"/>
        </w:rPr>
      </w:pPr>
      <w:r>
        <w:rPr>
          <w:rFonts w:ascii="Times New Roman" w:hAnsi="Times New Roman"/>
        </w:rPr>
        <w:t xml:space="preserve">EPA </w:t>
      </w:r>
      <w:r w:rsidR="00AE6411">
        <w:rPr>
          <w:rFonts w:ascii="Times New Roman" w:hAnsi="Times New Roman"/>
        </w:rPr>
        <w:t>began</w:t>
      </w:r>
      <w:r w:rsidR="005351F5">
        <w:rPr>
          <w:rFonts w:ascii="Times New Roman" w:hAnsi="Times New Roman"/>
        </w:rPr>
        <w:t xml:space="preserve"> </w:t>
      </w:r>
      <w:r>
        <w:rPr>
          <w:rFonts w:ascii="Times New Roman" w:hAnsi="Times New Roman"/>
        </w:rPr>
        <w:t>collect</w:t>
      </w:r>
      <w:r w:rsidR="005351F5">
        <w:rPr>
          <w:rFonts w:ascii="Times New Roman" w:hAnsi="Times New Roman"/>
        </w:rPr>
        <w:t>ing</w:t>
      </w:r>
      <w:r>
        <w:rPr>
          <w:rFonts w:ascii="Times New Roman" w:hAnsi="Times New Roman"/>
        </w:rPr>
        <w:t xml:space="preserve"> the </w:t>
      </w:r>
      <w:r w:rsidR="00F60BB3" w:rsidRPr="00F60BB3">
        <w:rPr>
          <w:rFonts w:ascii="Times New Roman" w:hAnsi="Times New Roman"/>
        </w:rPr>
        <w:t xml:space="preserve">NOA </w:t>
      </w:r>
      <w:r>
        <w:rPr>
          <w:rFonts w:ascii="Times New Roman" w:hAnsi="Times New Roman"/>
        </w:rPr>
        <w:t xml:space="preserve">information </w:t>
      </w:r>
      <w:r w:rsidR="00AE6411">
        <w:rPr>
          <w:rFonts w:ascii="Times New Roman" w:hAnsi="Times New Roman"/>
        </w:rPr>
        <w:t>in June</w:t>
      </w:r>
      <w:r w:rsidR="00895179">
        <w:rPr>
          <w:rFonts w:ascii="Times New Roman" w:hAnsi="Times New Roman"/>
        </w:rPr>
        <w:t>,</w:t>
      </w:r>
      <w:r w:rsidR="00AE6411">
        <w:rPr>
          <w:rFonts w:ascii="Times New Roman" w:hAnsi="Times New Roman"/>
        </w:rPr>
        <w:t xml:space="preserve"> 2016</w:t>
      </w:r>
      <w:r w:rsidR="00895179">
        <w:rPr>
          <w:rFonts w:ascii="Times New Roman" w:hAnsi="Times New Roman"/>
        </w:rPr>
        <w:t>,</w:t>
      </w:r>
      <w:r w:rsidR="00AE6411">
        <w:rPr>
          <w:rFonts w:ascii="Times New Roman" w:hAnsi="Times New Roman"/>
        </w:rPr>
        <w:t xml:space="preserve"> </w:t>
      </w:r>
      <w:r>
        <w:rPr>
          <w:rFonts w:ascii="Times New Roman" w:hAnsi="Times New Roman"/>
        </w:rPr>
        <w:t xml:space="preserve">as part of an ITDS pilot necessary for successful testing of the </w:t>
      </w:r>
      <w:r w:rsidR="006178D5">
        <w:rPr>
          <w:rFonts w:ascii="Times New Roman" w:hAnsi="Times New Roman"/>
        </w:rPr>
        <w:t xml:space="preserve">ACE </w:t>
      </w:r>
      <w:r>
        <w:rPr>
          <w:rFonts w:ascii="Times New Roman" w:hAnsi="Times New Roman"/>
        </w:rPr>
        <w:t>system</w:t>
      </w:r>
      <w:r w:rsidR="005351F5">
        <w:rPr>
          <w:rFonts w:ascii="Times New Roman" w:hAnsi="Times New Roman"/>
        </w:rPr>
        <w:t xml:space="preserve"> (Attachment </w:t>
      </w:r>
      <w:r w:rsidR="00F34638">
        <w:rPr>
          <w:rFonts w:ascii="Times New Roman" w:hAnsi="Times New Roman"/>
        </w:rPr>
        <w:t>C</w:t>
      </w:r>
      <w:r w:rsidR="005351F5">
        <w:rPr>
          <w:rFonts w:ascii="Times New Roman" w:hAnsi="Times New Roman"/>
        </w:rPr>
        <w:t>)</w:t>
      </w:r>
      <w:r>
        <w:rPr>
          <w:rFonts w:ascii="Times New Roman" w:hAnsi="Times New Roman"/>
        </w:rPr>
        <w:t>.</w:t>
      </w:r>
      <w:r w:rsidR="00F60BB3" w:rsidRPr="00F60BB3">
        <w:rPr>
          <w:rFonts w:ascii="Times New Roman" w:hAnsi="Times New Roman"/>
        </w:rPr>
        <w:t xml:space="preserve"> </w:t>
      </w:r>
      <w:r>
        <w:rPr>
          <w:rFonts w:ascii="Times New Roman" w:hAnsi="Times New Roman"/>
        </w:rPr>
        <w:t xml:space="preserve">Electronic NOA filings have </w:t>
      </w:r>
      <w:r w:rsidR="00F60BB3" w:rsidRPr="00F60BB3">
        <w:rPr>
          <w:rFonts w:ascii="Times New Roman" w:hAnsi="Times New Roman"/>
        </w:rPr>
        <w:t>streamline</w:t>
      </w:r>
      <w:r>
        <w:rPr>
          <w:rFonts w:ascii="Times New Roman" w:hAnsi="Times New Roman"/>
        </w:rPr>
        <w:t>d</w:t>
      </w:r>
      <w:r w:rsidR="00F60BB3" w:rsidRPr="00F60BB3">
        <w:rPr>
          <w:rFonts w:ascii="Times New Roman" w:hAnsi="Times New Roman"/>
        </w:rPr>
        <w:t xml:space="preserve"> the information collection and eliminate</w:t>
      </w:r>
      <w:r>
        <w:rPr>
          <w:rFonts w:ascii="Times New Roman" w:hAnsi="Times New Roman"/>
        </w:rPr>
        <w:t>d</w:t>
      </w:r>
      <w:r w:rsidR="00F60BB3" w:rsidRPr="00F60BB3">
        <w:rPr>
          <w:rFonts w:ascii="Times New Roman" w:hAnsi="Times New Roman"/>
        </w:rPr>
        <w:t xml:space="preserve"> </w:t>
      </w:r>
      <w:r w:rsidR="00D36C6C">
        <w:rPr>
          <w:rFonts w:ascii="Times New Roman" w:hAnsi="Times New Roman"/>
        </w:rPr>
        <w:t>the</w:t>
      </w:r>
      <w:r w:rsidR="00F60BB3" w:rsidRPr="00F60BB3">
        <w:rPr>
          <w:rFonts w:ascii="Times New Roman" w:hAnsi="Times New Roman"/>
        </w:rPr>
        <w:t xml:space="preserve"> duplication</w:t>
      </w:r>
      <w:r w:rsidR="00D36C6C">
        <w:rPr>
          <w:rFonts w:ascii="Times New Roman" w:hAnsi="Times New Roman"/>
        </w:rPr>
        <w:t xml:space="preserve"> seen in paper NOA forms.</w:t>
      </w:r>
      <w:r w:rsidR="00F60BB3" w:rsidRPr="00F60BB3">
        <w:rPr>
          <w:rFonts w:ascii="Times New Roman" w:hAnsi="Times New Roman"/>
        </w:rPr>
        <w:t xml:space="preserve"> Respondents’ use of ACE to file import paperwork electronically enable</w:t>
      </w:r>
      <w:r w:rsidR="00E87F6C">
        <w:rPr>
          <w:rFonts w:ascii="Times New Roman" w:hAnsi="Times New Roman"/>
        </w:rPr>
        <w:t>s</w:t>
      </w:r>
      <w:r w:rsidR="00F60BB3" w:rsidRPr="00F60BB3">
        <w:rPr>
          <w:rFonts w:ascii="Times New Roman" w:hAnsi="Times New Roman"/>
        </w:rPr>
        <w:t xml:space="preserve"> respondents to electronically populate certain identifying information once in the system, and have that information available for pre-population on the electronic NOA.</w:t>
      </w:r>
      <w:r w:rsidR="00E87F6C">
        <w:rPr>
          <w:rFonts w:ascii="Times New Roman" w:hAnsi="Times New Roman"/>
        </w:rPr>
        <w:t xml:space="preserve"> </w:t>
      </w:r>
      <w:r w:rsidR="00170D10">
        <w:rPr>
          <w:rFonts w:ascii="Times New Roman" w:hAnsi="Times New Roman"/>
        </w:rPr>
        <w:t xml:space="preserve">Customs </w:t>
      </w:r>
      <w:r w:rsidR="00262E45">
        <w:rPr>
          <w:rFonts w:ascii="Times New Roman" w:hAnsi="Times New Roman"/>
        </w:rPr>
        <w:t>codified</w:t>
      </w:r>
      <w:r w:rsidR="00170D10">
        <w:rPr>
          <w:rFonts w:ascii="Times New Roman" w:hAnsi="Times New Roman"/>
        </w:rPr>
        <w:t xml:space="preserve"> the availability of both paper and electronic NOA filing options through an interim final rule </w:t>
      </w:r>
      <w:r w:rsidR="00262E45">
        <w:rPr>
          <w:rFonts w:ascii="Times New Roman" w:hAnsi="Times New Roman"/>
        </w:rPr>
        <w:t xml:space="preserve">on September 30, </w:t>
      </w:r>
      <w:r w:rsidR="00170D10">
        <w:rPr>
          <w:rFonts w:ascii="Times New Roman" w:hAnsi="Times New Roman"/>
        </w:rPr>
        <w:t>2016</w:t>
      </w:r>
      <w:r w:rsidR="00262E45">
        <w:rPr>
          <w:rFonts w:ascii="Times New Roman" w:hAnsi="Times New Roman"/>
        </w:rPr>
        <w:t xml:space="preserve"> (81 FR 67140)</w:t>
      </w:r>
      <w:r w:rsidR="00AE6411">
        <w:rPr>
          <w:rFonts w:ascii="Times New Roman" w:hAnsi="Times New Roman"/>
        </w:rPr>
        <w:t>, making electronic reporting a permanent option for filing</w:t>
      </w:r>
      <w:r w:rsidR="00666B05">
        <w:rPr>
          <w:rFonts w:ascii="Times New Roman" w:hAnsi="Times New Roman"/>
        </w:rPr>
        <w:t xml:space="preserve">. Importers are </w:t>
      </w:r>
      <w:r w:rsidR="00170D10">
        <w:rPr>
          <w:rFonts w:ascii="Times New Roman" w:hAnsi="Times New Roman"/>
        </w:rPr>
        <w:t>encourage</w:t>
      </w:r>
      <w:r w:rsidR="00666B05">
        <w:rPr>
          <w:rFonts w:ascii="Times New Roman" w:hAnsi="Times New Roman"/>
        </w:rPr>
        <w:t>d</w:t>
      </w:r>
      <w:r w:rsidR="00170D10">
        <w:rPr>
          <w:rFonts w:ascii="Times New Roman" w:hAnsi="Times New Roman"/>
        </w:rPr>
        <w:t xml:space="preserve"> to </w:t>
      </w:r>
      <w:r w:rsidR="003446FC">
        <w:rPr>
          <w:rFonts w:ascii="Times New Roman" w:hAnsi="Times New Roman"/>
        </w:rPr>
        <w:t xml:space="preserve">continue or start filing </w:t>
      </w:r>
      <w:r w:rsidR="00170D10">
        <w:rPr>
          <w:rFonts w:ascii="Times New Roman" w:hAnsi="Times New Roman"/>
        </w:rPr>
        <w:t>NOAs electronically to eliminate duplication.</w:t>
      </w:r>
      <w:r w:rsidR="00FD52C0" w:rsidRPr="00190D58">
        <w:rPr>
          <w:rFonts w:ascii="Times New Roman" w:hAnsi="Times New Roman"/>
        </w:rPr>
        <w:t xml:space="preserve"> </w:t>
      </w:r>
      <w:r w:rsidR="00527781">
        <w:rPr>
          <w:rFonts w:ascii="Times New Roman" w:hAnsi="Times New Roman"/>
        </w:rPr>
        <w:t>In addition to the interim final rule</w:t>
      </w:r>
      <w:r w:rsidR="00A00B86">
        <w:rPr>
          <w:rFonts w:ascii="Times New Roman" w:hAnsi="Times New Roman"/>
        </w:rPr>
        <w:t xml:space="preserve">, </w:t>
      </w:r>
      <w:r w:rsidR="00FE652B" w:rsidRPr="00190D58">
        <w:rPr>
          <w:rFonts w:ascii="Times New Roman" w:hAnsi="Times New Roman"/>
        </w:rPr>
        <w:t>EPA is undertaking rulemaking to facilitate the electronic submission</w:t>
      </w:r>
      <w:r w:rsidR="00236BDF" w:rsidRPr="00190D58">
        <w:rPr>
          <w:rFonts w:ascii="Times New Roman" w:hAnsi="Times New Roman"/>
        </w:rPr>
        <w:t xml:space="preserve"> of </w:t>
      </w:r>
      <w:r w:rsidR="009872AB">
        <w:rPr>
          <w:rFonts w:ascii="Times New Roman" w:hAnsi="Times New Roman"/>
        </w:rPr>
        <w:t>NOA</w:t>
      </w:r>
      <w:r w:rsidR="00236BDF" w:rsidRPr="00190D58">
        <w:rPr>
          <w:rFonts w:ascii="Times New Roman" w:hAnsi="Times New Roman"/>
        </w:rPr>
        <w:t xml:space="preserve"> information</w:t>
      </w:r>
      <w:r w:rsidR="00170D10">
        <w:rPr>
          <w:rFonts w:ascii="Times New Roman" w:hAnsi="Times New Roman"/>
        </w:rPr>
        <w:t xml:space="preserve"> and to</w:t>
      </w:r>
      <w:r w:rsidR="00CD5645">
        <w:rPr>
          <w:rFonts w:ascii="Times New Roman" w:hAnsi="Times New Roman"/>
        </w:rPr>
        <w:t xml:space="preserve"> update the existing regulations</w:t>
      </w:r>
      <w:r w:rsidR="00890326">
        <w:rPr>
          <w:rFonts w:ascii="Times New Roman" w:hAnsi="Times New Roman"/>
        </w:rPr>
        <w:t xml:space="preserve">, which is expected to be completed </w:t>
      </w:r>
      <w:r w:rsidR="00AE6411">
        <w:rPr>
          <w:rFonts w:ascii="Times New Roman" w:hAnsi="Times New Roman"/>
        </w:rPr>
        <w:t>in</w:t>
      </w:r>
      <w:r w:rsidR="00890326">
        <w:rPr>
          <w:rFonts w:ascii="Times New Roman" w:hAnsi="Times New Roman"/>
        </w:rPr>
        <w:t xml:space="preserve"> 2017</w:t>
      </w:r>
      <w:r w:rsidR="00AE48F7" w:rsidRPr="00190D58">
        <w:rPr>
          <w:rFonts w:ascii="Times New Roman" w:hAnsi="Times New Roman"/>
        </w:rPr>
        <w:t xml:space="preserve">. </w:t>
      </w:r>
      <w:r w:rsidR="005132D6" w:rsidRPr="00190D58">
        <w:rPr>
          <w:rFonts w:ascii="Times New Roman" w:hAnsi="Times New Roman"/>
        </w:rPr>
        <w:t xml:space="preserve">This renewal document </w:t>
      </w:r>
      <w:r w:rsidR="00A00B86">
        <w:rPr>
          <w:rFonts w:ascii="Times New Roman" w:hAnsi="Times New Roman"/>
        </w:rPr>
        <w:t xml:space="preserve">specifically </w:t>
      </w:r>
      <w:r w:rsidR="005132D6" w:rsidRPr="00190D58">
        <w:rPr>
          <w:rFonts w:ascii="Times New Roman" w:hAnsi="Times New Roman"/>
        </w:rPr>
        <w:t xml:space="preserve">identifies those burdens associated with the current collection activities and </w:t>
      </w:r>
      <w:r w:rsidR="00996688" w:rsidRPr="00190D58">
        <w:rPr>
          <w:rFonts w:ascii="Times New Roman" w:hAnsi="Times New Roman"/>
        </w:rPr>
        <w:t>paper</w:t>
      </w:r>
      <w:r w:rsidR="00A00B86">
        <w:rPr>
          <w:rFonts w:ascii="Times New Roman" w:hAnsi="Times New Roman"/>
        </w:rPr>
        <w:t xml:space="preserve"> and electronic</w:t>
      </w:r>
      <w:r w:rsidR="00996688" w:rsidRPr="00190D58">
        <w:rPr>
          <w:rFonts w:ascii="Times New Roman" w:hAnsi="Times New Roman"/>
        </w:rPr>
        <w:t xml:space="preserve"> </w:t>
      </w:r>
      <w:r w:rsidR="005132D6" w:rsidRPr="00190D58">
        <w:rPr>
          <w:rFonts w:ascii="Times New Roman" w:hAnsi="Times New Roman"/>
        </w:rPr>
        <w:t>forms</w:t>
      </w:r>
      <w:r w:rsidR="00A00B86">
        <w:rPr>
          <w:rFonts w:ascii="Times New Roman" w:hAnsi="Times New Roman"/>
        </w:rPr>
        <w:t xml:space="preserve"> that are currently available. As additional rulemakings are completed to update the data elements required in an NOA, this ICR </w:t>
      </w:r>
      <w:r w:rsidR="005132D6" w:rsidRPr="00190D58">
        <w:rPr>
          <w:rFonts w:ascii="Times New Roman" w:hAnsi="Times New Roman"/>
        </w:rPr>
        <w:t xml:space="preserve">will be revised to </w:t>
      </w:r>
      <w:r w:rsidR="00300D42">
        <w:rPr>
          <w:rFonts w:ascii="Times New Roman" w:hAnsi="Times New Roman"/>
        </w:rPr>
        <w:t>incorporate those changes</w:t>
      </w:r>
      <w:r w:rsidR="005132D6" w:rsidRPr="00190D58">
        <w:rPr>
          <w:rFonts w:ascii="Times New Roman" w:hAnsi="Times New Roman"/>
        </w:rPr>
        <w:t>.</w:t>
      </w:r>
    </w:p>
    <w:p w14:paraId="166A608E" w14:textId="16F14581" w:rsidR="00772F14" w:rsidRPr="00263E20" w:rsidRDefault="00EB08D6" w:rsidP="00DC6C66">
      <w:pPr>
        <w:rPr>
          <w:rFonts w:ascii="Times New Roman" w:hAnsi="Times New Roman"/>
        </w:rPr>
      </w:pPr>
      <w:r w:rsidRPr="00263E20">
        <w:rPr>
          <w:rFonts w:ascii="Times New Roman" w:hAnsi="Times New Roman"/>
        </w:rPr>
        <w:tab/>
      </w:r>
    </w:p>
    <w:p w14:paraId="0A06D898" w14:textId="77777777" w:rsidR="00772F14" w:rsidRPr="00263E20" w:rsidRDefault="00BE7FD6">
      <w:pPr>
        <w:ind w:firstLine="720"/>
        <w:rPr>
          <w:rFonts w:ascii="Times New Roman" w:hAnsi="Times New Roman"/>
        </w:rPr>
      </w:pPr>
      <w:r w:rsidRPr="00263E20">
        <w:rPr>
          <w:rFonts w:ascii="Times New Roman" w:hAnsi="Times New Roman"/>
          <w:b/>
          <w:bCs/>
        </w:rPr>
        <w:t>3(b) Public Notice Required Prior to ICR Submission to OMB</w:t>
      </w:r>
    </w:p>
    <w:p w14:paraId="43AFEAC1" w14:textId="77777777" w:rsidR="001F21C5" w:rsidRPr="00263E20" w:rsidRDefault="001F21C5" w:rsidP="001F21C5">
      <w:pPr>
        <w:ind w:firstLine="720"/>
        <w:rPr>
          <w:rFonts w:ascii="Times New Roman" w:hAnsi="Times New Roman"/>
        </w:rPr>
      </w:pPr>
    </w:p>
    <w:p w14:paraId="2A3A5BF6" w14:textId="160E5F7E" w:rsidR="0055528A" w:rsidRDefault="001F21C5" w:rsidP="0055528A">
      <w:pPr>
        <w:rPr>
          <w:rFonts w:asciiTheme="minorHAnsi" w:eastAsiaTheme="minorHAnsi" w:hAnsiTheme="minorHAnsi" w:cstheme="minorBidi"/>
          <w:sz w:val="22"/>
          <w:szCs w:val="22"/>
        </w:rPr>
      </w:pPr>
      <w:r w:rsidRPr="00263E20">
        <w:rPr>
          <w:rFonts w:ascii="Times New Roman" w:hAnsi="Times New Roman"/>
        </w:rPr>
        <w:tab/>
      </w:r>
      <w:r w:rsidR="00063301" w:rsidRPr="00263E20">
        <w:rPr>
          <w:rFonts w:ascii="Times New Roman" w:hAnsi="Times New Roman"/>
        </w:rPr>
        <w:t>Pursuant to 5 CFR 1320.8(d),</w:t>
      </w:r>
      <w:r w:rsidR="00063301" w:rsidRPr="00263E20" w:rsidDel="00063301">
        <w:rPr>
          <w:rFonts w:ascii="Times New Roman" w:hAnsi="Times New Roman"/>
        </w:rPr>
        <w:t xml:space="preserve"> </w:t>
      </w:r>
      <w:r w:rsidR="00FD523B" w:rsidRPr="00263E20">
        <w:rPr>
          <w:rFonts w:ascii="Times New Roman" w:hAnsi="Times New Roman"/>
        </w:rPr>
        <w:t>EPA publish</w:t>
      </w:r>
      <w:r w:rsidR="00063301">
        <w:rPr>
          <w:rFonts w:ascii="Times New Roman" w:hAnsi="Times New Roman"/>
        </w:rPr>
        <w:t>ed</w:t>
      </w:r>
      <w:r w:rsidR="00FD523B" w:rsidRPr="00263E20">
        <w:rPr>
          <w:rFonts w:ascii="Times New Roman" w:hAnsi="Times New Roman"/>
        </w:rPr>
        <w:t xml:space="preserve"> a notice in the Federal Register</w:t>
      </w:r>
      <w:r w:rsidR="00063301">
        <w:rPr>
          <w:rFonts w:ascii="Times New Roman" w:hAnsi="Times New Roman"/>
        </w:rPr>
        <w:t xml:space="preserve"> (FR)</w:t>
      </w:r>
      <w:r w:rsidR="00FD523B" w:rsidRPr="00263E20">
        <w:rPr>
          <w:rFonts w:ascii="Times New Roman" w:hAnsi="Times New Roman"/>
        </w:rPr>
        <w:t xml:space="preserve"> </w:t>
      </w:r>
      <w:r w:rsidR="00063301">
        <w:rPr>
          <w:rFonts w:ascii="Times New Roman" w:hAnsi="Times New Roman"/>
        </w:rPr>
        <w:t>on Friday, April 15, 2016 (81 FR 22261) announcing the proposed renewal of this information collection activity and provided a 60-day public comment period</w:t>
      </w:r>
      <w:r w:rsidR="00FD523B" w:rsidRPr="00263E20">
        <w:rPr>
          <w:rFonts w:ascii="Times New Roman" w:hAnsi="Times New Roman"/>
        </w:rPr>
        <w:t xml:space="preserve">. </w:t>
      </w:r>
      <w:r w:rsidR="00063301">
        <w:rPr>
          <w:rFonts w:ascii="Times New Roman" w:hAnsi="Times New Roman"/>
        </w:rPr>
        <w:t>T</w:t>
      </w:r>
      <w:r w:rsidR="00344529">
        <w:rPr>
          <w:rFonts w:ascii="Times New Roman" w:hAnsi="Times New Roman"/>
        </w:rPr>
        <w:t>he Agency received comment</w:t>
      </w:r>
      <w:r w:rsidR="00996688">
        <w:rPr>
          <w:rFonts w:ascii="Times New Roman" w:hAnsi="Times New Roman"/>
        </w:rPr>
        <w:t>s from one commenter</w:t>
      </w:r>
      <w:r w:rsidR="00344529">
        <w:rPr>
          <w:rFonts w:ascii="Times New Roman" w:hAnsi="Times New Roman"/>
        </w:rPr>
        <w:t xml:space="preserve"> </w:t>
      </w:r>
      <w:r w:rsidR="008A1677">
        <w:rPr>
          <w:rFonts w:ascii="Times New Roman" w:hAnsi="Times New Roman"/>
        </w:rPr>
        <w:t xml:space="preserve">(Bayer CropSciences, or Bayer) </w:t>
      </w:r>
      <w:r w:rsidR="00063301">
        <w:rPr>
          <w:rFonts w:ascii="Times New Roman" w:hAnsi="Times New Roman"/>
        </w:rPr>
        <w:t>on this ICR renewal. The comments are available in the docket for this action, and are summarize</w:t>
      </w:r>
      <w:r w:rsidR="00AF4A82">
        <w:rPr>
          <w:rFonts w:ascii="Times New Roman" w:hAnsi="Times New Roman"/>
        </w:rPr>
        <w:t>d</w:t>
      </w:r>
      <w:r w:rsidR="00063301">
        <w:rPr>
          <w:rFonts w:ascii="Times New Roman" w:hAnsi="Times New Roman"/>
        </w:rPr>
        <w:t xml:space="preserve"> below, along with EPA’s responses, which are also available in the docket</w:t>
      </w:r>
      <w:r w:rsidR="008A1677">
        <w:rPr>
          <w:rFonts w:ascii="Times New Roman" w:hAnsi="Times New Roman"/>
        </w:rPr>
        <w:t xml:space="preserve"> (Attachment </w:t>
      </w:r>
      <w:r w:rsidR="006D203F">
        <w:rPr>
          <w:rFonts w:ascii="Times New Roman" w:hAnsi="Times New Roman"/>
        </w:rPr>
        <w:t>D</w:t>
      </w:r>
      <w:r w:rsidR="008A1677">
        <w:rPr>
          <w:rFonts w:ascii="Times New Roman" w:hAnsi="Times New Roman"/>
        </w:rPr>
        <w:t>).</w:t>
      </w:r>
      <w:r w:rsidR="0055528A" w:rsidRPr="0055528A">
        <w:rPr>
          <w:rFonts w:asciiTheme="minorHAnsi" w:eastAsiaTheme="minorHAnsi" w:hAnsiTheme="minorHAnsi" w:cstheme="minorBidi"/>
          <w:sz w:val="22"/>
          <w:szCs w:val="22"/>
        </w:rPr>
        <w:t xml:space="preserve"> </w:t>
      </w:r>
    </w:p>
    <w:p w14:paraId="7BE1F85E" w14:textId="77777777" w:rsidR="0055528A" w:rsidRDefault="0055528A" w:rsidP="0055528A">
      <w:pPr>
        <w:rPr>
          <w:rFonts w:asciiTheme="minorHAnsi" w:eastAsiaTheme="minorHAnsi" w:hAnsiTheme="minorHAnsi" w:cstheme="minorBidi"/>
          <w:sz w:val="22"/>
          <w:szCs w:val="22"/>
        </w:rPr>
      </w:pPr>
    </w:p>
    <w:p w14:paraId="30DE02C0" w14:textId="437E614F" w:rsidR="0055528A" w:rsidRPr="0055528A" w:rsidRDefault="0055528A" w:rsidP="00777EAD">
      <w:pPr>
        <w:ind w:firstLine="720"/>
        <w:rPr>
          <w:rFonts w:ascii="Times New Roman" w:hAnsi="Times New Roman"/>
        </w:rPr>
      </w:pPr>
      <w:r w:rsidRPr="0055528A">
        <w:rPr>
          <w:rFonts w:ascii="Times New Roman" w:hAnsi="Times New Roman"/>
        </w:rPr>
        <w:t xml:space="preserve">Bayer </w:t>
      </w:r>
      <w:r>
        <w:rPr>
          <w:rFonts w:ascii="Times New Roman" w:hAnsi="Times New Roman"/>
        </w:rPr>
        <w:t>commented</w:t>
      </w:r>
      <w:r w:rsidRPr="0055528A">
        <w:rPr>
          <w:rFonts w:ascii="Times New Roman" w:hAnsi="Times New Roman"/>
        </w:rPr>
        <w:t xml:space="preserve"> that active ingredients (AI) and percentages of each AI should be treated as CBI for compounds imported for research and development (R&amp;D) purposes. </w:t>
      </w:r>
      <w:r w:rsidR="0022362E">
        <w:rPr>
          <w:rFonts w:ascii="Times New Roman" w:hAnsi="Times New Roman"/>
        </w:rPr>
        <w:t>Bayer stated that b</w:t>
      </w:r>
      <w:r w:rsidRPr="0055528A">
        <w:rPr>
          <w:rFonts w:ascii="Times New Roman" w:hAnsi="Times New Roman"/>
        </w:rPr>
        <w:t>ecause EPA requires this field and because Bayer also needs to maintain confidentiality on research materials, Bayer propose</w:t>
      </w:r>
      <w:r w:rsidR="0022362E">
        <w:rPr>
          <w:rFonts w:ascii="Times New Roman" w:hAnsi="Times New Roman"/>
        </w:rPr>
        <w:t>d</w:t>
      </w:r>
      <w:r w:rsidRPr="0055528A">
        <w:rPr>
          <w:rFonts w:ascii="Times New Roman" w:hAnsi="Times New Roman"/>
        </w:rPr>
        <w:t xml:space="preserve"> that when a numbered compound code or other internal methodology is used, the translation for this code be provided in box 19 which can be claimed as CBI. </w:t>
      </w:r>
      <w:r w:rsidR="0022362E">
        <w:rPr>
          <w:rFonts w:ascii="Times New Roman" w:hAnsi="Times New Roman"/>
        </w:rPr>
        <w:t>Bayer suggested that i</w:t>
      </w:r>
      <w:r w:rsidRPr="0055528A">
        <w:rPr>
          <w:rFonts w:ascii="Times New Roman" w:hAnsi="Times New Roman"/>
        </w:rPr>
        <w:t xml:space="preserve">n this manner companies may provide EPA with the necessary information to facilitate import but not risk exposure of sensitive information. </w:t>
      </w:r>
      <w:r w:rsidR="0022362E">
        <w:rPr>
          <w:rFonts w:ascii="Times New Roman" w:hAnsi="Times New Roman"/>
        </w:rPr>
        <w:t>They felt that a</w:t>
      </w:r>
      <w:r w:rsidRPr="0055528A">
        <w:rPr>
          <w:rFonts w:ascii="Times New Roman" w:hAnsi="Times New Roman"/>
        </w:rPr>
        <w:t>n associated field could be created in box 18 to allow for identification when an internal compound name is utilized</w:t>
      </w:r>
      <w:r w:rsidR="0022362E">
        <w:rPr>
          <w:rFonts w:ascii="Times New Roman" w:hAnsi="Times New Roman"/>
        </w:rPr>
        <w:t>, and t</w:t>
      </w:r>
      <w:r w:rsidRPr="0055528A">
        <w:rPr>
          <w:rFonts w:ascii="Times New Roman" w:hAnsi="Times New Roman"/>
        </w:rPr>
        <w:t>his option need not be available for registered pesticide products.</w:t>
      </w:r>
    </w:p>
    <w:p w14:paraId="16C0A99C" w14:textId="77777777" w:rsidR="0055528A" w:rsidRDefault="0055528A" w:rsidP="0055528A">
      <w:pPr>
        <w:rPr>
          <w:rFonts w:ascii="Times New Roman" w:hAnsi="Times New Roman"/>
          <w:b/>
        </w:rPr>
      </w:pPr>
      <w:r w:rsidRPr="0055528A">
        <w:rPr>
          <w:rFonts w:ascii="Times New Roman" w:hAnsi="Times New Roman"/>
        </w:rPr>
        <w:tab/>
      </w:r>
    </w:p>
    <w:p w14:paraId="501C4189" w14:textId="1DA17393" w:rsidR="0055528A" w:rsidRPr="0055528A" w:rsidRDefault="00C531E3" w:rsidP="00777EAD">
      <w:pPr>
        <w:ind w:firstLine="720"/>
        <w:rPr>
          <w:rFonts w:ascii="Times New Roman" w:hAnsi="Times New Roman"/>
        </w:rPr>
      </w:pPr>
      <w:r>
        <w:rPr>
          <w:rFonts w:ascii="Times New Roman" w:hAnsi="Times New Roman"/>
        </w:rPr>
        <w:t>In response, a</w:t>
      </w:r>
      <w:r w:rsidR="0055528A" w:rsidRPr="0055528A">
        <w:rPr>
          <w:rFonts w:ascii="Times New Roman" w:hAnsi="Times New Roman"/>
        </w:rPr>
        <w:t xml:space="preserve">s stated in the </w:t>
      </w:r>
      <w:r w:rsidR="0055528A">
        <w:rPr>
          <w:rFonts w:ascii="Times New Roman" w:hAnsi="Times New Roman"/>
        </w:rPr>
        <w:t>original supporting statement</w:t>
      </w:r>
      <w:r w:rsidR="0055528A" w:rsidRPr="0055528A">
        <w:rPr>
          <w:rFonts w:ascii="Times New Roman" w:hAnsi="Times New Roman"/>
        </w:rPr>
        <w:t>, some information presented in a NOA may not be claimed as CBI, pursuant to FIFRA section 7(d) and labeling requirements for pesticides/devices at 40 CFR 156.10; specifically, the EPA registration number, the producer establishment number, the brand name of product, and the active ingredients and percentages of each active ingredient. While EPA believes that Bayer’s comment has potential merit regarding R&amp;D compounds, this renewal ICR is intended to reflect the estimated burden hours and cost associated with the existing NOA form and is not intended to make specific changes to the existing form. EPA is currently working with Customs to develop a</w:t>
      </w:r>
      <w:r w:rsidR="0022362E">
        <w:rPr>
          <w:rFonts w:ascii="Times New Roman" w:hAnsi="Times New Roman"/>
        </w:rPr>
        <w:t>dditional</w:t>
      </w:r>
      <w:r w:rsidR="0055528A" w:rsidRPr="0055528A">
        <w:rPr>
          <w:rFonts w:ascii="Times New Roman" w:hAnsi="Times New Roman"/>
        </w:rPr>
        <w:t xml:space="preserve"> rulemaking related to filing NOAs through the ACE/ITDS system. Changes to the NOA forms to address issues such as this (to be available through </w:t>
      </w:r>
      <w:r w:rsidR="003525F5">
        <w:rPr>
          <w:rFonts w:ascii="Times New Roman" w:hAnsi="Times New Roman"/>
        </w:rPr>
        <w:t xml:space="preserve">both </w:t>
      </w:r>
      <w:r w:rsidR="0055528A" w:rsidRPr="0055528A">
        <w:rPr>
          <w:rFonts w:ascii="Times New Roman" w:hAnsi="Times New Roman"/>
        </w:rPr>
        <w:t xml:space="preserve">electronic </w:t>
      </w:r>
      <w:r w:rsidR="003525F5">
        <w:rPr>
          <w:rFonts w:ascii="Times New Roman" w:hAnsi="Times New Roman"/>
        </w:rPr>
        <w:t xml:space="preserve">and </w:t>
      </w:r>
      <w:r w:rsidR="0055528A" w:rsidRPr="0055528A">
        <w:rPr>
          <w:rFonts w:ascii="Times New Roman" w:hAnsi="Times New Roman"/>
        </w:rPr>
        <w:t>paper versions) may be considered as part of that rulemaking process, not through this ICR renewal. After completion of the rulemaking, EPA will issue a rule-related ICR that will revise this ICR and associated forms. EPA encourages Bayer to provide this concern as part of that rulemaking.</w:t>
      </w:r>
    </w:p>
    <w:p w14:paraId="29A6B8C2" w14:textId="77777777" w:rsidR="0055528A" w:rsidRDefault="0055528A" w:rsidP="0055528A">
      <w:pPr>
        <w:rPr>
          <w:rFonts w:ascii="Times New Roman" w:hAnsi="Times New Roman"/>
        </w:rPr>
      </w:pPr>
    </w:p>
    <w:p w14:paraId="2E999888" w14:textId="10EF3854" w:rsidR="0055528A" w:rsidRPr="0055528A" w:rsidRDefault="0055528A" w:rsidP="00777EAD">
      <w:pPr>
        <w:ind w:firstLine="720"/>
        <w:rPr>
          <w:rFonts w:ascii="Times New Roman" w:hAnsi="Times New Roman"/>
        </w:rPr>
      </w:pPr>
      <w:r w:rsidRPr="0055528A">
        <w:rPr>
          <w:rFonts w:ascii="Times New Roman" w:hAnsi="Times New Roman"/>
        </w:rPr>
        <w:t xml:space="preserve">Bayer </w:t>
      </w:r>
      <w:r>
        <w:rPr>
          <w:rFonts w:ascii="Times New Roman" w:hAnsi="Times New Roman"/>
        </w:rPr>
        <w:t xml:space="preserve">stated </w:t>
      </w:r>
      <w:r w:rsidRPr="0055528A">
        <w:rPr>
          <w:rFonts w:ascii="Times New Roman" w:hAnsi="Times New Roman"/>
        </w:rPr>
        <w:t>that all data contained on a NOA form should be considered confidential and covered by confidentiality provisions of FIFRA with the exceptions of the information provided in blocks 4, 5, 6, and 7. Bayer continues to advocate for automatic identification of NOA information as completely confidential, but in the absence of this determination would ask that EPA consistently apply their CBI standards to all respondents, and exempt NOA CBI requests from additional review by OMB or OGC.</w:t>
      </w:r>
    </w:p>
    <w:p w14:paraId="67B4DD0F" w14:textId="77777777" w:rsidR="0055528A" w:rsidRDefault="0055528A" w:rsidP="0055528A">
      <w:pPr>
        <w:rPr>
          <w:rFonts w:ascii="Times New Roman" w:hAnsi="Times New Roman"/>
          <w:b/>
        </w:rPr>
      </w:pPr>
    </w:p>
    <w:p w14:paraId="557D6276" w14:textId="27B53DDC" w:rsidR="0055528A" w:rsidRPr="0055528A" w:rsidRDefault="00C531E3" w:rsidP="00777EAD">
      <w:pPr>
        <w:ind w:firstLine="720"/>
        <w:rPr>
          <w:rFonts w:ascii="Times New Roman" w:hAnsi="Times New Roman"/>
        </w:rPr>
      </w:pPr>
      <w:r>
        <w:rPr>
          <w:rFonts w:ascii="Times New Roman" w:hAnsi="Times New Roman"/>
        </w:rPr>
        <w:t xml:space="preserve">In response, </w:t>
      </w:r>
      <w:r w:rsidR="0055528A" w:rsidRPr="00777EAD">
        <w:rPr>
          <w:rFonts w:ascii="Times New Roman" w:hAnsi="Times New Roman"/>
        </w:rPr>
        <w:t>EPA notes that a</w:t>
      </w:r>
      <w:r w:rsidR="0055528A" w:rsidRPr="0055528A">
        <w:rPr>
          <w:rFonts w:ascii="Times New Roman" w:hAnsi="Times New Roman"/>
        </w:rPr>
        <w:t>ll of the information provided on the NOA form, with the exception of the information in blocks 4, 5, 6, and 7, may be claimed as CBI by respondents, and if claimed as such, would be covered by the confidentiality provisions of FIFRA. EPA needs to know what information the respondent is claiming as CBI and import</w:t>
      </w:r>
      <w:r w:rsidR="003525F5">
        <w:rPr>
          <w:rFonts w:ascii="Times New Roman" w:hAnsi="Times New Roman"/>
        </w:rPr>
        <w:t>er</w:t>
      </w:r>
      <w:r w:rsidR="0055528A" w:rsidRPr="0055528A">
        <w:rPr>
          <w:rFonts w:ascii="Times New Roman" w:hAnsi="Times New Roman"/>
        </w:rPr>
        <w:t xml:space="preserve">s must substantiate exactly what informational fields in the paper version of the NOA should be considered “FIFRA CBI” with the exception of fields 4, 5, 6, and 7. EPA believes that the current requirement to indicate clearly in block 16 what information is to be considered CBI provides respondents with flexibility in making CBI claims. </w:t>
      </w:r>
    </w:p>
    <w:p w14:paraId="46372687" w14:textId="77777777" w:rsidR="0055528A" w:rsidRPr="0055528A" w:rsidRDefault="0055528A" w:rsidP="0055528A">
      <w:pPr>
        <w:rPr>
          <w:rFonts w:ascii="Times New Roman" w:hAnsi="Times New Roman"/>
        </w:rPr>
      </w:pPr>
    </w:p>
    <w:p w14:paraId="68902506" w14:textId="313DB0CB" w:rsidR="0055528A" w:rsidRDefault="0055528A" w:rsidP="00777EAD">
      <w:pPr>
        <w:ind w:firstLine="720"/>
        <w:rPr>
          <w:rFonts w:ascii="Times New Roman" w:hAnsi="Times New Roman"/>
        </w:rPr>
      </w:pPr>
      <w:r>
        <w:rPr>
          <w:rFonts w:ascii="Times New Roman" w:hAnsi="Times New Roman"/>
        </w:rPr>
        <w:t>Bayer stated</w:t>
      </w:r>
      <w:r w:rsidRPr="0055528A">
        <w:rPr>
          <w:rFonts w:ascii="Times New Roman" w:hAnsi="Times New Roman"/>
        </w:rPr>
        <w:t xml:space="preserve"> that on the NOA form, in Box 11: </w:t>
      </w:r>
      <w:r w:rsidRPr="0055528A">
        <w:rPr>
          <w:rFonts w:ascii="Times New Roman" w:hAnsi="Times New Roman"/>
          <w:i/>
          <w:iCs/>
        </w:rPr>
        <w:t xml:space="preserve">Country of Origin, </w:t>
      </w:r>
      <w:r w:rsidRPr="0055528A">
        <w:rPr>
          <w:rFonts w:ascii="Times New Roman" w:hAnsi="Times New Roman"/>
        </w:rPr>
        <w:t xml:space="preserve">the definition of country of origin differs between US Customs and US EPA, which is one source of confusion which has led to delays in import. These definitions should be harmonized to prevent delays from either the EPA or US Customs. Specifically, EPA need not separately require a Country of Origin because that information is already provided in the US EPA Registered Establishment number (EPA Est. </w:t>
      </w:r>
      <w:r>
        <w:rPr>
          <w:rFonts w:ascii="Times New Roman" w:hAnsi="Times New Roman"/>
        </w:rPr>
        <w:t>No.</w:t>
      </w:r>
      <w:r w:rsidRPr="0055528A">
        <w:rPr>
          <w:rFonts w:ascii="Times New Roman" w:hAnsi="Times New Roman"/>
        </w:rPr>
        <w:t xml:space="preserve">) captured in box 5. Instead, EPA should accept </w:t>
      </w:r>
      <w:r w:rsidR="002805A1">
        <w:rPr>
          <w:rFonts w:ascii="Times New Roman" w:hAnsi="Times New Roman"/>
        </w:rPr>
        <w:t xml:space="preserve">Customs’ </w:t>
      </w:r>
      <w:r w:rsidRPr="0055528A">
        <w:rPr>
          <w:rFonts w:ascii="Times New Roman" w:hAnsi="Times New Roman"/>
        </w:rPr>
        <w:t xml:space="preserve">country of origin within the Automated Commercial Environment (ACE) environment, which is provided based on </w:t>
      </w:r>
      <w:r w:rsidR="002805A1">
        <w:rPr>
          <w:rFonts w:ascii="Times New Roman" w:hAnsi="Times New Roman"/>
        </w:rPr>
        <w:t>Customs</w:t>
      </w:r>
      <w:r w:rsidR="002805A1" w:rsidRPr="0055528A">
        <w:rPr>
          <w:rFonts w:ascii="Times New Roman" w:hAnsi="Times New Roman"/>
        </w:rPr>
        <w:t xml:space="preserve"> </w:t>
      </w:r>
      <w:r w:rsidRPr="0055528A">
        <w:rPr>
          <w:rFonts w:ascii="Times New Roman" w:hAnsi="Times New Roman"/>
        </w:rPr>
        <w:t>rules.</w:t>
      </w:r>
    </w:p>
    <w:p w14:paraId="1E3D429D" w14:textId="77777777" w:rsidR="0055528A" w:rsidRDefault="0055528A" w:rsidP="00777EAD">
      <w:pPr>
        <w:ind w:firstLine="720"/>
        <w:rPr>
          <w:rFonts w:ascii="Times New Roman" w:hAnsi="Times New Roman"/>
        </w:rPr>
      </w:pPr>
    </w:p>
    <w:p w14:paraId="60AD24C0" w14:textId="688A2368" w:rsidR="0055528A" w:rsidRPr="0055528A" w:rsidRDefault="0055528A" w:rsidP="00777EAD">
      <w:pPr>
        <w:ind w:firstLine="720"/>
        <w:rPr>
          <w:rFonts w:ascii="Times New Roman" w:hAnsi="Times New Roman"/>
        </w:rPr>
      </w:pPr>
      <w:r>
        <w:rPr>
          <w:rFonts w:ascii="Times New Roman" w:hAnsi="Times New Roman"/>
        </w:rPr>
        <w:t xml:space="preserve">In response, </w:t>
      </w:r>
      <w:r w:rsidRPr="0055528A">
        <w:rPr>
          <w:rFonts w:ascii="Times New Roman" w:hAnsi="Times New Roman"/>
        </w:rPr>
        <w:t xml:space="preserve">EPA is in the process of harmonizing with </w:t>
      </w:r>
      <w:r w:rsidR="002805A1">
        <w:rPr>
          <w:rFonts w:ascii="Times New Roman" w:hAnsi="Times New Roman"/>
        </w:rPr>
        <w:t>Customs</w:t>
      </w:r>
      <w:r w:rsidR="002805A1" w:rsidRPr="0055528A">
        <w:rPr>
          <w:rFonts w:ascii="Times New Roman" w:hAnsi="Times New Roman"/>
        </w:rPr>
        <w:t xml:space="preserve"> </w:t>
      </w:r>
      <w:r w:rsidRPr="0055528A">
        <w:rPr>
          <w:rFonts w:ascii="Times New Roman" w:hAnsi="Times New Roman"/>
        </w:rPr>
        <w:t xml:space="preserve">under ACE the definition of “Country of Origin” and plans to update the NOA form using the </w:t>
      </w:r>
      <w:r w:rsidR="002805A1">
        <w:rPr>
          <w:rFonts w:ascii="Times New Roman" w:hAnsi="Times New Roman"/>
        </w:rPr>
        <w:t>Customs</w:t>
      </w:r>
      <w:r w:rsidR="002805A1" w:rsidRPr="0055528A">
        <w:rPr>
          <w:rFonts w:ascii="Times New Roman" w:hAnsi="Times New Roman"/>
        </w:rPr>
        <w:t xml:space="preserve"> </w:t>
      </w:r>
      <w:r w:rsidRPr="0055528A">
        <w:rPr>
          <w:rFonts w:ascii="Times New Roman" w:hAnsi="Times New Roman"/>
        </w:rPr>
        <w:t>definition once this process is completed through rulemaking. EPA will also need both the Country of Origin information and the EPA Establishment No. where the pesticide was last “produced” as that term is broadly defined under FIFRA. This change will occur when ACE is implemented and the regulations are revised</w:t>
      </w:r>
      <w:r>
        <w:rPr>
          <w:rFonts w:ascii="Times New Roman" w:hAnsi="Times New Roman"/>
        </w:rPr>
        <w:t>, with additional revisions planned for 2017</w:t>
      </w:r>
      <w:r w:rsidRPr="0055528A">
        <w:rPr>
          <w:rFonts w:ascii="Times New Roman" w:hAnsi="Times New Roman"/>
        </w:rPr>
        <w:t>.</w:t>
      </w:r>
    </w:p>
    <w:p w14:paraId="6D67BBAE" w14:textId="77777777" w:rsidR="0055528A" w:rsidRPr="0055528A" w:rsidRDefault="0055528A" w:rsidP="0055528A">
      <w:pPr>
        <w:rPr>
          <w:rFonts w:ascii="Times New Roman" w:hAnsi="Times New Roman"/>
        </w:rPr>
      </w:pPr>
    </w:p>
    <w:p w14:paraId="3856E148" w14:textId="5A9D04D0" w:rsidR="0055528A" w:rsidRPr="0055528A" w:rsidRDefault="0055528A" w:rsidP="00777EAD">
      <w:pPr>
        <w:ind w:firstLine="720"/>
        <w:rPr>
          <w:rFonts w:ascii="Times New Roman" w:hAnsi="Times New Roman"/>
        </w:rPr>
      </w:pPr>
      <w:r w:rsidRPr="0055528A">
        <w:rPr>
          <w:rFonts w:ascii="Times New Roman" w:hAnsi="Times New Roman"/>
        </w:rPr>
        <w:t>Bayer noted that, in its experience, the submission of supporting information along with the NOA is not voluntary. It has been the experience of Bayer that such submissions are not treated by the requesting regions as voluntary. Failure to submit a product label, customs entry form, pro</w:t>
      </w:r>
      <w:r w:rsidRPr="0055528A">
        <w:rPr>
          <w:rFonts w:ascii="Cambria Math" w:hAnsi="Cambria Math" w:cs="Cambria Math"/>
        </w:rPr>
        <w:t>‐</w:t>
      </w:r>
      <w:r w:rsidRPr="0055528A">
        <w:rPr>
          <w:rFonts w:ascii="Times New Roman" w:hAnsi="Times New Roman"/>
        </w:rPr>
        <w:t>forma invoice, guidance statement, R&amp;D certificates, or any of the other “voluntary” documents results in denial of entry of the shipment to the United States. In addition, the documentation requests are inconsistent between EPA regions, are laborious and time consuming for the industry, and tend to create delays for reasons unrelated to the NOA or human health and safety. Additionally, individual EPA regions use the NOA screen for a variety of other enforcement checks, such as supplemental labeling or EPA Registered Establishment reporting compliance. These practices are also inconsistent between regions, with some EPA regions conducting systematic relabeling mandates to alter shipments and issuing fines for conduct that does not constitute an infraction in a different geography. Bayer proposes that EPA clarify the requirements and harmonize enforcement standards among the regions.</w:t>
      </w:r>
    </w:p>
    <w:p w14:paraId="780D6530" w14:textId="77777777" w:rsidR="0055528A" w:rsidRPr="0055528A" w:rsidRDefault="0055528A" w:rsidP="0055528A">
      <w:pPr>
        <w:rPr>
          <w:rFonts w:ascii="Times New Roman" w:hAnsi="Times New Roman"/>
          <w:b/>
        </w:rPr>
      </w:pPr>
    </w:p>
    <w:p w14:paraId="03E37818" w14:textId="1C7C5B22" w:rsidR="0089514A" w:rsidRDefault="00C531E3" w:rsidP="007D40E0">
      <w:pPr>
        <w:ind w:firstLine="720"/>
        <w:rPr>
          <w:rFonts w:ascii="Times New Roman" w:hAnsi="Times New Roman"/>
        </w:rPr>
      </w:pPr>
      <w:r>
        <w:rPr>
          <w:rFonts w:ascii="Times New Roman" w:hAnsi="Times New Roman"/>
        </w:rPr>
        <w:t xml:space="preserve">In response, </w:t>
      </w:r>
      <w:r w:rsidR="006C6EC2">
        <w:rPr>
          <w:rFonts w:ascii="Times New Roman" w:hAnsi="Times New Roman"/>
        </w:rPr>
        <w:t>EPA</w:t>
      </w:r>
      <w:r w:rsidR="00131427">
        <w:rPr>
          <w:rFonts w:ascii="Times New Roman" w:hAnsi="Times New Roman"/>
        </w:rPr>
        <w:t xml:space="preserve">’s experience shows that </w:t>
      </w:r>
      <w:r w:rsidR="006E3D11" w:rsidRPr="006E3D11">
        <w:rPr>
          <w:rFonts w:ascii="Times New Roman" w:hAnsi="Times New Roman"/>
        </w:rPr>
        <w:t xml:space="preserve">importers </w:t>
      </w:r>
      <w:r w:rsidR="00F85991">
        <w:rPr>
          <w:rFonts w:ascii="Times New Roman" w:hAnsi="Times New Roman"/>
        </w:rPr>
        <w:t xml:space="preserve">typically </w:t>
      </w:r>
      <w:r w:rsidR="006E3D11" w:rsidRPr="006E3D11">
        <w:rPr>
          <w:rFonts w:ascii="Times New Roman" w:hAnsi="Times New Roman"/>
        </w:rPr>
        <w:t xml:space="preserve">submit the </w:t>
      </w:r>
      <w:r w:rsidR="004B4130">
        <w:rPr>
          <w:rFonts w:ascii="Times New Roman" w:hAnsi="Times New Roman"/>
        </w:rPr>
        <w:t>recommended/</w:t>
      </w:r>
      <w:r w:rsidR="006E3D11" w:rsidRPr="006E3D11">
        <w:rPr>
          <w:rFonts w:ascii="Times New Roman" w:hAnsi="Times New Roman"/>
        </w:rPr>
        <w:t>voluntary information in an effort to facilitate an expedited review of the NOA submission. The label and other voluntary information allows EPA to</w:t>
      </w:r>
      <w:r w:rsidR="00131427">
        <w:rPr>
          <w:rFonts w:ascii="Times New Roman" w:hAnsi="Times New Roman"/>
        </w:rPr>
        <w:t xml:space="preserve"> easily</w:t>
      </w:r>
      <w:r w:rsidR="006E3D11" w:rsidRPr="006E3D11">
        <w:rPr>
          <w:rFonts w:ascii="Times New Roman" w:hAnsi="Times New Roman"/>
        </w:rPr>
        <w:t xml:space="preserve"> verify compliance with FIFRA labeling requirements and may help </w:t>
      </w:r>
      <w:r w:rsidR="008926EA">
        <w:rPr>
          <w:rFonts w:ascii="Times New Roman" w:hAnsi="Times New Roman"/>
        </w:rPr>
        <w:t xml:space="preserve">EPA </w:t>
      </w:r>
      <w:r w:rsidR="006E3D11" w:rsidRPr="006E3D11">
        <w:rPr>
          <w:rFonts w:ascii="Times New Roman" w:hAnsi="Times New Roman"/>
        </w:rPr>
        <w:t xml:space="preserve">to </w:t>
      </w:r>
      <w:r w:rsidR="008926EA">
        <w:rPr>
          <w:rFonts w:ascii="Times New Roman" w:hAnsi="Times New Roman"/>
        </w:rPr>
        <w:t xml:space="preserve">quickly </w:t>
      </w:r>
      <w:r w:rsidR="006E3D11" w:rsidRPr="006E3D11">
        <w:rPr>
          <w:rFonts w:ascii="Times New Roman" w:hAnsi="Times New Roman"/>
        </w:rPr>
        <w:t>resolve issues with a shipment. The label also communicates information that may help Customs Officers take appropriate precautionary measures when handling these shipments at the port. By providing this information upfront, importers have found that providing this information is more efficient than addressing questions or document requests from EPA</w:t>
      </w:r>
      <w:r w:rsidR="00180C99">
        <w:rPr>
          <w:rFonts w:ascii="Times New Roman" w:hAnsi="Times New Roman"/>
        </w:rPr>
        <w:t xml:space="preserve"> later in the process</w:t>
      </w:r>
      <w:r w:rsidR="006E3D11" w:rsidRPr="006E3D11">
        <w:rPr>
          <w:rFonts w:ascii="Times New Roman" w:hAnsi="Times New Roman"/>
        </w:rPr>
        <w:t xml:space="preserve">, which can delay </w:t>
      </w:r>
      <w:r w:rsidR="00F85991">
        <w:rPr>
          <w:rFonts w:ascii="Times New Roman" w:hAnsi="Times New Roman"/>
        </w:rPr>
        <w:t>entry</w:t>
      </w:r>
      <w:r w:rsidR="00131427">
        <w:rPr>
          <w:rFonts w:ascii="Times New Roman" w:hAnsi="Times New Roman"/>
        </w:rPr>
        <w:t xml:space="preserve"> and increase costs and burden</w:t>
      </w:r>
      <w:r w:rsidR="00F85991">
        <w:rPr>
          <w:rFonts w:ascii="Times New Roman" w:hAnsi="Times New Roman"/>
        </w:rPr>
        <w:t>.</w:t>
      </w:r>
      <w:r w:rsidR="006E3D11" w:rsidRPr="006E3D11">
        <w:rPr>
          <w:rFonts w:ascii="Times New Roman" w:hAnsi="Times New Roman"/>
        </w:rPr>
        <w:t xml:space="preserve">  </w:t>
      </w:r>
      <w:r w:rsidR="00EC6527" w:rsidRPr="0055528A">
        <w:rPr>
          <w:rFonts w:ascii="Times New Roman" w:hAnsi="Times New Roman"/>
        </w:rPr>
        <w:t xml:space="preserve">If an importer believes that it is more efficient to routinely submit </w:t>
      </w:r>
      <w:r w:rsidR="00180C99">
        <w:rPr>
          <w:rFonts w:ascii="Times New Roman" w:hAnsi="Times New Roman"/>
        </w:rPr>
        <w:t xml:space="preserve">the </w:t>
      </w:r>
      <w:r w:rsidR="00EC6527" w:rsidRPr="0055528A">
        <w:rPr>
          <w:rFonts w:ascii="Times New Roman" w:hAnsi="Times New Roman"/>
        </w:rPr>
        <w:t>supporting information, that company may incorporate such submission</w:t>
      </w:r>
      <w:r w:rsidR="00180C99">
        <w:rPr>
          <w:rFonts w:ascii="Times New Roman" w:hAnsi="Times New Roman"/>
        </w:rPr>
        <w:t>s</w:t>
      </w:r>
      <w:r w:rsidR="00EC6527" w:rsidRPr="0055528A">
        <w:rPr>
          <w:rFonts w:ascii="Times New Roman" w:hAnsi="Times New Roman"/>
        </w:rPr>
        <w:t xml:space="preserve"> into its standard business operations to facilitate a streamlined and more efficient review and approval.</w:t>
      </w:r>
    </w:p>
    <w:p w14:paraId="17EFDE26" w14:textId="77777777" w:rsidR="0089514A" w:rsidRDefault="0089514A" w:rsidP="007D40E0">
      <w:pPr>
        <w:ind w:firstLine="720"/>
        <w:rPr>
          <w:rFonts w:ascii="Times New Roman" w:hAnsi="Times New Roman"/>
        </w:rPr>
      </w:pPr>
    </w:p>
    <w:p w14:paraId="34EFE111" w14:textId="206ED012" w:rsidR="0055528A" w:rsidRDefault="00EC1175" w:rsidP="007D40E0">
      <w:pPr>
        <w:ind w:firstLine="720"/>
        <w:rPr>
          <w:rFonts w:ascii="Times New Roman" w:hAnsi="Times New Roman"/>
        </w:rPr>
      </w:pPr>
      <w:r w:rsidRPr="00EC1175">
        <w:rPr>
          <w:rFonts w:ascii="Times New Roman" w:hAnsi="Times New Roman"/>
        </w:rPr>
        <w:t xml:space="preserve">In practice, a copy of the product label submitted by the importer is routinely reviewed by </w:t>
      </w:r>
      <w:r w:rsidR="00A755BC">
        <w:rPr>
          <w:rFonts w:ascii="Times New Roman" w:hAnsi="Times New Roman"/>
        </w:rPr>
        <w:t xml:space="preserve">EPA </w:t>
      </w:r>
      <w:r w:rsidRPr="00EC1175">
        <w:rPr>
          <w:rFonts w:ascii="Times New Roman" w:hAnsi="Times New Roman"/>
        </w:rPr>
        <w:t>regional staff as part of the notice of arrival process; the label, however, is not reviewed i</w:t>
      </w:r>
      <w:r w:rsidR="005358E0">
        <w:rPr>
          <w:rFonts w:ascii="Times New Roman" w:hAnsi="Times New Roman"/>
        </w:rPr>
        <w:t>n every instance</w:t>
      </w:r>
      <w:r w:rsidR="005358E0" w:rsidRPr="005358E0">
        <w:rPr>
          <w:rFonts w:ascii="Times New Roman" w:hAnsi="Times New Roman"/>
        </w:rPr>
        <w:t xml:space="preserve">. </w:t>
      </w:r>
      <w:r w:rsidR="005358E0">
        <w:rPr>
          <w:rFonts w:ascii="Times New Roman" w:hAnsi="Times New Roman"/>
        </w:rPr>
        <w:t>T</w:t>
      </w:r>
      <w:r w:rsidR="0055528A" w:rsidRPr="0055528A">
        <w:rPr>
          <w:rFonts w:ascii="Times New Roman" w:hAnsi="Times New Roman"/>
        </w:rPr>
        <w:t xml:space="preserve">he decision to request supporting information for an imported pesticide, if the information </w:t>
      </w:r>
      <w:r w:rsidR="003525F5">
        <w:rPr>
          <w:rFonts w:ascii="Times New Roman" w:hAnsi="Times New Roman"/>
        </w:rPr>
        <w:t xml:space="preserve">is </w:t>
      </w:r>
      <w:r w:rsidR="0055528A" w:rsidRPr="0055528A">
        <w:rPr>
          <w:rFonts w:ascii="Times New Roman" w:hAnsi="Times New Roman"/>
        </w:rPr>
        <w:t>not provided voluntarily by the importer, is</w:t>
      </w:r>
      <w:r w:rsidR="005358E0">
        <w:rPr>
          <w:rFonts w:ascii="Times New Roman" w:hAnsi="Times New Roman"/>
        </w:rPr>
        <w:t xml:space="preserve"> therefore</w:t>
      </w:r>
      <w:r w:rsidR="0055528A" w:rsidRPr="0055528A">
        <w:rPr>
          <w:rFonts w:ascii="Times New Roman" w:hAnsi="Times New Roman"/>
        </w:rPr>
        <w:t xml:space="preserve"> made on a case-by-case basis depending on the unique circumstances surrounding the importation of the pesticide product. </w:t>
      </w:r>
      <w:r w:rsidR="00AC70EA">
        <w:rPr>
          <w:rFonts w:ascii="Times New Roman" w:hAnsi="Times New Roman"/>
        </w:rPr>
        <w:t xml:space="preserve"> </w:t>
      </w:r>
      <w:r w:rsidR="006E3D11">
        <w:rPr>
          <w:rFonts w:ascii="Times New Roman" w:hAnsi="Times New Roman"/>
        </w:rPr>
        <w:t xml:space="preserve">For example, </w:t>
      </w:r>
      <w:r w:rsidR="004A302F">
        <w:rPr>
          <w:rFonts w:ascii="Times New Roman" w:hAnsi="Times New Roman"/>
        </w:rPr>
        <w:t xml:space="preserve">a </w:t>
      </w:r>
      <w:r w:rsidR="006E3D11" w:rsidRPr="001A0505">
        <w:rPr>
          <w:rFonts w:ascii="Times New Roman" w:hAnsi="Times New Roman"/>
        </w:rPr>
        <w:t xml:space="preserve">request for additional information </w:t>
      </w:r>
      <w:r w:rsidR="006E3D11">
        <w:rPr>
          <w:rFonts w:ascii="Times New Roman" w:hAnsi="Times New Roman"/>
        </w:rPr>
        <w:t>by EPA Region</w:t>
      </w:r>
      <w:r w:rsidR="006E55AD">
        <w:rPr>
          <w:rFonts w:ascii="Times New Roman" w:hAnsi="Times New Roman"/>
        </w:rPr>
        <w:t>al office</w:t>
      </w:r>
      <w:r w:rsidR="006E3D11">
        <w:rPr>
          <w:rFonts w:ascii="Times New Roman" w:hAnsi="Times New Roman"/>
        </w:rPr>
        <w:t xml:space="preserve">s </w:t>
      </w:r>
      <w:r w:rsidR="002B29A4">
        <w:rPr>
          <w:rFonts w:ascii="Times New Roman" w:hAnsi="Times New Roman"/>
        </w:rPr>
        <w:t xml:space="preserve">is </w:t>
      </w:r>
      <w:r w:rsidR="002F0F8F">
        <w:rPr>
          <w:rFonts w:ascii="Times New Roman" w:hAnsi="Times New Roman"/>
        </w:rPr>
        <w:t xml:space="preserve">more </w:t>
      </w:r>
      <w:r w:rsidR="00647F39">
        <w:rPr>
          <w:rFonts w:ascii="Times New Roman" w:hAnsi="Times New Roman"/>
        </w:rPr>
        <w:t>likely</w:t>
      </w:r>
      <w:r w:rsidR="006E3D11">
        <w:rPr>
          <w:rFonts w:ascii="Times New Roman" w:hAnsi="Times New Roman"/>
        </w:rPr>
        <w:t xml:space="preserve"> to occur</w:t>
      </w:r>
      <w:r w:rsidR="006E3D11" w:rsidRPr="001A0505">
        <w:rPr>
          <w:rFonts w:ascii="Times New Roman" w:hAnsi="Times New Roman"/>
        </w:rPr>
        <w:t xml:space="preserve"> when the import</w:t>
      </w:r>
      <w:r w:rsidR="005358E0">
        <w:rPr>
          <w:rFonts w:ascii="Times New Roman" w:hAnsi="Times New Roman"/>
        </w:rPr>
        <w:t>ation</w:t>
      </w:r>
      <w:r w:rsidR="00EC6527">
        <w:rPr>
          <w:rFonts w:ascii="Times New Roman" w:hAnsi="Times New Roman"/>
        </w:rPr>
        <w:t xml:space="preserve"> </w:t>
      </w:r>
      <w:r w:rsidR="006E3D11" w:rsidRPr="001A0505">
        <w:rPr>
          <w:rFonts w:ascii="Times New Roman" w:hAnsi="Times New Roman"/>
        </w:rPr>
        <w:t>is not a routine</w:t>
      </w:r>
      <w:r w:rsidR="00647F39">
        <w:rPr>
          <w:rFonts w:ascii="Times New Roman" w:hAnsi="Times New Roman"/>
        </w:rPr>
        <w:t xml:space="preserve"> import of a</w:t>
      </w:r>
      <w:r w:rsidR="006E3D11" w:rsidRPr="001A0505">
        <w:rPr>
          <w:rFonts w:ascii="Times New Roman" w:hAnsi="Times New Roman"/>
        </w:rPr>
        <w:t xml:space="preserve"> registered pesticide product</w:t>
      </w:r>
      <w:r w:rsidR="006E3D11">
        <w:rPr>
          <w:rFonts w:ascii="Times New Roman" w:hAnsi="Times New Roman"/>
        </w:rPr>
        <w:t>.</w:t>
      </w:r>
      <w:r w:rsidR="005358E0" w:rsidRPr="005358E0">
        <w:rPr>
          <w:rFonts w:ascii="Times New Roman" w:hAnsi="Times New Roman"/>
        </w:rPr>
        <w:t xml:space="preserve"> </w:t>
      </w:r>
      <w:r w:rsidR="005358E0">
        <w:rPr>
          <w:rFonts w:ascii="Times New Roman" w:hAnsi="Times New Roman"/>
        </w:rPr>
        <w:t>Therefore, c</w:t>
      </w:r>
      <w:r w:rsidR="005358E0" w:rsidRPr="005358E0">
        <w:rPr>
          <w:rFonts w:ascii="Times New Roman" w:hAnsi="Times New Roman"/>
        </w:rPr>
        <w:t>onsistent with the purposes of the Paperwork Reduction Act, EPA maintains that this information should only be requested when needed</w:t>
      </w:r>
      <w:r w:rsidR="004A302F">
        <w:rPr>
          <w:rFonts w:ascii="Times New Roman" w:hAnsi="Times New Roman"/>
        </w:rPr>
        <w:t xml:space="preserve"> and continues to </w:t>
      </w:r>
      <w:r w:rsidR="005A2DF9">
        <w:rPr>
          <w:rFonts w:ascii="Times New Roman" w:hAnsi="Times New Roman"/>
        </w:rPr>
        <w:t>identif</w:t>
      </w:r>
      <w:r w:rsidR="004A302F">
        <w:rPr>
          <w:rFonts w:ascii="Times New Roman" w:hAnsi="Times New Roman"/>
        </w:rPr>
        <w:t xml:space="preserve">y </w:t>
      </w:r>
      <w:r w:rsidR="00223C23">
        <w:rPr>
          <w:rFonts w:ascii="Times New Roman" w:hAnsi="Times New Roman"/>
        </w:rPr>
        <w:t xml:space="preserve">the label </w:t>
      </w:r>
      <w:r w:rsidR="005A2DF9">
        <w:rPr>
          <w:rFonts w:ascii="Times New Roman" w:hAnsi="Times New Roman"/>
        </w:rPr>
        <w:t xml:space="preserve">and other supporting documents </w:t>
      </w:r>
      <w:r w:rsidR="00223C23">
        <w:rPr>
          <w:rFonts w:ascii="Times New Roman" w:hAnsi="Times New Roman"/>
        </w:rPr>
        <w:t>as recommended data i</w:t>
      </w:r>
      <w:r w:rsidR="005A2DF9">
        <w:rPr>
          <w:rFonts w:ascii="Times New Roman" w:hAnsi="Times New Roman"/>
        </w:rPr>
        <w:t>tems in the standard NOA package</w:t>
      </w:r>
      <w:r w:rsidR="004A302F">
        <w:rPr>
          <w:rFonts w:ascii="Times New Roman" w:hAnsi="Times New Roman"/>
        </w:rPr>
        <w:t>.</w:t>
      </w:r>
      <w:r w:rsidR="005A2DF9">
        <w:rPr>
          <w:rFonts w:ascii="Times New Roman" w:hAnsi="Times New Roman"/>
        </w:rPr>
        <w:t xml:space="preserve"> </w:t>
      </w:r>
      <w:r w:rsidR="004A302F">
        <w:rPr>
          <w:rFonts w:ascii="Times New Roman" w:hAnsi="Times New Roman"/>
        </w:rPr>
        <w:t xml:space="preserve">However, </w:t>
      </w:r>
      <w:r w:rsidR="00A755BC">
        <w:rPr>
          <w:rFonts w:ascii="Times New Roman" w:hAnsi="Times New Roman"/>
        </w:rPr>
        <w:t xml:space="preserve">to account for Bayer’s experience that this information </w:t>
      </w:r>
      <w:r w:rsidR="004A302F">
        <w:rPr>
          <w:rFonts w:ascii="Times New Roman" w:hAnsi="Times New Roman"/>
        </w:rPr>
        <w:t>has not been treated as voluntary in all instances by EPA Regions,</w:t>
      </w:r>
      <w:r w:rsidR="00A755BC">
        <w:rPr>
          <w:rFonts w:ascii="Times New Roman" w:hAnsi="Times New Roman"/>
        </w:rPr>
        <w:t xml:space="preserve"> </w:t>
      </w:r>
      <w:r w:rsidR="00977D98">
        <w:rPr>
          <w:rFonts w:ascii="Times New Roman" w:hAnsi="Times New Roman"/>
        </w:rPr>
        <w:t xml:space="preserve">EPA </w:t>
      </w:r>
      <w:r w:rsidR="00CD42C9">
        <w:rPr>
          <w:rFonts w:ascii="Times New Roman" w:hAnsi="Times New Roman"/>
        </w:rPr>
        <w:t>a</w:t>
      </w:r>
      <w:r w:rsidR="00977D98">
        <w:rPr>
          <w:rFonts w:ascii="Times New Roman" w:hAnsi="Times New Roman"/>
        </w:rPr>
        <w:t>ssume</w:t>
      </w:r>
      <w:r w:rsidR="004A302F">
        <w:rPr>
          <w:rFonts w:ascii="Times New Roman" w:hAnsi="Times New Roman"/>
        </w:rPr>
        <w:t>s</w:t>
      </w:r>
      <w:r w:rsidR="005A2DF9">
        <w:rPr>
          <w:rFonts w:ascii="Times New Roman" w:hAnsi="Times New Roman"/>
        </w:rPr>
        <w:t xml:space="preserve"> in Section 6</w:t>
      </w:r>
      <w:r w:rsidR="00866B98">
        <w:rPr>
          <w:rFonts w:ascii="Times New Roman" w:hAnsi="Times New Roman"/>
        </w:rPr>
        <w:t xml:space="preserve"> of this Supporting Statement</w:t>
      </w:r>
      <w:r w:rsidR="005A2DF9">
        <w:rPr>
          <w:rFonts w:ascii="Times New Roman" w:hAnsi="Times New Roman"/>
        </w:rPr>
        <w:t xml:space="preserve"> that all</w:t>
      </w:r>
      <w:r w:rsidR="00BD0863">
        <w:rPr>
          <w:rFonts w:ascii="Times New Roman" w:hAnsi="Times New Roman"/>
        </w:rPr>
        <w:t xml:space="preserve"> NOA submissions will include the </w:t>
      </w:r>
      <w:r w:rsidR="001730F7">
        <w:rPr>
          <w:rFonts w:ascii="Times New Roman" w:hAnsi="Times New Roman"/>
        </w:rPr>
        <w:t>recommended/</w:t>
      </w:r>
      <w:r w:rsidR="00BD0863">
        <w:rPr>
          <w:rFonts w:ascii="Times New Roman" w:hAnsi="Times New Roman"/>
        </w:rPr>
        <w:t xml:space="preserve">voluntary information </w:t>
      </w:r>
      <w:r w:rsidR="00977D98">
        <w:rPr>
          <w:rFonts w:ascii="Times New Roman" w:hAnsi="Times New Roman"/>
        </w:rPr>
        <w:t xml:space="preserve">to ensure that it has accounted for </w:t>
      </w:r>
      <w:r w:rsidR="001777F9">
        <w:rPr>
          <w:rFonts w:ascii="Times New Roman" w:hAnsi="Times New Roman"/>
        </w:rPr>
        <w:t>the associated</w:t>
      </w:r>
      <w:r w:rsidR="00977D98">
        <w:rPr>
          <w:rFonts w:ascii="Times New Roman" w:hAnsi="Times New Roman"/>
        </w:rPr>
        <w:t xml:space="preserve"> burden</w:t>
      </w:r>
      <w:r w:rsidR="00A755BC">
        <w:rPr>
          <w:rFonts w:ascii="Times New Roman" w:hAnsi="Times New Roman"/>
        </w:rPr>
        <w:t>s</w:t>
      </w:r>
      <w:r w:rsidR="00223C23">
        <w:rPr>
          <w:rFonts w:ascii="Times New Roman" w:hAnsi="Times New Roman"/>
        </w:rPr>
        <w:t>.</w:t>
      </w:r>
      <w:r w:rsidR="002F0F8F">
        <w:rPr>
          <w:rFonts w:ascii="Times New Roman" w:hAnsi="Times New Roman"/>
        </w:rPr>
        <w:t xml:space="preserve"> </w:t>
      </w:r>
      <w:r w:rsidR="006E3D11">
        <w:rPr>
          <w:rFonts w:ascii="Times New Roman" w:hAnsi="Times New Roman"/>
        </w:rPr>
        <w:t xml:space="preserve"> </w:t>
      </w:r>
      <w:r w:rsidR="0055528A" w:rsidRPr="0055528A">
        <w:rPr>
          <w:rFonts w:ascii="Times New Roman" w:hAnsi="Times New Roman"/>
        </w:rPr>
        <w:t xml:space="preserve">Much of the supporting information requested by a Regional Office reviewing a NOA will be available to EPA Regional Offices in the ACE environment, </w:t>
      </w:r>
      <w:r w:rsidR="00CD42C9">
        <w:rPr>
          <w:rFonts w:ascii="Times New Roman" w:hAnsi="Times New Roman"/>
        </w:rPr>
        <w:t xml:space="preserve">reducing the need for </w:t>
      </w:r>
      <w:r w:rsidR="00977D98">
        <w:rPr>
          <w:rFonts w:ascii="Times New Roman" w:hAnsi="Times New Roman"/>
        </w:rPr>
        <w:t>some</w:t>
      </w:r>
      <w:r w:rsidR="00CD42C9">
        <w:rPr>
          <w:rFonts w:ascii="Times New Roman" w:hAnsi="Times New Roman"/>
        </w:rPr>
        <w:t xml:space="preserve"> of these requests</w:t>
      </w:r>
      <w:r w:rsidR="0055528A" w:rsidRPr="0055528A">
        <w:rPr>
          <w:rFonts w:ascii="Times New Roman" w:hAnsi="Times New Roman"/>
        </w:rPr>
        <w:t>.</w:t>
      </w:r>
    </w:p>
    <w:p w14:paraId="5AF3CB1C" w14:textId="77777777" w:rsidR="00C531E3" w:rsidRDefault="00C531E3" w:rsidP="00777EAD">
      <w:pPr>
        <w:ind w:firstLine="720"/>
        <w:rPr>
          <w:rFonts w:ascii="Times New Roman" w:hAnsi="Times New Roman"/>
        </w:rPr>
      </w:pPr>
    </w:p>
    <w:p w14:paraId="5F8D9584" w14:textId="2A98FAF7" w:rsidR="00FD523B" w:rsidRPr="00263E20" w:rsidRDefault="00C531E3" w:rsidP="00777EAD">
      <w:pPr>
        <w:ind w:firstLine="720"/>
        <w:rPr>
          <w:rFonts w:ascii="Times New Roman" w:hAnsi="Times New Roman"/>
        </w:rPr>
      </w:pPr>
      <w:r>
        <w:rPr>
          <w:rFonts w:ascii="Times New Roman" w:hAnsi="Times New Roman"/>
        </w:rPr>
        <w:t xml:space="preserve">Bayer </w:t>
      </w:r>
      <w:r w:rsidR="00777EAD">
        <w:rPr>
          <w:rFonts w:ascii="Times New Roman" w:hAnsi="Times New Roman"/>
        </w:rPr>
        <w:t xml:space="preserve">also </w:t>
      </w:r>
      <w:r>
        <w:rPr>
          <w:rFonts w:ascii="Times New Roman" w:hAnsi="Times New Roman"/>
        </w:rPr>
        <w:t xml:space="preserve">provided </w:t>
      </w:r>
      <w:r w:rsidR="00777EAD">
        <w:rPr>
          <w:rFonts w:ascii="Times New Roman" w:hAnsi="Times New Roman"/>
        </w:rPr>
        <w:t>comments to the docket that were in response to the consultation process discussed in 3(c). Those comments are discussed in 3(c).</w:t>
      </w:r>
    </w:p>
    <w:p w14:paraId="5FFF384B" w14:textId="77777777" w:rsidR="007F54C6" w:rsidRPr="00263E20" w:rsidRDefault="007F54C6" w:rsidP="00FD523B">
      <w:pPr>
        <w:rPr>
          <w:rFonts w:ascii="Times New Roman" w:hAnsi="Times New Roman"/>
        </w:rPr>
      </w:pPr>
    </w:p>
    <w:p w14:paraId="5D1F6D6F" w14:textId="77777777" w:rsidR="001F21C5" w:rsidRPr="00263E20" w:rsidRDefault="001F21C5" w:rsidP="00274718">
      <w:pPr>
        <w:keepNext/>
        <w:widowControl/>
        <w:ind w:firstLine="720"/>
        <w:rPr>
          <w:rFonts w:ascii="Times New Roman" w:hAnsi="Times New Roman"/>
          <w:b/>
          <w:bCs/>
        </w:rPr>
      </w:pPr>
      <w:r w:rsidRPr="00263E20">
        <w:rPr>
          <w:rFonts w:ascii="Times New Roman" w:hAnsi="Times New Roman"/>
          <w:b/>
          <w:bCs/>
        </w:rPr>
        <w:t>3(c) Consultations</w:t>
      </w:r>
    </w:p>
    <w:p w14:paraId="19B63383" w14:textId="77777777" w:rsidR="001F21C5" w:rsidRPr="00263E20" w:rsidRDefault="001F21C5" w:rsidP="00274718">
      <w:pPr>
        <w:keepNext/>
        <w:widowControl/>
        <w:rPr>
          <w:rFonts w:ascii="Times New Roman" w:hAnsi="Times New Roman"/>
          <w:b/>
          <w:bCs/>
        </w:rPr>
      </w:pPr>
    </w:p>
    <w:p w14:paraId="43D58EBA" w14:textId="40721CE5" w:rsidR="00777EAD" w:rsidRDefault="001F21C5" w:rsidP="00063301">
      <w:pPr>
        <w:keepNext/>
        <w:widowControl/>
        <w:rPr>
          <w:rFonts w:ascii="Times New Roman" w:hAnsi="Times New Roman"/>
        </w:rPr>
      </w:pPr>
      <w:r w:rsidRPr="00263E20">
        <w:rPr>
          <w:rFonts w:ascii="Times New Roman" w:hAnsi="Times New Roman"/>
        </w:rPr>
        <w:tab/>
      </w:r>
      <w:r w:rsidR="00063301" w:rsidRPr="00063301">
        <w:rPr>
          <w:rFonts w:ascii="Times New Roman" w:hAnsi="Times New Roman"/>
        </w:rPr>
        <w:t xml:space="preserve">As part of </w:t>
      </w:r>
      <w:r w:rsidR="00063301">
        <w:rPr>
          <w:rFonts w:ascii="Times New Roman" w:hAnsi="Times New Roman"/>
        </w:rPr>
        <w:t xml:space="preserve">the </w:t>
      </w:r>
      <w:r w:rsidR="00063301" w:rsidRPr="00063301">
        <w:rPr>
          <w:rFonts w:ascii="Times New Roman" w:hAnsi="Times New Roman"/>
        </w:rPr>
        <w:t xml:space="preserve">preparation of this ICR renewal, EPA contacted </w:t>
      </w:r>
      <w:r w:rsidR="00063301">
        <w:rPr>
          <w:rFonts w:ascii="Times New Roman" w:hAnsi="Times New Roman"/>
        </w:rPr>
        <w:t>three stakeholders</w:t>
      </w:r>
      <w:r w:rsidR="00063301" w:rsidRPr="00063301">
        <w:rPr>
          <w:rFonts w:ascii="Times New Roman" w:hAnsi="Times New Roman"/>
        </w:rPr>
        <w:t xml:space="preserve"> seeking feedback on the notice of arrival information reporting requirements and processes, as well as an assessment of the burden estimates associated with this information collection. The list of companies </w:t>
      </w:r>
      <w:r w:rsidR="00063301">
        <w:rPr>
          <w:rFonts w:ascii="Times New Roman" w:hAnsi="Times New Roman"/>
        </w:rPr>
        <w:t>contacted</w:t>
      </w:r>
      <w:r w:rsidR="00063301" w:rsidRPr="00063301">
        <w:rPr>
          <w:rFonts w:ascii="Times New Roman" w:hAnsi="Times New Roman"/>
        </w:rPr>
        <w:t xml:space="preserve"> in the consultation process, and a summary of the consultations is provided</w:t>
      </w:r>
      <w:r w:rsidR="00063301">
        <w:rPr>
          <w:rFonts w:ascii="Times New Roman" w:hAnsi="Times New Roman"/>
        </w:rPr>
        <w:t xml:space="preserve"> in the docket for this action</w:t>
      </w:r>
      <w:r w:rsidR="00777EAD">
        <w:rPr>
          <w:rFonts w:ascii="Times New Roman" w:hAnsi="Times New Roman"/>
        </w:rPr>
        <w:t xml:space="preserve"> (Attachment </w:t>
      </w:r>
      <w:r w:rsidR="006D203F">
        <w:rPr>
          <w:rFonts w:ascii="Times New Roman" w:hAnsi="Times New Roman"/>
        </w:rPr>
        <w:t>E</w:t>
      </w:r>
      <w:r w:rsidR="00777EAD">
        <w:rPr>
          <w:rFonts w:ascii="Times New Roman" w:hAnsi="Times New Roman"/>
        </w:rPr>
        <w:t>)</w:t>
      </w:r>
      <w:r w:rsidR="00063301">
        <w:rPr>
          <w:rFonts w:ascii="Times New Roman" w:hAnsi="Times New Roman"/>
        </w:rPr>
        <w:t xml:space="preserve">. </w:t>
      </w:r>
      <w:r w:rsidR="0039743A">
        <w:rPr>
          <w:rFonts w:ascii="Times New Roman" w:hAnsi="Times New Roman"/>
        </w:rPr>
        <w:t>Two of the three representatives (Bayer and Nisso America) responded to EPA’s consultation request.</w:t>
      </w:r>
    </w:p>
    <w:p w14:paraId="653BE5A8" w14:textId="77777777" w:rsidR="00777EAD" w:rsidRDefault="00777EAD" w:rsidP="00063301">
      <w:pPr>
        <w:keepNext/>
        <w:widowControl/>
        <w:rPr>
          <w:rFonts w:ascii="Times New Roman" w:hAnsi="Times New Roman"/>
        </w:rPr>
      </w:pPr>
    </w:p>
    <w:p w14:paraId="494AF5CA" w14:textId="5A9343A2" w:rsidR="0022362E" w:rsidRDefault="0039743A" w:rsidP="00D854DF">
      <w:pPr>
        <w:keepNext/>
        <w:widowControl/>
        <w:ind w:firstLine="720"/>
        <w:rPr>
          <w:rFonts w:ascii="Times New Roman" w:hAnsi="Times New Roman"/>
        </w:rPr>
      </w:pPr>
      <w:r>
        <w:rPr>
          <w:rFonts w:ascii="Times New Roman" w:hAnsi="Times New Roman"/>
        </w:rPr>
        <w:t xml:space="preserve">Both Bayer and Nisso America supported EPA’s efforts to offer electronic filing of NOAs and stated that NOA instructions were clear. </w:t>
      </w:r>
      <w:r w:rsidR="00D854DF">
        <w:rPr>
          <w:rFonts w:ascii="Times New Roman" w:hAnsi="Times New Roman"/>
        </w:rPr>
        <w:t>Baye</w:t>
      </w:r>
      <w:r>
        <w:rPr>
          <w:rFonts w:ascii="Times New Roman" w:hAnsi="Times New Roman"/>
        </w:rPr>
        <w:t xml:space="preserve">r, however, </w:t>
      </w:r>
      <w:r w:rsidR="00D854DF">
        <w:rPr>
          <w:rFonts w:ascii="Times New Roman" w:hAnsi="Times New Roman"/>
        </w:rPr>
        <w:t>suggested that burden hours and delays by EPA reviewers on the paper NOA can increase burden and costs on importers, by as much as 30-60 minutes per NOA</w:t>
      </w:r>
      <w:r w:rsidR="0022362E">
        <w:rPr>
          <w:rFonts w:ascii="Times New Roman" w:hAnsi="Times New Roman"/>
        </w:rPr>
        <w:t>. Bayer also stated that t</w:t>
      </w:r>
      <w:r w:rsidR="0022362E" w:rsidRPr="0022362E">
        <w:rPr>
          <w:rFonts w:ascii="Times New Roman" w:hAnsi="Times New Roman"/>
        </w:rPr>
        <w:t xml:space="preserve">his may take longer, spanning </w:t>
      </w:r>
      <w:r w:rsidR="00985FB3">
        <w:rPr>
          <w:rFonts w:ascii="Times New Roman" w:hAnsi="Times New Roman"/>
        </w:rPr>
        <w:t xml:space="preserve">up </w:t>
      </w:r>
      <w:r w:rsidR="0022362E" w:rsidRPr="0022362E">
        <w:rPr>
          <w:rFonts w:ascii="Times New Roman" w:hAnsi="Times New Roman"/>
        </w:rPr>
        <w:t>to 1</w:t>
      </w:r>
      <w:r w:rsidR="0022362E" w:rsidRPr="0022362E">
        <w:rPr>
          <w:rFonts w:ascii="Cambria Math" w:hAnsi="Cambria Math" w:cs="Cambria Math"/>
        </w:rPr>
        <w:t>‐</w:t>
      </w:r>
      <w:r w:rsidR="0022362E" w:rsidRPr="0022362E">
        <w:rPr>
          <w:rFonts w:ascii="Times New Roman" w:hAnsi="Times New Roman"/>
        </w:rPr>
        <w:t>3 business days, depending upon level of research required and key personnel availability. Assuming a follow up rate of 5%, this adds another 65 – 130 hours of burden to the process</w:t>
      </w:r>
      <w:r w:rsidR="00D854DF">
        <w:rPr>
          <w:rFonts w:ascii="Times New Roman" w:hAnsi="Times New Roman"/>
        </w:rPr>
        <w:t xml:space="preserve">. </w:t>
      </w:r>
      <w:r w:rsidR="0022362E">
        <w:rPr>
          <w:rFonts w:ascii="Times New Roman" w:hAnsi="Times New Roman"/>
        </w:rPr>
        <w:t xml:space="preserve">Bayer also stated that </w:t>
      </w:r>
      <w:r w:rsidR="0022362E" w:rsidRPr="000549B5">
        <w:rPr>
          <w:rFonts w:ascii="Times New Roman" w:hAnsi="Times New Roman"/>
        </w:rPr>
        <w:t>NOA review/approval times are dependent upon the regional office, with most regions</w:t>
      </w:r>
      <w:r w:rsidR="0022362E">
        <w:rPr>
          <w:rFonts w:ascii="Times New Roman" w:hAnsi="Times New Roman"/>
        </w:rPr>
        <w:t xml:space="preserve"> </w:t>
      </w:r>
      <w:r w:rsidR="0022362E" w:rsidRPr="000549B5">
        <w:rPr>
          <w:rFonts w:ascii="Times New Roman" w:hAnsi="Times New Roman"/>
        </w:rPr>
        <w:t>tak</w:t>
      </w:r>
      <w:r w:rsidR="00985FB3">
        <w:rPr>
          <w:rFonts w:ascii="Times New Roman" w:hAnsi="Times New Roman"/>
        </w:rPr>
        <w:t>ing</w:t>
      </w:r>
      <w:r w:rsidR="0022362E" w:rsidRPr="000549B5">
        <w:rPr>
          <w:rFonts w:ascii="Times New Roman" w:hAnsi="Times New Roman"/>
        </w:rPr>
        <w:t xml:space="preserve"> an average of approx</w:t>
      </w:r>
      <w:r w:rsidR="00985FB3">
        <w:rPr>
          <w:rFonts w:ascii="Times New Roman" w:hAnsi="Times New Roman"/>
        </w:rPr>
        <w:t>imately</w:t>
      </w:r>
      <w:r w:rsidR="0022362E" w:rsidRPr="000549B5">
        <w:rPr>
          <w:rFonts w:ascii="Times New Roman" w:hAnsi="Times New Roman"/>
        </w:rPr>
        <w:t xml:space="preserve"> 3</w:t>
      </w:r>
      <w:r w:rsidR="0022362E" w:rsidRPr="000549B5">
        <w:rPr>
          <w:rFonts w:ascii="Cambria Math" w:hAnsi="Cambria Math" w:cs="Cambria Math"/>
        </w:rPr>
        <w:t>‐</w:t>
      </w:r>
      <w:r w:rsidR="0022362E" w:rsidRPr="000549B5">
        <w:rPr>
          <w:rFonts w:ascii="Times New Roman" w:hAnsi="Times New Roman"/>
        </w:rPr>
        <w:t xml:space="preserve">5 business days </w:t>
      </w:r>
      <w:r w:rsidR="0022362E">
        <w:rPr>
          <w:rFonts w:ascii="Times New Roman" w:hAnsi="Times New Roman"/>
        </w:rPr>
        <w:t>to review and approve</w:t>
      </w:r>
      <w:r w:rsidR="0022362E" w:rsidRPr="000549B5">
        <w:rPr>
          <w:rFonts w:ascii="Times New Roman" w:hAnsi="Times New Roman"/>
        </w:rPr>
        <w:t xml:space="preserve">, </w:t>
      </w:r>
      <w:r w:rsidR="0022362E">
        <w:rPr>
          <w:rFonts w:ascii="Times New Roman" w:hAnsi="Times New Roman"/>
        </w:rPr>
        <w:t xml:space="preserve">but </w:t>
      </w:r>
      <w:r w:rsidR="0022362E" w:rsidRPr="000549B5">
        <w:rPr>
          <w:rFonts w:ascii="Times New Roman" w:hAnsi="Times New Roman"/>
        </w:rPr>
        <w:t>certain</w:t>
      </w:r>
      <w:r w:rsidR="0022362E">
        <w:rPr>
          <w:rFonts w:ascii="Times New Roman" w:hAnsi="Times New Roman"/>
        </w:rPr>
        <w:t xml:space="preserve"> </w:t>
      </w:r>
      <w:r w:rsidR="0022362E" w:rsidRPr="000549B5">
        <w:rPr>
          <w:rFonts w:ascii="Times New Roman" w:hAnsi="Times New Roman"/>
        </w:rPr>
        <w:t>regions may take 2</w:t>
      </w:r>
      <w:r w:rsidR="0022362E" w:rsidRPr="000549B5">
        <w:rPr>
          <w:rFonts w:ascii="Cambria Math" w:hAnsi="Cambria Math" w:cs="Cambria Math"/>
        </w:rPr>
        <w:t>‐</w:t>
      </w:r>
      <w:r w:rsidR="0022362E" w:rsidRPr="000549B5">
        <w:rPr>
          <w:rFonts w:ascii="Times New Roman" w:hAnsi="Times New Roman"/>
        </w:rPr>
        <w:t xml:space="preserve">3 weeks to approve considering high NOA volumes they process. </w:t>
      </w:r>
      <w:r w:rsidR="0022362E">
        <w:rPr>
          <w:rFonts w:ascii="Times New Roman" w:hAnsi="Times New Roman"/>
        </w:rPr>
        <w:t xml:space="preserve">Bayer stated that they </w:t>
      </w:r>
      <w:r w:rsidR="0022362E" w:rsidRPr="000549B5">
        <w:rPr>
          <w:rFonts w:ascii="Times New Roman" w:hAnsi="Times New Roman"/>
        </w:rPr>
        <w:t xml:space="preserve">advise </w:t>
      </w:r>
      <w:r w:rsidR="0022362E">
        <w:rPr>
          <w:rFonts w:ascii="Times New Roman" w:hAnsi="Times New Roman"/>
        </w:rPr>
        <w:t>their</w:t>
      </w:r>
      <w:r w:rsidR="0022362E" w:rsidRPr="000549B5">
        <w:rPr>
          <w:rFonts w:ascii="Times New Roman" w:hAnsi="Times New Roman"/>
        </w:rPr>
        <w:t xml:space="preserve"> customers that NOA processing time can take approx</w:t>
      </w:r>
      <w:r w:rsidR="0022362E">
        <w:rPr>
          <w:rFonts w:ascii="Times New Roman" w:hAnsi="Times New Roman"/>
        </w:rPr>
        <w:t>imately</w:t>
      </w:r>
      <w:r w:rsidR="0022362E" w:rsidRPr="000549B5">
        <w:rPr>
          <w:rFonts w:ascii="Times New Roman" w:hAnsi="Times New Roman"/>
        </w:rPr>
        <w:t xml:space="preserve"> </w:t>
      </w:r>
      <w:r w:rsidR="00985FB3">
        <w:rPr>
          <w:rFonts w:ascii="Times New Roman" w:hAnsi="Times New Roman"/>
        </w:rPr>
        <w:t xml:space="preserve">one </w:t>
      </w:r>
      <w:r w:rsidR="0022362E" w:rsidRPr="000549B5">
        <w:rPr>
          <w:rFonts w:ascii="Times New Roman" w:hAnsi="Times New Roman"/>
        </w:rPr>
        <w:t>week to receive an</w:t>
      </w:r>
      <w:r w:rsidR="0022362E">
        <w:rPr>
          <w:rFonts w:ascii="Times New Roman" w:hAnsi="Times New Roman"/>
        </w:rPr>
        <w:t xml:space="preserve"> approved NOA. Bayer stated that a</w:t>
      </w:r>
      <w:r w:rsidR="0022362E" w:rsidRPr="000549B5">
        <w:rPr>
          <w:rFonts w:ascii="Times New Roman" w:hAnsi="Times New Roman"/>
        </w:rPr>
        <w:t>ssuming the NOA is filed upon customs entry, this adds and associated</w:t>
      </w:r>
      <w:r w:rsidR="0022362E">
        <w:rPr>
          <w:rFonts w:ascii="Times New Roman" w:hAnsi="Times New Roman"/>
        </w:rPr>
        <w:t xml:space="preserve"> </w:t>
      </w:r>
      <w:r w:rsidR="0022362E" w:rsidRPr="000549B5">
        <w:rPr>
          <w:rFonts w:ascii="Times New Roman" w:hAnsi="Times New Roman"/>
        </w:rPr>
        <w:t xml:space="preserve">5 days of storage and other costs. </w:t>
      </w:r>
      <w:r w:rsidR="0022362E">
        <w:rPr>
          <w:rFonts w:ascii="Times New Roman" w:hAnsi="Times New Roman"/>
        </w:rPr>
        <w:t>Bayer also suggested that i</w:t>
      </w:r>
      <w:r w:rsidR="0022362E" w:rsidRPr="000549B5">
        <w:rPr>
          <w:rFonts w:ascii="Times New Roman" w:hAnsi="Times New Roman"/>
        </w:rPr>
        <w:t>f filed early (before entry) this presents this problem</w:t>
      </w:r>
      <w:r w:rsidR="0022362E">
        <w:rPr>
          <w:rFonts w:ascii="Times New Roman" w:hAnsi="Times New Roman"/>
        </w:rPr>
        <w:t xml:space="preserve"> </w:t>
      </w:r>
      <w:r w:rsidR="0022362E" w:rsidRPr="000549B5">
        <w:rPr>
          <w:rFonts w:ascii="Times New Roman" w:hAnsi="Times New Roman"/>
        </w:rPr>
        <w:t>associated with customs entry numbers and increases the number of NOAs questioned</w:t>
      </w:r>
      <w:r w:rsidR="0022362E">
        <w:rPr>
          <w:rFonts w:ascii="Times New Roman" w:hAnsi="Times New Roman"/>
        </w:rPr>
        <w:t xml:space="preserve"> </w:t>
      </w:r>
      <w:r w:rsidR="0022362E" w:rsidRPr="000549B5">
        <w:rPr>
          <w:rFonts w:ascii="Times New Roman" w:hAnsi="Times New Roman"/>
        </w:rPr>
        <w:t>and the likelihood of refiling due to changes in the delivery date, carrier or other NOA</w:t>
      </w:r>
      <w:r w:rsidR="0022362E">
        <w:rPr>
          <w:rFonts w:ascii="Times New Roman" w:hAnsi="Times New Roman"/>
        </w:rPr>
        <w:t xml:space="preserve"> </w:t>
      </w:r>
      <w:r w:rsidR="0022362E" w:rsidRPr="000549B5">
        <w:rPr>
          <w:rFonts w:ascii="Times New Roman" w:hAnsi="Times New Roman"/>
        </w:rPr>
        <w:t>fields.</w:t>
      </w:r>
    </w:p>
    <w:p w14:paraId="1136F84D" w14:textId="77777777" w:rsidR="0022362E" w:rsidRDefault="0022362E" w:rsidP="00D854DF">
      <w:pPr>
        <w:keepNext/>
        <w:widowControl/>
        <w:ind w:firstLine="720"/>
        <w:rPr>
          <w:rFonts w:ascii="Times New Roman" w:hAnsi="Times New Roman"/>
        </w:rPr>
      </w:pPr>
    </w:p>
    <w:p w14:paraId="0E931E1A" w14:textId="4EC49873" w:rsidR="00D854DF" w:rsidRDefault="00D854DF" w:rsidP="00D854DF">
      <w:pPr>
        <w:keepNext/>
        <w:widowControl/>
        <w:ind w:firstLine="720"/>
        <w:rPr>
          <w:rFonts w:ascii="Times New Roman" w:hAnsi="Times New Roman"/>
        </w:rPr>
      </w:pPr>
      <w:r w:rsidRPr="00D854DF">
        <w:rPr>
          <w:rFonts w:ascii="Times New Roman" w:hAnsi="Times New Roman"/>
        </w:rPr>
        <w:t xml:space="preserve">EPA </w:t>
      </w:r>
      <w:r>
        <w:rPr>
          <w:rFonts w:ascii="Times New Roman" w:hAnsi="Times New Roman"/>
        </w:rPr>
        <w:t xml:space="preserve">disagrees with this assessment because the Agency </w:t>
      </w:r>
      <w:r w:rsidRPr="00D854DF">
        <w:rPr>
          <w:rFonts w:ascii="Times New Roman" w:hAnsi="Times New Roman"/>
        </w:rPr>
        <w:t xml:space="preserve">believes that the additional burden per </w:t>
      </w:r>
      <w:r w:rsidR="0022362E">
        <w:rPr>
          <w:rFonts w:ascii="Times New Roman" w:hAnsi="Times New Roman"/>
        </w:rPr>
        <w:t xml:space="preserve">paper </w:t>
      </w:r>
      <w:r w:rsidRPr="00D854DF">
        <w:rPr>
          <w:rFonts w:ascii="Times New Roman" w:hAnsi="Times New Roman"/>
        </w:rPr>
        <w:t xml:space="preserve">NOA identified by Bayer is an overestimate of the amount of time required to complete a NOA. EPA’s estimate of the burden hours represents an average. Some respondents will spend less time and others will spend more time than the estimated average. While the higher estimates provided by Bayer may be true for the first few instances in which a company submits a </w:t>
      </w:r>
      <w:r w:rsidR="0022362E">
        <w:rPr>
          <w:rFonts w:ascii="Times New Roman" w:hAnsi="Times New Roman"/>
        </w:rPr>
        <w:t xml:space="preserve">paper </w:t>
      </w:r>
      <w:r w:rsidRPr="00D854DF">
        <w:rPr>
          <w:rFonts w:ascii="Times New Roman" w:hAnsi="Times New Roman"/>
        </w:rPr>
        <w:t xml:space="preserve">NOA, EPA believes that as repetitive filings occur and business practices improve over time, the cost and time to complete a NOA will be reduced. During the consultation period, </w:t>
      </w:r>
      <w:r>
        <w:rPr>
          <w:rFonts w:ascii="Times New Roman" w:hAnsi="Times New Roman"/>
        </w:rPr>
        <w:t>Nisso America</w:t>
      </w:r>
      <w:r w:rsidRPr="00D854DF">
        <w:rPr>
          <w:rFonts w:ascii="Times New Roman" w:hAnsi="Times New Roman"/>
        </w:rPr>
        <w:t xml:space="preserve"> indicated that EPA’s estimate may be off the first few times a company completes a </w:t>
      </w:r>
      <w:r w:rsidR="0022362E">
        <w:rPr>
          <w:rFonts w:ascii="Times New Roman" w:hAnsi="Times New Roman"/>
        </w:rPr>
        <w:t xml:space="preserve">paper </w:t>
      </w:r>
      <w:r w:rsidRPr="00D854DF">
        <w:rPr>
          <w:rFonts w:ascii="Times New Roman" w:hAnsi="Times New Roman"/>
        </w:rPr>
        <w:t xml:space="preserve">NOA, but were otherwise accurate once </w:t>
      </w:r>
      <w:r w:rsidR="0022362E">
        <w:rPr>
          <w:rFonts w:ascii="Times New Roman" w:hAnsi="Times New Roman"/>
        </w:rPr>
        <w:t xml:space="preserve">paper </w:t>
      </w:r>
      <w:r w:rsidRPr="00D854DF">
        <w:rPr>
          <w:rFonts w:ascii="Times New Roman" w:hAnsi="Times New Roman"/>
        </w:rPr>
        <w:t>NOAs become routine</w:t>
      </w:r>
      <w:r w:rsidR="0039743A">
        <w:rPr>
          <w:rFonts w:ascii="Times New Roman" w:hAnsi="Times New Roman"/>
        </w:rPr>
        <w:t xml:space="preserve"> and that all pertinent costs have been accounted for by EPA</w:t>
      </w:r>
      <w:r w:rsidRPr="00D854DF">
        <w:rPr>
          <w:rFonts w:ascii="Times New Roman" w:hAnsi="Times New Roman"/>
        </w:rPr>
        <w:t xml:space="preserve">. Therefore, EPA is maintaining that the burden to complete a NOA is approximately 0.43 hours per response. EPA </w:t>
      </w:r>
      <w:r w:rsidR="0039743A">
        <w:rPr>
          <w:rFonts w:ascii="Times New Roman" w:hAnsi="Times New Roman"/>
        </w:rPr>
        <w:t xml:space="preserve">also </w:t>
      </w:r>
      <w:r w:rsidRPr="00D854DF">
        <w:rPr>
          <w:rFonts w:ascii="Times New Roman" w:hAnsi="Times New Roman"/>
        </w:rPr>
        <w:t xml:space="preserve">expects that much of the burden and delay outlined by Bayer should be alleviated as the use of </w:t>
      </w:r>
      <w:r w:rsidR="0022362E">
        <w:rPr>
          <w:rFonts w:ascii="Times New Roman" w:hAnsi="Times New Roman"/>
        </w:rPr>
        <w:t xml:space="preserve">electronic NOA filings through </w:t>
      </w:r>
      <w:r w:rsidRPr="00D854DF">
        <w:rPr>
          <w:rFonts w:ascii="Times New Roman" w:hAnsi="Times New Roman"/>
        </w:rPr>
        <w:t xml:space="preserve">ACE becomes routine. </w:t>
      </w:r>
      <w:r w:rsidR="0039743A">
        <w:rPr>
          <w:rFonts w:ascii="Times New Roman" w:hAnsi="Times New Roman"/>
        </w:rPr>
        <w:t xml:space="preserve">However, as EPA gathers data on electronic filing over the course of the next few years, EPA </w:t>
      </w:r>
      <w:r w:rsidRPr="00D854DF">
        <w:rPr>
          <w:rFonts w:ascii="Times New Roman" w:hAnsi="Times New Roman"/>
        </w:rPr>
        <w:t xml:space="preserve">intends </w:t>
      </w:r>
      <w:r w:rsidR="0039743A">
        <w:rPr>
          <w:rFonts w:ascii="Times New Roman" w:hAnsi="Times New Roman"/>
        </w:rPr>
        <w:t>to reexamine</w:t>
      </w:r>
      <w:r w:rsidRPr="00D854DF">
        <w:rPr>
          <w:rFonts w:ascii="Times New Roman" w:hAnsi="Times New Roman"/>
        </w:rPr>
        <w:t xml:space="preserve"> whether burden reductions have occurred </w:t>
      </w:r>
      <w:r w:rsidR="0039743A">
        <w:rPr>
          <w:rFonts w:ascii="Times New Roman" w:hAnsi="Times New Roman"/>
        </w:rPr>
        <w:t xml:space="preserve">during the </w:t>
      </w:r>
      <w:r w:rsidRPr="00D854DF">
        <w:rPr>
          <w:rFonts w:ascii="Times New Roman" w:hAnsi="Times New Roman"/>
        </w:rPr>
        <w:t xml:space="preserve">next renewal. </w:t>
      </w:r>
    </w:p>
    <w:p w14:paraId="7A9ED320" w14:textId="77777777" w:rsidR="0039743A" w:rsidRDefault="0039743A" w:rsidP="00D854DF">
      <w:pPr>
        <w:keepNext/>
        <w:widowControl/>
        <w:ind w:firstLine="720"/>
        <w:rPr>
          <w:rFonts w:ascii="Times New Roman" w:hAnsi="Times New Roman"/>
        </w:rPr>
      </w:pPr>
    </w:p>
    <w:p w14:paraId="67801182" w14:textId="77777777" w:rsidR="00772F14" w:rsidRPr="00263E20" w:rsidRDefault="00BE7FD6">
      <w:pPr>
        <w:ind w:firstLine="720"/>
        <w:rPr>
          <w:rFonts w:ascii="Times New Roman" w:hAnsi="Times New Roman"/>
        </w:rPr>
      </w:pPr>
      <w:r w:rsidRPr="00263E20">
        <w:rPr>
          <w:rFonts w:ascii="Times New Roman" w:hAnsi="Times New Roman"/>
          <w:b/>
          <w:bCs/>
        </w:rPr>
        <w:t>3(d) Effects of less frequent collection</w:t>
      </w:r>
    </w:p>
    <w:p w14:paraId="372C9AF1" w14:textId="77777777" w:rsidR="00772F14" w:rsidRPr="00263E20" w:rsidRDefault="00772F14">
      <w:pPr>
        <w:ind w:firstLine="720"/>
        <w:rPr>
          <w:rFonts w:ascii="Times New Roman" w:hAnsi="Times New Roman"/>
        </w:rPr>
      </w:pPr>
    </w:p>
    <w:p w14:paraId="776FF23B" w14:textId="72F10024" w:rsidR="00CA7C06" w:rsidRPr="00CA7C06" w:rsidRDefault="00BE7FD6" w:rsidP="00CA7C06">
      <w:pPr>
        <w:ind w:firstLine="720"/>
        <w:rPr>
          <w:rFonts w:ascii="Times New Roman" w:hAnsi="Times New Roman"/>
        </w:rPr>
      </w:pPr>
      <w:r w:rsidRPr="00263E20">
        <w:rPr>
          <w:rFonts w:ascii="Times New Roman" w:hAnsi="Times New Roman"/>
        </w:rPr>
        <w:t>This collection represents the minimum collection frequency possible to comply with statutory requirements, which is that the Agency be notified of the arrival of each shipment into the United States</w:t>
      </w:r>
      <w:r w:rsidR="00CA7C06">
        <w:rPr>
          <w:rFonts w:ascii="Times New Roman" w:hAnsi="Times New Roman"/>
        </w:rPr>
        <w:t xml:space="preserve"> </w:t>
      </w:r>
      <w:r w:rsidR="00CA7C06" w:rsidRPr="00CA7C06">
        <w:rPr>
          <w:rFonts w:ascii="Times New Roman" w:hAnsi="Times New Roman"/>
        </w:rPr>
        <w:t xml:space="preserve">so that each imported shipment may be evaluated, and if necessary, refused. In addition, if a shipment that should have been refused is allowed entry, the information collection enables the federal government to track the movement and distribution of those shipments within the United States, and to minimize any potential adverse human health or environmental impact that might arise. Collecting this information less frequently or not at all would not only violate a statutory mandate, but would hamper mission-critical objectives of EPA and </w:t>
      </w:r>
      <w:r w:rsidR="00606CCB">
        <w:rPr>
          <w:rFonts w:ascii="Times New Roman" w:hAnsi="Times New Roman"/>
        </w:rPr>
        <w:t>Customs</w:t>
      </w:r>
      <w:r w:rsidR="00CA7C06" w:rsidRPr="00CA7C06">
        <w:rPr>
          <w:rFonts w:ascii="Times New Roman" w:hAnsi="Times New Roman"/>
        </w:rPr>
        <w:t>.</w:t>
      </w:r>
    </w:p>
    <w:p w14:paraId="4540ECE9" w14:textId="6A29EDB1" w:rsidR="00772F14" w:rsidRPr="00263E20" w:rsidRDefault="00772F14">
      <w:pPr>
        <w:ind w:firstLine="720"/>
        <w:rPr>
          <w:rFonts w:ascii="Times New Roman" w:hAnsi="Times New Roman"/>
        </w:rPr>
      </w:pPr>
    </w:p>
    <w:p w14:paraId="76A4113F" w14:textId="77777777" w:rsidR="00772F14" w:rsidRPr="00263E20" w:rsidRDefault="00772F14">
      <w:pPr>
        <w:ind w:firstLine="720"/>
        <w:rPr>
          <w:rFonts w:ascii="Times New Roman" w:hAnsi="Times New Roman"/>
        </w:rPr>
      </w:pPr>
      <w:r w:rsidRPr="00263E20">
        <w:rPr>
          <w:rFonts w:ascii="Times New Roman" w:hAnsi="Times New Roman"/>
          <w:b/>
          <w:bCs/>
        </w:rPr>
        <w:t>3(e) General Guid</w:t>
      </w:r>
      <w:r w:rsidR="00BE7FD6" w:rsidRPr="00263E20">
        <w:rPr>
          <w:rFonts w:ascii="Times New Roman" w:hAnsi="Times New Roman"/>
          <w:b/>
          <w:bCs/>
        </w:rPr>
        <w:t>elines</w:t>
      </w:r>
    </w:p>
    <w:p w14:paraId="0F36A416" w14:textId="77777777" w:rsidR="00772F14" w:rsidRPr="00263E20" w:rsidRDefault="00772F14">
      <w:pPr>
        <w:rPr>
          <w:rFonts w:ascii="Times New Roman" w:hAnsi="Times New Roman"/>
        </w:rPr>
      </w:pPr>
    </w:p>
    <w:p w14:paraId="3E419FC2" w14:textId="77777777" w:rsidR="00772F14" w:rsidRPr="00263E20" w:rsidRDefault="00155A54">
      <w:pPr>
        <w:ind w:firstLine="720"/>
        <w:rPr>
          <w:rFonts w:ascii="Times New Roman" w:hAnsi="Times New Roman"/>
        </w:rPr>
      </w:pPr>
      <w:r w:rsidRPr="00263E20">
        <w:rPr>
          <w:rFonts w:ascii="Times New Roman" w:hAnsi="Times New Roman"/>
        </w:rPr>
        <w:t>The only PRA-imposed guideline in 5 CFR 1320.6 that is exceeded in this collection is the recordkeeping retention period. Any record required to be made, kept, and rendered for examination and inspection by Customs under 19 CFR 163.2 shall be kept for 5 years.</w:t>
      </w:r>
    </w:p>
    <w:p w14:paraId="769A9F0E" w14:textId="77777777" w:rsidR="00772F14" w:rsidRPr="00263E20" w:rsidRDefault="00772F14">
      <w:pPr>
        <w:rPr>
          <w:rFonts w:ascii="Times New Roman" w:hAnsi="Times New Roman"/>
        </w:rPr>
      </w:pPr>
    </w:p>
    <w:p w14:paraId="24D4C42A" w14:textId="77777777" w:rsidR="00772F14" w:rsidRPr="00263E20" w:rsidRDefault="00BE7FD6" w:rsidP="00C213CC">
      <w:pPr>
        <w:keepNext/>
        <w:keepLines/>
        <w:ind w:firstLine="720"/>
        <w:rPr>
          <w:rFonts w:ascii="Times New Roman" w:hAnsi="Times New Roman"/>
        </w:rPr>
      </w:pPr>
      <w:r w:rsidRPr="00263E20">
        <w:rPr>
          <w:rFonts w:ascii="Times New Roman" w:hAnsi="Times New Roman"/>
          <w:b/>
          <w:bCs/>
        </w:rPr>
        <w:t>3(f) Confidentiality</w:t>
      </w:r>
    </w:p>
    <w:p w14:paraId="11763E47" w14:textId="77777777" w:rsidR="00772F14" w:rsidRPr="00263E20" w:rsidRDefault="00772F14" w:rsidP="00C213CC">
      <w:pPr>
        <w:keepNext/>
        <w:keepLines/>
        <w:rPr>
          <w:rFonts w:ascii="Times New Roman" w:hAnsi="Times New Roman"/>
        </w:rPr>
      </w:pPr>
    </w:p>
    <w:p w14:paraId="3212272E" w14:textId="4E2FAAD3" w:rsidR="00766408" w:rsidRPr="00263E20" w:rsidRDefault="00766408" w:rsidP="00766408">
      <w:pPr>
        <w:keepNext/>
        <w:widowControl/>
        <w:ind w:firstLine="720"/>
        <w:rPr>
          <w:rFonts w:ascii="Times New Roman" w:hAnsi="Times New Roman"/>
        </w:rPr>
      </w:pPr>
      <w:r w:rsidRPr="00263E20">
        <w:rPr>
          <w:rFonts w:ascii="Times New Roman" w:hAnsi="Times New Roman"/>
        </w:rPr>
        <w:t xml:space="preserve">Confidential data submitted to EPA is handled in accordance with the provisions of the FIFRA </w:t>
      </w:r>
      <w:r w:rsidR="00F560E1" w:rsidRPr="00263E20">
        <w:rPr>
          <w:rFonts w:ascii="Times New Roman" w:hAnsi="Times New Roman"/>
        </w:rPr>
        <w:t xml:space="preserve">Confidential Business Information </w:t>
      </w:r>
      <w:r w:rsidR="00F560E1">
        <w:rPr>
          <w:rFonts w:ascii="Times New Roman" w:hAnsi="Times New Roman"/>
        </w:rPr>
        <w:t>(</w:t>
      </w:r>
      <w:r w:rsidRPr="00263E20">
        <w:rPr>
          <w:rFonts w:ascii="Times New Roman" w:hAnsi="Times New Roman"/>
        </w:rPr>
        <w:t>CBI</w:t>
      </w:r>
      <w:r w:rsidR="00F560E1">
        <w:rPr>
          <w:rFonts w:ascii="Times New Roman" w:hAnsi="Times New Roman"/>
        </w:rPr>
        <w:t>)</w:t>
      </w:r>
      <w:r w:rsidRPr="00263E20">
        <w:rPr>
          <w:rFonts w:ascii="Times New Roman" w:hAnsi="Times New Roman"/>
        </w:rPr>
        <w:t xml:space="preserve"> security manual. This manual contains instructions to physical security measures; CBI copying and destruction procedures; transfer of CBI materials within EPA to contractors or to other government offices; computer security; CBI typing procedures; and internal office procedures. The manual dictates that all CBI must be marked or flagged as such, only authorized Agency personnel may be permitted access to CBI, all CBI must be kept in secure (double-locked) areas, and all CBI marked for destruction must be cleared by a Document Control Officer.  </w:t>
      </w:r>
    </w:p>
    <w:p w14:paraId="7D75D95D" w14:textId="77777777" w:rsidR="00766408" w:rsidRDefault="00766408" w:rsidP="00C213CC">
      <w:pPr>
        <w:keepNext/>
        <w:keepLines/>
        <w:ind w:firstLine="720"/>
        <w:rPr>
          <w:rFonts w:ascii="Times New Roman" w:hAnsi="Times New Roman"/>
        </w:rPr>
      </w:pPr>
    </w:p>
    <w:p w14:paraId="3442ECE6" w14:textId="15B942F6" w:rsidR="00494BC2" w:rsidRDefault="00BE7FD6" w:rsidP="00C213CC">
      <w:pPr>
        <w:keepNext/>
        <w:keepLines/>
        <w:ind w:firstLine="720"/>
        <w:rPr>
          <w:rFonts w:ascii="Times New Roman" w:hAnsi="Times New Roman"/>
        </w:rPr>
      </w:pPr>
      <w:r w:rsidRPr="00263E20">
        <w:rPr>
          <w:rFonts w:ascii="Times New Roman" w:hAnsi="Times New Roman"/>
        </w:rPr>
        <w:t xml:space="preserve">If information </w:t>
      </w:r>
      <w:r w:rsidR="00B5765B">
        <w:rPr>
          <w:rFonts w:ascii="Times New Roman" w:hAnsi="Times New Roman"/>
        </w:rPr>
        <w:t>in the NOA</w:t>
      </w:r>
      <w:r w:rsidR="00494BC2">
        <w:rPr>
          <w:rFonts w:ascii="Times New Roman" w:hAnsi="Times New Roman"/>
        </w:rPr>
        <w:t xml:space="preserve"> </w:t>
      </w:r>
      <w:r w:rsidRPr="00263E20">
        <w:rPr>
          <w:rFonts w:ascii="Times New Roman" w:hAnsi="Times New Roman"/>
        </w:rPr>
        <w:t xml:space="preserve">is declared sensitive or confidential, it cannot be released to the public. Certain information </w:t>
      </w:r>
      <w:r w:rsidR="00766408">
        <w:rPr>
          <w:rFonts w:ascii="Times New Roman" w:hAnsi="Times New Roman"/>
        </w:rPr>
        <w:t>in NOAs</w:t>
      </w:r>
      <w:r w:rsidR="00494BC2">
        <w:rPr>
          <w:rFonts w:ascii="Times New Roman" w:hAnsi="Times New Roman"/>
        </w:rPr>
        <w:t xml:space="preserve"> </w:t>
      </w:r>
      <w:r w:rsidRPr="00263E20">
        <w:rPr>
          <w:rFonts w:ascii="Times New Roman" w:hAnsi="Times New Roman"/>
        </w:rPr>
        <w:t>(</w:t>
      </w:r>
      <w:r w:rsidR="002805A1">
        <w:rPr>
          <w:rFonts w:ascii="Times New Roman" w:hAnsi="Times New Roman"/>
        </w:rPr>
        <w:t xml:space="preserve">e.g., </w:t>
      </w:r>
      <w:r w:rsidRPr="00263E20">
        <w:rPr>
          <w:rFonts w:ascii="Times New Roman" w:hAnsi="Times New Roman"/>
        </w:rPr>
        <w:t xml:space="preserve">names and </w:t>
      </w:r>
      <w:r w:rsidR="00E52B2F" w:rsidRPr="00263E20">
        <w:rPr>
          <w:rFonts w:ascii="Times New Roman" w:hAnsi="Times New Roman"/>
        </w:rPr>
        <w:t xml:space="preserve">complete </w:t>
      </w:r>
      <w:r w:rsidRPr="00263E20">
        <w:rPr>
          <w:rFonts w:ascii="Times New Roman" w:hAnsi="Times New Roman"/>
        </w:rPr>
        <w:t>addresses</w:t>
      </w:r>
      <w:r w:rsidR="00F537A2" w:rsidRPr="00263E20">
        <w:rPr>
          <w:rFonts w:ascii="Times New Roman" w:hAnsi="Times New Roman"/>
        </w:rPr>
        <w:t>,</w:t>
      </w:r>
      <w:r w:rsidRPr="00263E20">
        <w:rPr>
          <w:rFonts w:ascii="Times New Roman" w:hAnsi="Times New Roman"/>
        </w:rPr>
        <w:t xml:space="preserve"> along with unit size, quantity,</w:t>
      </w:r>
      <w:r w:rsidR="00766408">
        <w:rPr>
          <w:rFonts w:ascii="Times New Roman" w:hAnsi="Times New Roman"/>
        </w:rPr>
        <w:t xml:space="preserve"> </w:t>
      </w:r>
      <w:r w:rsidRPr="00263E20">
        <w:rPr>
          <w:rFonts w:ascii="Times New Roman" w:hAnsi="Times New Roman"/>
        </w:rPr>
        <w:t xml:space="preserve">total net weight, country of origin, port of entry, entry number, and </w:t>
      </w:r>
      <w:r w:rsidR="00E52B2F" w:rsidRPr="00263E20">
        <w:rPr>
          <w:rFonts w:ascii="Times New Roman" w:hAnsi="Times New Roman"/>
        </w:rPr>
        <w:t xml:space="preserve">anticipated </w:t>
      </w:r>
      <w:r w:rsidRPr="00263E20">
        <w:rPr>
          <w:rFonts w:ascii="Times New Roman" w:hAnsi="Times New Roman"/>
        </w:rPr>
        <w:t>entry</w:t>
      </w:r>
      <w:r w:rsidR="00F537A2" w:rsidRPr="00263E20">
        <w:rPr>
          <w:rFonts w:ascii="Times New Roman" w:hAnsi="Times New Roman"/>
        </w:rPr>
        <w:t xml:space="preserve"> date</w:t>
      </w:r>
      <w:r w:rsidRPr="00263E20">
        <w:rPr>
          <w:rFonts w:ascii="Times New Roman" w:hAnsi="Times New Roman"/>
        </w:rPr>
        <w:t xml:space="preserve">) may be claimed as FIFRA CBI.  </w:t>
      </w:r>
    </w:p>
    <w:p w14:paraId="04959ED4" w14:textId="77777777" w:rsidR="00494BC2" w:rsidRDefault="00494BC2" w:rsidP="00C213CC">
      <w:pPr>
        <w:keepNext/>
        <w:keepLines/>
        <w:ind w:firstLine="720"/>
        <w:rPr>
          <w:rFonts w:ascii="Times New Roman" w:hAnsi="Times New Roman"/>
        </w:rPr>
      </w:pPr>
    </w:p>
    <w:p w14:paraId="7795FCFC" w14:textId="33598970" w:rsidR="00494BC2" w:rsidRPr="00494BC2" w:rsidRDefault="00494BC2" w:rsidP="00494BC2">
      <w:pPr>
        <w:keepNext/>
        <w:keepLines/>
        <w:ind w:firstLine="720"/>
        <w:rPr>
          <w:rFonts w:ascii="Times New Roman" w:hAnsi="Times New Roman"/>
        </w:rPr>
      </w:pPr>
      <w:r w:rsidRPr="00494BC2">
        <w:rPr>
          <w:rFonts w:ascii="Times New Roman" w:hAnsi="Times New Roman"/>
        </w:rPr>
        <w:t>However, other information presented in a NOA may not be protected as confidential pursuant to FIFRA section 7(d), labeling requirements for pesticides/devices at 40 CFR 156.10, and misbranding provisions in FIFRA section 2(q), specifically:</w:t>
      </w:r>
    </w:p>
    <w:p w14:paraId="50174E66" w14:textId="77777777" w:rsidR="00494BC2" w:rsidRPr="00494BC2" w:rsidRDefault="00494BC2" w:rsidP="00494BC2">
      <w:pPr>
        <w:keepNext/>
        <w:keepLines/>
        <w:ind w:firstLine="720"/>
        <w:rPr>
          <w:rFonts w:ascii="Times New Roman" w:hAnsi="Times New Roman"/>
        </w:rPr>
      </w:pPr>
      <w:r w:rsidRPr="00494BC2">
        <w:rPr>
          <w:rFonts w:ascii="Times New Roman" w:hAnsi="Times New Roman"/>
        </w:rPr>
        <w:t>•</w:t>
      </w:r>
      <w:r w:rsidRPr="00494BC2">
        <w:rPr>
          <w:rFonts w:ascii="Times New Roman" w:hAnsi="Times New Roman"/>
        </w:rPr>
        <w:tab/>
        <w:t>EPA Registration Number.</w:t>
      </w:r>
    </w:p>
    <w:p w14:paraId="29278CD4" w14:textId="77777777" w:rsidR="00494BC2" w:rsidRPr="00494BC2" w:rsidRDefault="00494BC2" w:rsidP="00494BC2">
      <w:pPr>
        <w:keepNext/>
        <w:keepLines/>
        <w:ind w:firstLine="720"/>
        <w:rPr>
          <w:rFonts w:ascii="Times New Roman" w:hAnsi="Times New Roman"/>
        </w:rPr>
      </w:pPr>
      <w:r w:rsidRPr="00494BC2">
        <w:rPr>
          <w:rFonts w:ascii="Times New Roman" w:hAnsi="Times New Roman"/>
        </w:rPr>
        <w:t>•</w:t>
      </w:r>
      <w:r w:rsidRPr="00494BC2">
        <w:rPr>
          <w:rFonts w:ascii="Times New Roman" w:hAnsi="Times New Roman"/>
        </w:rPr>
        <w:tab/>
        <w:t>EPA Establishment Number.</w:t>
      </w:r>
    </w:p>
    <w:p w14:paraId="6D525876" w14:textId="77777777" w:rsidR="00494BC2" w:rsidRPr="00494BC2" w:rsidRDefault="00494BC2" w:rsidP="00494BC2">
      <w:pPr>
        <w:keepNext/>
        <w:keepLines/>
        <w:ind w:firstLine="720"/>
        <w:rPr>
          <w:rFonts w:ascii="Times New Roman" w:hAnsi="Times New Roman"/>
        </w:rPr>
      </w:pPr>
      <w:r w:rsidRPr="00494BC2">
        <w:rPr>
          <w:rFonts w:ascii="Times New Roman" w:hAnsi="Times New Roman"/>
        </w:rPr>
        <w:t>•</w:t>
      </w:r>
      <w:r w:rsidRPr="00494BC2">
        <w:rPr>
          <w:rFonts w:ascii="Times New Roman" w:hAnsi="Times New Roman"/>
        </w:rPr>
        <w:tab/>
        <w:t>Brand name of product.</w:t>
      </w:r>
    </w:p>
    <w:p w14:paraId="7AFACAEF" w14:textId="0B189098" w:rsidR="00494BC2" w:rsidRDefault="00494BC2" w:rsidP="00494BC2">
      <w:pPr>
        <w:keepNext/>
        <w:keepLines/>
        <w:ind w:firstLine="720"/>
        <w:rPr>
          <w:rFonts w:ascii="Times New Roman" w:hAnsi="Times New Roman"/>
        </w:rPr>
      </w:pPr>
      <w:r w:rsidRPr="00494BC2">
        <w:rPr>
          <w:rFonts w:ascii="Times New Roman" w:hAnsi="Times New Roman"/>
        </w:rPr>
        <w:t>•</w:t>
      </w:r>
      <w:r w:rsidRPr="00494BC2">
        <w:rPr>
          <w:rFonts w:ascii="Times New Roman" w:hAnsi="Times New Roman"/>
        </w:rPr>
        <w:tab/>
        <w:t>Active ingredients and percentages of each.</w:t>
      </w:r>
    </w:p>
    <w:p w14:paraId="76EDFB81" w14:textId="77777777" w:rsidR="00494BC2" w:rsidRDefault="00494BC2" w:rsidP="00494BC2">
      <w:pPr>
        <w:keepNext/>
        <w:keepLines/>
        <w:ind w:firstLine="720"/>
        <w:rPr>
          <w:rFonts w:ascii="Times New Roman" w:hAnsi="Times New Roman"/>
        </w:rPr>
      </w:pPr>
    </w:p>
    <w:p w14:paraId="1C7F23D1" w14:textId="77777777" w:rsidR="00772F14" w:rsidRPr="00263E20" w:rsidRDefault="00BE7FD6">
      <w:pPr>
        <w:ind w:firstLine="720"/>
        <w:rPr>
          <w:rFonts w:ascii="Times New Roman" w:hAnsi="Times New Roman"/>
        </w:rPr>
      </w:pPr>
      <w:r w:rsidRPr="00263E20">
        <w:rPr>
          <w:rFonts w:ascii="Times New Roman" w:hAnsi="Times New Roman"/>
          <w:b/>
          <w:bCs/>
        </w:rPr>
        <w:t>3(g) Sensitive Questions</w:t>
      </w:r>
    </w:p>
    <w:p w14:paraId="548DBF66" w14:textId="77777777" w:rsidR="00772F14" w:rsidRPr="00263E20" w:rsidRDefault="00772F14">
      <w:pPr>
        <w:rPr>
          <w:rFonts w:ascii="Times New Roman" w:hAnsi="Times New Roman"/>
        </w:rPr>
      </w:pPr>
    </w:p>
    <w:p w14:paraId="5CF487EA" w14:textId="0C134D38" w:rsidR="00772F14" w:rsidRPr="00263E20" w:rsidRDefault="00BE7FD6">
      <w:pPr>
        <w:ind w:firstLine="720"/>
        <w:rPr>
          <w:rFonts w:ascii="Times New Roman" w:hAnsi="Times New Roman"/>
        </w:rPr>
      </w:pPr>
      <w:r w:rsidRPr="00263E20">
        <w:rPr>
          <w:rFonts w:ascii="Times New Roman" w:hAnsi="Times New Roman"/>
        </w:rPr>
        <w:t xml:space="preserve">Not applicable. No information of a sensitive or private nature is requested in the information collection activity.  </w:t>
      </w:r>
    </w:p>
    <w:p w14:paraId="2C0F105F" w14:textId="77777777" w:rsidR="00772F14" w:rsidRPr="00263E20" w:rsidRDefault="00772F14">
      <w:pPr>
        <w:ind w:firstLine="720"/>
        <w:rPr>
          <w:rFonts w:ascii="Times New Roman" w:hAnsi="Times New Roman"/>
          <w:b/>
          <w:bCs/>
        </w:rPr>
      </w:pPr>
    </w:p>
    <w:p w14:paraId="58F3E9B9" w14:textId="77777777" w:rsidR="00772F14" w:rsidRPr="00263E20" w:rsidRDefault="00BE7FD6">
      <w:pPr>
        <w:rPr>
          <w:rFonts w:ascii="Times New Roman" w:hAnsi="Times New Roman"/>
        </w:rPr>
      </w:pPr>
      <w:r w:rsidRPr="00263E20">
        <w:rPr>
          <w:rFonts w:ascii="Times New Roman" w:hAnsi="Times New Roman"/>
          <w:b/>
          <w:bCs/>
        </w:rPr>
        <w:t>4. The Respondents and Information Collected</w:t>
      </w:r>
    </w:p>
    <w:p w14:paraId="205A368D" w14:textId="77777777" w:rsidR="00772F14" w:rsidRPr="00263E20" w:rsidRDefault="00772F14">
      <w:pPr>
        <w:rPr>
          <w:rFonts w:ascii="Times New Roman" w:hAnsi="Times New Roman"/>
          <w:u w:val="single"/>
        </w:rPr>
      </w:pPr>
    </w:p>
    <w:p w14:paraId="3FEB789E" w14:textId="77777777" w:rsidR="00772F14" w:rsidRPr="00263E20" w:rsidRDefault="00BE7FD6">
      <w:pPr>
        <w:ind w:firstLine="720"/>
        <w:rPr>
          <w:rFonts w:ascii="Times New Roman" w:hAnsi="Times New Roman"/>
          <w:u w:val="single"/>
        </w:rPr>
      </w:pPr>
      <w:r w:rsidRPr="00263E20">
        <w:rPr>
          <w:rFonts w:ascii="Times New Roman" w:hAnsi="Times New Roman"/>
          <w:b/>
          <w:bCs/>
        </w:rPr>
        <w:t>4(a) Respondents/North American Industry Classification System (NAICS) Codes.</w:t>
      </w:r>
    </w:p>
    <w:p w14:paraId="477F247B" w14:textId="77777777" w:rsidR="00772F14" w:rsidRPr="00263E20" w:rsidRDefault="00772F14">
      <w:pPr>
        <w:ind w:firstLine="720"/>
        <w:rPr>
          <w:rFonts w:ascii="Times New Roman" w:hAnsi="Times New Roman"/>
        </w:rPr>
      </w:pPr>
    </w:p>
    <w:p w14:paraId="73A76FC7" w14:textId="4300C264" w:rsidR="00FD536D" w:rsidRPr="00263E20" w:rsidRDefault="00FD536D">
      <w:pPr>
        <w:ind w:firstLine="720"/>
        <w:rPr>
          <w:rFonts w:ascii="Times New Roman" w:hAnsi="Times New Roman"/>
          <w:color w:val="000000"/>
        </w:rPr>
      </w:pPr>
      <w:r w:rsidRPr="00263E20">
        <w:rPr>
          <w:rFonts w:ascii="Times New Roman" w:hAnsi="Times New Roman"/>
          <w:color w:val="000000"/>
        </w:rPr>
        <w:t xml:space="preserve">Respondents to this information collection are pesticide importers, which includes many types of business entities ranging from Commercial and Institutional Building Construction (NAICS 236220) to Pesticide and Other Agricultural Chemical Manufacturing (NAICS 325300) and even Public Administration: Executive Offices (NAICS 921110). Other </w:t>
      </w:r>
      <w:r w:rsidR="002747E2">
        <w:rPr>
          <w:rFonts w:ascii="Times New Roman" w:hAnsi="Times New Roman"/>
          <w:color w:val="000000"/>
        </w:rPr>
        <w:t xml:space="preserve">industries </w:t>
      </w:r>
      <w:r w:rsidRPr="00263E20">
        <w:rPr>
          <w:rFonts w:ascii="Times New Roman" w:hAnsi="Times New Roman"/>
          <w:color w:val="000000"/>
        </w:rPr>
        <w:t xml:space="preserve">and institutions that import pesticides include Agriculture, Forestry, Fishing and Hunting (Sector 11), Wholesale Trade, (Sector 42). The majority of responses come from businesses that fall under NAICS </w:t>
      </w:r>
      <w:r w:rsidR="00166F58" w:rsidRPr="00263E20">
        <w:rPr>
          <w:rFonts w:ascii="Times New Roman" w:hAnsi="Times New Roman"/>
          <w:color w:val="000000"/>
        </w:rPr>
        <w:t xml:space="preserve">code </w:t>
      </w:r>
      <w:r w:rsidRPr="00263E20">
        <w:rPr>
          <w:rFonts w:ascii="Times New Roman" w:hAnsi="Times New Roman"/>
          <w:color w:val="000000"/>
        </w:rPr>
        <w:t xml:space="preserve">325300. </w:t>
      </w:r>
    </w:p>
    <w:p w14:paraId="7978111D" w14:textId="77777777" w:rsidR="00814236" w:rsidRPr="00263E20" w:rsidRDefault="00814236">
      <w:pPr>
        <w:ind w:firstLine="720"/>
        <w:rPr>
          <w:rFonts w:ascii="Times New Roman" w:hAnsi="Times New Roman"/>
          <w:color w:val="000000"/>
        </w:rPr>
      </w:pPr>
    </w:p>
    <w:p w14:paraId="0E356E10" w14:textId="77777777" w:rsidR="00772F14" w:rsidRPr="00263E20" w:rsidRDefault="00BE7FD6" w:rsidP="003F7440">
      <w:pPr>
        <w:ind w:firstLine="720"/>
        <w:rPr>
          <w:rFonts w:ascii="Times New Roman" w:hAnsi="Times New Roman"/>
        </w:rPr>
      </w:pPr>
      <w:r w:rsidRPr="00263E20">
        <w:rPr>
          <w:rFonts w:ascii="Times New Roman" w:hAnsi="Times New Roman"/>
          <w:b/>
          <w:bCs/>
        </w:rPr>
        <w:t>4(b) Information Requested</w:t>
      </w:r>
    </w:p>
    <w:p w14:paraId="32CC1E46" w14:textId="77777777" w:rsidR="00772F14" w:rsidRPr="00263E20" w:rsidRDefault="00857DB3" w:rsidP="003F7440">
      <w:pPr>
        <w:rPr>
          <w:rFonts w:ascii="Times New Roman" w:hAnsi="Times New Roman"/>
        </w:rPr>
      </w:pPr>
      <w:r w:rsidRPr="00263E20">
        <w:rPr>
          <w:rFonts w:ascii="Times New Roman" w:hAnsi="Times New Roman"/>
        </w:rPr>
        <w:tab/>
      </w:r>
    </w:p>
    <w:p w14:paraId="5BB241B0" w14:textId="77777777" w:rsidR="00772F14" w:rsidRPr="00263E20" w:rsidRDefault="00F53E3C" w:rsidP="003F7440">
      <w:pPr>
        <w:ind w:firstLine="720"/>
        <w:rPr>
          <w:rFonts w:ascii="Times New Roman" w:hAnsi="Times New Roman"/>
          <w:b/>
        </w:rPr>
      </w:pPr>
      <w:r w:rsidRPr="00263E20">
        <w:rPr>
          <w:rFonts w:ascii="Times New Roman" w:hAnsi="Times New Roman"/>
          <w:b/>
        </w:rPr>
        <w:t>(i) Data items, including record keeping requirements</w:t>
      </w:r>
    </w:p>
    <w:p w14:paraId="608EEA1B" w14:textId="77777777" w:rsidR="00166F58" w:rsidRPr="00263E20" w:rsidRDefault="00166F58" w:rsidP="003F7440">
      <w:pPr>
        <w:ind w:firstLine="720"/>
        <w:rPr>
          <w:rFonts w:ascii="Times New Roman" w:hAnsi="Times New Roman"/>
          <w:b/>
        </w:rPr>
      </w:pPr>
    </w:p>
    <w:p w14:paraId="65B80099" w14:textId="7386D1E3" w:rsidR="00166F58" w:rsidRPr="00263E20" w:rsidRDefault="00166F58" w:rsidP="003F7440">
      <w:pPr>
        <w:ind w:firstLine="720"/>
        <w:rPr>
          <w:rFonts w:ascii="Times New Roman" w:hAnsi="Times New Roman"/>
          <w:b/>
          <w:u w:val="single"/>
        </w:rPr>
      </w:pPr>
      <w:r w:rsidRPr="00263E20">
        <w:rPr>
          <w:rFonts w:ascii="Times New Roman" w:hAnsi="Times New Roman"/>
        </w:rPr>
        <w:t>The data items that must be submitted for registered pesticides, unregistered pesticides</w:t>
      </w:r>
      <w:r w:rsidR="00766408">
        <w:rPr>
          <w:rFonts w:ascii="Times New Roman" w:hAnsi="Times New Roman"/>
        </w:rPr>
        <w:t>,</w:t>
      </w:r>
      <w:r w:rsidRPr="00263E20">
        <w:rPr>
          <w:rFonts w:ascii="Times New Roman" w:hAnsi="Times New Roman"/>
        </w:rPr>
        <w:t xml:space="preserve"> and </w:t>
      </w:r>
      <w:r w:rsidR="001D582F" w:rsidRPr="00263E20">
        <w:rPr>
          <w:rFonts w:ascii="Times New Roman" w:hAnsi="Times New Roman"/>
        </w:rPr>
        <w:t xml:space="preserve">pesticidal </w:t>
      </w:r>
      <w:r w:rsidRPr="00263E20">
        <w:rPr>
          <w:rFonts w:ascii="Times New Roman" w:hAnsi="Times New Roman"/>
        </w:rPr>
        <w:t>devices are the same, except where indicated below.</w:t>
      </w:r>
    </w:p>
    <w:p w14:paraId="5EFBD1E9" w14:textId="77777777" w:rsidR="00772F14" w:rsidRPr="00263E20" w:rsidRDefault="00772F14">
      <w:pPr>
        <w:rPr>
          <w:rFonts w:ascii="Times New Roman" w:hAnsi="Times New Roman"/>
          <w:u w:val="single"/>
        </w:rPr>
      </w:pPr>
    </w:p>
    <w:p w14:paraId="7DB0B9CC" w14:textId="0B9107F3" w:rsidR="00F53E3C" w:rsidRPr="00263E20" w:rsidRDefault="00B7475E" w:rsidP="00F53E3C">
      <w:pPr>
        <w:pStyle w:val="ListParagraph"/>
        <w:numPr>
          <w:ilvl w:val="0"/>
          <w:numId w:val="10"/>
        </w:numPr>
        <w:rPr>
          <w:rFonts w:ascii="Times New Roman" w:hAnsi="Times New Roman"/>
          <w:b/>
        </w:rPr>
      </w:pPr>
      <w:r>
        <w:rPr>
          <w:rFonts w:ascii="Times New Roman" w:hAnsi="Times New Roman"/>
          <w:b/>
        </w:rPr>
        <w:t>Required</w:t>
      </w:r>
      <w:r w:rsidR="00F53E3C" w:rsidRPr="00263E20">
        <w:rPr>
          <w:rFonts w:ascii="Times New Roman" w:hAnsi="Times New Roman"/>
          <w:b/>
        </w:rPr>
        <w:t xml:space="preserve"> data items.</w:t>
      </w:r>
    </w:p>
    <w:p w14:paraId="7FD4C55C" w14:textId="77777777" w:rsidR="002A2477" w:rsidRPr="00263E20" w:rsidRDefault="002A2477">
      <w:pPr>
        <w:rPr>
          <w:rFonts w:ascii="Times New Roman" w:hAnsi="Times New Roman"/>
          <w:u w:val="single"/>
        </w:rPr>
      </w:pPr>
    </w:p>
    <w:p w14:paraId="20A45D2D" w14:textId="77777777" w:rsidR="00772F14" w:rsidRPr="00263E20" w:rsidRDefault="00BE7FD6">
      <w:pPr>
        <w:ind w:firstLine="720"/>
        <w:rPr>
          <w:rFonts w:ascii="Times New Roman" w:hAnsi="Times New Roman"/>
        </w:rPr>
      </w:pPr>
      <w:r w:rsidRPr="00263E20">
        <w:rPr>
          <w:rFonts w:ascii="Times New Roman" w:hAnsi="Times New Roman"/>
        </w:rPr>
        <w:t xml:space="preserve">All data in this ICR that is recorded and reported is required by FIFRA Sections 3, 7, and 17, and 19 CFR Part 12. </w:t>
      </w:r>
    </w:p>
    <w:p w14:paraId="5C973979" w14:textId="77777777" w:rsidR="00772F14" w:rsidRPr="00263E20" w:rsidRDefault="00772F14">
      <w:pPr>
        <w:rPr>
          <w:rFonts w:ascii="Times New Roman" w:hAnsi="Times New Roman"/>
        </w:rPr>
      </w:pPr>
    </w:p>
    <w:p w14:paraId="3084C4A7" w14:textId="77777777" w:rsidR="00772F14" w:rsidRPr="00263E20" w:rsidRDefault="00BE7FD6">
      <w:pPr>
        <w:ind w:firstLine="720"/>
        <w:rPr>
          <w:rFonts w:ascii="Times New Roman" w:hAnsi="Times New Roman"/>
        </w:rPr>
      </w:pPr>
      <w:r w:rsidRPr="00263E20">
        <w:rPr>
          <w:rFonts w:ascii="Times New Roman" w:hAnsi="Times New Roman"/>
        </w:rPr>
        <w:t xml:space="preserve">Provide notification of: </w:t>
      </w:r>
    </w:p>
    <w:p w14:paraId="70791182" w14:textId="7E3B809E" w:rsidR="00772F14" w:rsidRPr="00263E20" w:rsidRDefault="00FD523B" w:rsidP="00C7628F">
      <w:pPr>
        <w:numPr>
          <w:ilvl w:val="0"/>
          <w:numId w:val="2"/>
        </w:numPr>
        <w:tabs>
          <w:tab w:val="left" w:pos="990"/>
        </w:tabs>
        <w:ind w:left="720" w:firstLine="0"/>
        <w:rPr>
          <w:rFonts w:ascii="Times New Roman" w:hAnsi="Times New Roman"/>
        </w:rPr>
      </w:pPr>
      <w:r w:rsidRPr="00263E20">
        <w:rPr>
          <w:rFonts w:ascii="Times New Roman" w:hAnsi="Times New Roman"/>
        </w:rPr>
        <w:t>N</w:t>
      </w:r>
      <w:r w:rsidR="00BE7FD6" w:rsidRPr="00263E20">
        <w:rPr>
          <w:rFonts w:ascii="Times New Roman" w:hAnsi="Times New Roman"/>
        </w:rPr>
        <w:t>ame</w:t>
      </w:r>
      <w:r w:rsidRPr="00263E20">
        <w:rPr>
          <w:rFonts w:ascii="Times New Roman" w:hAnsi="Times New Roman"/>
        </w:rPr>
        <w:t xml:space="preserve">, </w:t>
      </w:r>
      <w:r w:rsidR="00BE7FD6" w:rsidRPr="00263E20">
        <w:rPr>
          <w:rFonts w:ascii="Times New Roman" w:hAnsi="Times New Roman"/>
        </w:rPr>
        <w:t>complete address</w:t>
      </w:r>
      <w:r w:rsidRPr="00263E20">
        <w:rPr>
          <w:rFonts w:ascii="Times New Roman" w:hAnsi="Times New Roman"/>
        </w:rPr>
        <w:t>, phone number, and email address</w:t>
      </w:r>
      <w:r w:rsidR="00BE7FD6" w:rsidRPr="00263E20">
        <w:rPr>
          <w:rFonts w:ascii="Times New Roman" w:hAnsi="Times New Roman"/>
        </w:rPr>
        <w:t xml:space="preserve"> of broker or agent (19 CFR 12.112)</w:t>
      </w:r>
    </w:p>
    <w:p w14:paraId="6FA19612" w14:textId="5525C64A" w:rsidR="00772F14" w:rsidRPr="00263E20" w:rsidRDefault="00BE7FD6" w:rsidP="00FA328D">
      <w:pPr>
        <w:numPr>
          <w:ilvl w:val="0"/>
          <w:numId w:val="2"/>
        </w:numPr>
        <w:tabs>
          <w:tab w:val="clear" w:pos="0"/>
          <w:tab w:val="num" w:pos="720"/>
          <w:tab w:val="num" w:pos="990"/>
        </w:tabs>
        <w:ind w:left="720" w:firstLine="0"/>
        <w:rPr>
          <w:rFonts w:ascii="Times New Roman" w:hAnsi="Times New Roman"/>
        </w:rPr>
      </w:pPr>
      <w:r w:rsidRPr="00263E20">
        <w:rPr>
          <w:rFonts w:ascii="Times New Roman" w:hAnsi="Times New Roman"/>
        </w:rPr>
        <w:t>name</w:t>
      </w:r>
      <w:r w:rsidR="00FD523B" w:rsidRPr="00263E20">
        <w:rPr>
          <w:rFonts w:ascii="Times New Roman" w:hAnsi="Times New Roman"/>
        </w:rPr>
        <w:t xml:space="preserve">, </w:t>
      </w:r>
      <w:r w:rsidRPr="00263E20">
        <w:rPr>
          <w:rFonts w:ascii="Times New Roman" w:hAnsi="Times New Roman"/>
        </w:rPr>
        <w:t>complete address</w:t>
      </w:r>
      <w:r w:rsidR="00FD523B" w:rsidRPr="00263E20">
        <w:rPr>
          <w:rFonts w:ascii="Times New Roman" w:hAnsi="Times New Roman"/>
        </w:rPr>
        <w:t>, phone number, and email address</w:t>
      </w:r>
      <w:r w:rsidRPr="00263E20">
        <w:rPr>
          <w:rFonts w:ascii="Times New Roman" w:hAnsi="Times New Roman"/>
        </w:rPr>
        <w:t xml:space="preserve"> of importer or consignee (19 CFR 12.112)</w:t>
      </w:r>
    </w:p>
    <w:p w14:paraId="25071578" w14:textId="3E409134" w:rsidR="00772F14" w:rsidRPr="00263E20" w:rsidRDefault="00BE7FD6" w:rsidP="005E3A00">
      <w:pPr>
        <w:numPr>
          <w:ilvl w:val="0"/>
          <w:numId w:val="2"/>
        </w:numPr>
        <w:tabs>
          <w:tab w:val="num" w:pos="990"/>
        </w:tabs>
        <w:ind w:firstLine="720"/>
        <w:rPr>
          <w:rFonts w:ascii="Times New Roman" w:hAnsi="Times New Roman"/>
        </w:rPr>
      </w:pPr>
      <w:r w:rsidRPr="00263E20">
        <w:rPr>
          <w:rFonts w:ascii="Times New Roman" w:hAnsi="Times New Roman"/>
        </w:rPr>
        <w:t>name</w:t>
      </w:r>
      <w:r w:rsidR="00FD523B" w:rsidRPr="00263E20">
        <w:rPr>
          <w:rFonts w:ascii="Times New Roman" w:hAnsi="Times New Roman"/>
        </w:rPr>
        <w:t xml:space="preserve">, </w:t>
      </w:r>
      <w:r w:rsidRPr="00263E20">
        <w:rPr>
          <w:rFonts w:ascii="Times New Roman" w:hAnsi="Times New Roman"/>
        </w:rPr>
        <w:t>address</w:t>
      </w:r>
      <w:r w:rsidR="00FD523B" w:rsidRPr="00263E20">
        <w:rPr>
          <w:rFonts w:ascii="Times New Roman" w:hAnsi="Times New Roman"/>
        </w:rPr>
        <w:t>, phone number, and email address</w:t>
      </w:r>
      <w:r w:rsidRPr="00263E20">
        <w:rPr>
          <w:rFonts w:ascii="Times New Roman" w:hAnsi="Times New Roman"/>
        </w:rPr>
        <w:t xml:space="preserve"> of shipper (19 CFR 12.112)</w:t>
      </w:r>
    </w:p>
    <w:p w14:paraId="1BCF69D9" w14:textId="77777777" w:rsidR="00772F14" w:rsidRPr="00263E20" w:rsidRDefault="00BE7FD6" w:rsidP="005E3A00">
      <w:pPr>
        <w:numPr>
          <w:ilvl w:val="0"/>
          <w:numId w:val="2"/>
        </w:numPr>
        <w:tabs>
          <w:tab w:val="num" w:pos="990"/>
        </w:tabs>
        <w:ind w:firstLine="720"/>
        <w:rPr>
          <w:rFonts w:ascii="Times New Roman" w:hAnsi="Times New Roman"/>
        </w:rPr>
      </w:pPr>
      <w:r w:rsidRPr="00263E20">
        <w:rPr>
          <w:rFonts w:ascii="Times New Roman" w:hAnsi="Times New Roman"/>
        </w:rPr>
        <w:t>EPA registration number (19 CFR 12.111 and FIFRA Sec. 3)</w:t>
      </w:r>
    </w:p>
    <w:p w14:paraId="7F1C67B8" w14:textId="77777777" w:rsidR="00772F14" w:rsidRPr="00263E20" w:rsidRDefault="00BE7FD6" w:rsidP="005E3A00">
      <w:pPr>
        <w:numPr>
          <w:ilvl w:val="0"/>
          <w:numId w:val="2"/>
        </w:numPr>
        <w:tabs>
          <w:tab w:val="num" w:pos="990"/>
        </w:tabs>
        <w:ind w:firstLine="720"/>
        <w:rPr>
          <w:rFonts w:ascii="Times New Roman" w:hAnsi="Times New Roman"/>
        </w:rPr>
      </w:pPr>
      <w:r w:rsidRPr="00263E20">
        <w:rPr>
          <w:rFonts w:ascii="Times New Roman" w:hAnsi="Times New Roman"/>
        </w:rPr>
        <w:t>EPA producer establishment number (19 CFR 12.112 and FIFRA Sec. 7)</w:t>
      </w:r>
    </w:p>
    <w:p w14:paraId="7FC3FF64" w14:textId="77777777" w:rsidR="0094709C" w:rsidRPr="00263E20" w:rsidRDefault="00BE7FD6" w:rsidP="005E3A00">
      <w:pPr>
        <w:numPr>
          <w:ilvl w:val="0"/>
          <w:numId w:val="2"/>
        </w:numPr>
        <w:tabs>
          <w:tab w:val="num" w:pos="990"/>
        </w:tabs>
        <w:ind w:firstLine="720"/>
        <w:rPr>
          <w:rFonts w:ascii="Times New Roman" w:hAnsi="Times New Roman"/>
        </w:rPr>
      </w:pPr>
      <w:r w:rsidRPr="00263E20">
        <w:rPr>
          <w:rFonts w:ascii="Times New Roman" w:hAnsi="Times New Roman"/>
        </w:rPr>
        <w:t>brand name of product (19 CFR 12.112 and FIFRA Sec. 17(c))</w:t>
      </w:r>
    </w:p>
    <w:p w14:paraId="1D29A1C8" w14:textId="77777777" w:rsidR="000C60AF" w:rsidRPr="00263E20" w:rsidRDefault="00BE7FD6">
      <w:pPr>
        <w:numPr>
          <w:ilvl w:val="0"/>
          <w:numId w:val="2"/>
        </w:numPr>
        <w:tabs>
          <w:tab w:val="num" w:pos="990"/>
        </w:tabs>
        <w:ind w:firstLine="720"/>
        <w:rPr>
          <w:rFonts w:ascii="Times New Roman" w:hAnsi="Times New Roman"/>
        </w:rPr>
      </w:pPr>
      <w:r w:rsidRPr="00263E20">
        <w:rPr>
          <w:rFonts w:ascii="Times New Roman" w:hAnsi="Times New Roman"/>
        </w:rPr>
        <w:t>active ingredients and percentage of each (19 CFR 12.112 and FIFRA Sec.17(c))</w:t>
      </w:r>
    </w:p>
    <w:p w14:paraId="61303246" w14:textId="77777777" w:rsidR="00772F14" w:rsidRPr="00263E20" w:rsidRDefault="00BE7FD6" w:rsidP="005E3A00">
      <w:pPr>
        <w:numPr>
          <w:ilvl w:val="0"/>
          <w:numId w:val="2"/>
        </w:numPr>
        <w:tabs>
          <w:tab w:val="num" w:pos="990"/>
        </w:tabs>
        <w:ind w:firstLine="720"/>
        <w:rPr>
          <w:rFonts w:ascii="Times New Roman" w:hAnsi="Times New Roman"/>
        </w:rPr>
      </w:pPr>
      <w:r w:rsidRPr="00263E20">
        <w:rPr>
          <w:rFonts w:ascii="Times New Roman" w:hAnsi="Times New Roman"/>
        </w:rPr>
        <w:t>unit size, quantity, and total net weight (19 CFR 12.112 and FIFRA Sec. 17(c))</w:t>
      </w:r>
    </w:p>
    <w:p w14:paraId="11057F40" w14:textId="77777777" w:rsidR="00772F14" w:rsidRPr="00263E20" w:rsidRDefault="00BE7FD6" w:rsidP="005E3A00">
      <w:pPr>
        <w:numPr>
          <w:ilvl w:val="0"/>
          <w:numId w:val="2"/>
        </w:numPr>
        <w:tabs>
          <w:tab w:val="num" w:pos="990"/>
        </w:tabs>
        <w:ind w:firstLine="720"/>
        <w:rPr>
          <w:rFonts w:ascii="Times New Roman" w:hAnsi="Times New Roman"/>
        </w:rPr>
      </w:pPr>
      <w:r w:rsidRPr="00263E20">
        <w:rPr>
          <w:rFonts w:ascii="Times New Roman" w:hAnsi="Times New Roman"/>
        </w:rPr>
        <w:t>country of origin (19 CFR 12.112)</w:t>
      </w:r>
    </w:p>
    <w:p w14:paraId="1AEF693C" w14:textId="14318FDF" w:rsidR="00772F14" w:rsidRPr="00263E20" w:rsidRDefault="00BE7FD6" w:rsidP="005E3A00">
      <w:pPr>
        <w:numPr>
          <w:ilvl w:val="0"/>
          <w:numId w:val="2"/>
        </w:numPr>
        <w:tabs>
          <w:tab w:val="num" w:pos="990"/>
        </w:tabs>
        <w:ind w:firstLine="720"/>
        <w:rPr>
          <w:rFonts w:ascii="Times New Roman" w:hAnsi="Times New Roman"/>
        </w:rPr>
      </w:pPr>
      <w:r w:rsidRPr="00263E20">
        <w:rPr>
          <w:rFonts w:ascii="Times New Roman" w:hAnsi="Times New Roman"/>
        </w:rPr>
        <w:t xml:space="preserve">port of entry, entry number, </w:t>
      </w:r>
      <w:r w:rsidR="00FD523B" w:rsidRPr="00263E20">
        <w:rPr>
          <w:rFonts w:ascii="Times New Roman" w:hAnsi="Times New Roman"/>
        </w:rPr>
        <w:t xml:space="preserve">anticipated </w:t>
      </w:r>
      <w:r w:rsidRPr="00263E20">
        <w:rPr>
          <w:rFonts w:ascii="Times New Roman" w:hAnsi="Times New Roman"/>
        </w:rPr>
        <w:t>entry</w:t>
      </w:r>
      <w:r w:rsidR="0094709C" w:rsidRPr="00263E20">
        <w:rPr>
          <w:rFonts w:ascii="Times New Roman" w:hAnsi="Times New Roman"/>
        </w:rPr>
        <w:t xml:space="preserve"> date</w:t>
      </w:r>
      <w:r w:rsidRPr="00263E20">
        <w:rPr>
          <w:rFonts w:ascii="Times New Roman" w:hAnsi="Times New Roman"/>
        </w:rPr>
        <w:t xml:space="preserve"> (19 CFR 12.113)</w:t>
      </w:r>
    </w:p>
    <w:p w14:paraId="6DA4D200" w14:textId="0A3A798C" w:rsidR="00772F14" w:rsidRPr="00263E20" w:rsidRDefault="00FD523B" w:rsidP="005E3A00">
      <w:pPr>
        <w:numPr>
          <w:ilvl w:val="0"/>
          <w:numId w:val="2"/>
        </w:numPr>
        <w:tabs>
          <w:tab w:val="num" w:pos="990"/>
        </w:tabs>
        <w:ind w:firstLine="720"/>
        <w:rPr>
          <w:rFonts w:ascii="Times New Roman" w:hAnsi="Times New Roman"/>
        </w:rPr>
      </w:pPr>
      <w:r w:rsidRPr="00263E20">
        <w:rPr>
          <w:rFonts w:ascii="Times New Roman" w:hAnsi="Times New Roman"/>
        </w:rPr>
        <w:t xml:space="preserve">name, complete address, phone number, and email address of the </w:t>
      </w:r>
      <w:r w:rsidR="00BE7FD6" w:rsidRPr="00263E20">
        <w:rPr>
          <w:rFonts w:ascii="Times New Roman" w:hAnsi="Times New Roman"/>
        </w:rPr>
        <w:t>carrier (19 CFR 12.113)</w:t>
      </w:r>
    </w:p>
    <w:p w14:paraId="67193479" w14:textId="77777777" w:rsidR="00772F14" w:rsidRPr="00263E20" w:rsidRDefault="0094709C" w:rsidP="005E3A00">
      <w:pPr>
        <w:numPr>
          <w:ilvl w:val="0"/>
          <w:numId w:val="2"/>
        </w:numPr>
        <w:tabs>
          <w:tab w:val="num" w:pos="990"/>
        </w:tabs>
        <w:ind w:firstLine="720"/>
        <w:rPr>
          <w:rFonts w:ascii="Times New Roman" w:hAnsi="Times New Roman"/>
        </w:rPr>
      </w:pPr>
      <w:r w:rsidRPr="00263E20">
        <w:rPr>
          <w:rFonts w:ascii="Times New Roman" w:hAnsi="Times New Roman"/>
        </w:rPr>
        <w:t>location of good for examination after importation</w:t>
      </w:r>
      <w:r w:rsidR="00BE7FD6" w:rsidRPr="00263E20">
        <w:rPr>
          <w:rFonts w:ascii="Times New Roman" w:hAnsi="Times New Roman"/>
        </w:rPr>
        <w:t xml:space="preserve"> (19 CFR  12.115)</w:t>
      </w:r>
    </w:p>
    <w:p w14:paraId="4CFEE424" w14:textId="77777777" w:rsidR="00772F14" w:rsidRPr="00263E20" w:rsidRDefault="00772F14" w:rsidP="005E3A00">
      <w:pPr>
        <w:rPr>
          <w:rFonts w:ascii="Times New Roman" w:hAnsi="Times New Roman"/>
        </w:rPr>
      </w:pPr>
    </w:p>
    <w:p w14:paraId="69831F47" w14:textId="4C1D711E" w:rsidR="0094709C" w:rsidRPr="00263E20" w:rsidRDefault="00F53E3C">
      <w:pPr>
        <w:ind w:firstLine="720"/>
        <w:rPr>
          <w:rFonts w:ascii="Times New Roman" w:hAnsi="Times New Roman"/>
          <w:b/>
        </w:rPr>
      </w:pPr>
      <w:r w:rsidRPr="00263E20">
        <w:rPr>
          <w:rFonts w:ascii="Times New Roman" w:hAnsi="Times New Roman"/>
          <w:b/>
        </w:rPr>
        <w:t xml:space="preserve">b. </w:t>
      </w:r>
      <w:r w:rsidR="00FD523B" w:rsidRPr="00263E20">
        <w:rPr>
          <w:rFonts w:ascii="Times New Roman" w:hAnsi="Times New Roman"/>
          <w:b/>
        </w:rPr>
        <w:t>Recommended</w:t>
      </w:r>
      <w:r w:rsidR="00B7475E">
        <w:rPr>
          <w:rFonts w:ascii="Times New Roman" w:hAnsi="Times New Roman"/>
          <w:b/>
        </w:rPr>
        <w:t>/voluntary</w:t>
      </w:r>
      <w:r w:rsidRPr="00263E20">
        <w:rPr>
          <w:rFonts w:ascii="Times New Roman" w:hAnsi="Times New Roman"/>
          <w:b/>
        </w:rPr>
        <w:t xml:space="preserve"> data items</w:t>
      </w:r>
    </w:p>
    <w:p w14:paraId="6653DDB4" w14:textId="77777777" w:rsidR="0094709C" w:rsidRPr="00263E20" w:rsidRDefault="0094709C" w:rsidP="0094709C">
      <w:pPr>
        <w:tabs>
          <w:tab w:val="num" w:pos="990"/>
        </w:tabs>
        <w:ind w:left="720"/>
        <w:rPr>
          <w:rFonts w:ascii="Times New Roman" w:hAnsi="Times New Roman"/>
        </w:rPr>
      </w:pPr>
    </w:p>
    <w:p w14:paraId="3A6D2658" w14:textId="02113828" w:rsidR="00F53E3C" w:rsidRPr="00263E20" w:rsidRDefault="0094709C" w:rsidP="00F53E3C">
      <w:pPr>
        <w:tabs>
          <w:tab w:val="num" w:pos="720"/>
        </w:tabs>
        <w:rPr>
          <w:rFonts w:ascii="Times New Roman" w:hAnsi="Times New Roman"/>
        </w:rPr>
      </w:pPr>
      <w:r w:rsidRPr="00263E20">
        <w:rPr>
          <w:rFonts w:ascii="Times New Roman" w:hAnsi="Times New Roman"/>
        </w:rPr>
        <w:tab/>
      </w:r>
      <w:r w:rsidR="00FD523B" w:rsidRPr="00263E20">
        <w:rPr>
          <w:rFonts w:ascii="Times New Roman" w:hAnsi="Times New Roman"/>
        </w:rPr>
        <w:t>In addition to the required data items identified in section 4(b)(i)(a), EPA recommends that the following data items be included</w:t>
      </w:r>
      <w:r w:rsidR="0055597A" w:rsidRPr="00263E20">
        <w:rPr>
          <w:rFonts w:ascii="Times New Roman" w:hAnsi="Times New Roman"/>
        </w:rPr>
        <w:t xml:space="preserve"> </w:t>
      </w:r>
      <w:r w:rsidR="00304A06">
        <w:rPr>
          <w:rFonts w:ascii="Times New Roman" w:hAnsi="Times New Roman"/>
        </w:rPr>
        <w:t>with the submission of</w:t>
      </w:r>
      <w:r w:rsidR="00304A06" w:rsidRPr="00263E20">
        <w:rPr>
          <w:rFonts w:ascii="Times New Roman" w:hAnsi="Times New Roman"/>
        </w:rPr>
        <w:t xml:space="preserve"> </w:t>
      </w:r>
      <w:r w:rsidR="00766408">
        <w:rPr>
          <w:rFonts w:ascii="Times New Roman" w:hAnsi="Times New Roman"/>
        </w:rPr>
        <w:t>a NOA</w:t>
      </w:r>
      <w:r w:rsidRPr="00263E20">
        <w:rPr>
          <w:rFonts w:ascii="Times New Roman" w:hAnsi="Times New Roman"/>
        </w:rPr>
        <w:t xml:space="preserve"> under this information collection:</w:t>
      </w:r>
    </w:p>
    <w:p w14:paraId="2667983E" w14:textId="47AC67A7" w:rsidR="005405D2" w:rsidRDefault="00625635">
      <w:pPr>
        <w:pStyle w:val="ListParagraph"/>
        <w:numPr>
          <w:ilvl w:val="0"/>
          <w:numId w:val="7"/>
        </w:numPr>
        <w:ind w:left="1080"/>
        <w:rPr>
          <w:rFonts w:ascii="Times New Roman" w:hAnsi="Times New Roman"/>
        </w:rPr>
      </w:pPr>
      <w:r>
        <w:rPr>
          <w:rFonts w:ascii="Times New Roman" w:hAnsi="Times New Roman"/>
        </w:rPr>
        <w:t>W</w:t>
      </w:r>
      <w:r w:rsidR="005405D2" w:rsidRPr="005405D2">
        <w:rPr>
          <w:rFonts w:ascii="Times New Roman" w:hAnsi="Times New Roman"/>
        </w:rPr>
        <w:t>hen importing an unregistered pesticide, provide the CAS</w:t>
      </w:r>
      <w:r w:rsidR="005405D2">
        <w:rPr>
          <w:rFonts w:ascii="Times New Roman" w:hAnsi="Times New Roman"/>
        </w:rPr>
        <w:t xml:space="preserve"> No.</w:t>
      </w:r>
      <w:r w:rsidR="005405D2" w:rsidRPr="005405D2">
        <w:rPr>
          <w:rFonts w:ascii="Times New Roman" w:hAnsi="Times New Roman"/>
        </w:rPr>
        <w:t xml:space="preserve"> or PC code for the active ingredients</w:t>
      </w:r>
      <w:r w:rsidRPr="00625635">
        <w:rPr>
          <w:rFonts w:ascii="Times New Roman" w:hAnsi="Times New Roman"/>
        </w:rPr>
        <w:t xml:space="preserve"> </w:t>
      </w:r>
      <w:r>
        <w:rPr>
          <w:rFonts w:ascii="Times New Roman" w:hAnsi="Times New Roman"/>
        </w:rPr>
        <w:t>in</w:t>
      </w:r>
      <w:r w:rsidRPr="005405D2">
        <w:rPr>
          <w:rFonts w:ascii="Times New Roman" w:hAnsi="Times New Roman"/>
        </w:rPr>
        <w:t xml:space="preserve"> Box 7</w:t>
      </w:r>
      <w:r>
        <w:rPr>
          <w:rFonts w:ascii="Times New Roman" w:hAnsi="Times New Roman"/>
        </w:rPr>
        <w:t>.</w:t>
      </w:r>
      <w:r w:rsidR="005405D2">
        <w:rPr>
          <w:rFonts w:ascii="Times New Roman" w:hAnsi="Times New Roman"/>
        </w:rPr>
        <w:t xml:space="preserve"> </w:t>
      </w:r>
      <w:r w:rsidR="005405D2" w:rsidRPr="005405D2">
        <w:rPr>
          <w:rFonts w:ascii="Times New Roman" w:hAnsi="Times New Roman"/>
        </w:rPr>
        <w:t xml:space="preserve">The CAS </w:t>
      </w:r>
      <w:r w:rsidR="005405D2">
        <w:rPr>
          <w:rFonts w:ascii="Times New Roman" w:hAnsi="Times New Roman"/>
        </w:rPr>
        <w:t>No.</w:t>
      </w:r>
      <w:r w:rsidR="005405D2" w:rsidRPr="005405D2">
        <w:rPr>
          <w:rFonts w:ascii="Times New Roman" w:hAnsi="Times New Roman"/>
        </w:rPr>
        <w:t xml:space="preserve"> and PC code is a unique identifier of the chemical ingredient or substance. Brokers and importers sometimes provide CAS # or PC code because it</w:t>
      </w:r>
      <w:r>
        <w:rPr>
          <w:rFonts w:ascii="Times New Roman" w:hAnsi="Times New Roman"/>
        </w:rPr>
        <w:t xml:space="preserve"> i</w:t>
      </w:r>
      <w:r w:rsidR="005405D2" w:rsidRPr="005405D2">
        <w:rPr>
          <w:rFonts w:ascii="Times New Roman" w:hAnsi="Times New Roman"/>
        </w:rPr>
        <w:t>s faster and more reliable than the chemical name. If the chemical name of the active ingredient for an unregistered pesticide is unknown, it can delay the NOA approval processing.</w:t>
      </w:r>
    </w:p>
    <w:p w14:paraId="6575AAAE" w14:textId="74CB58E7" w:rsidR="00AC4BF1" w:rsidRPr="00263E20" w:rsidRDefault="00D85A1B">
      <w:pPr>
        <w:pStyle w:val="ListParagraph"/>
        <w:numPr>
          <w:ilvl w:val="0"/>
          <w:numId w:val="7"/>
        </w:numPr>
        <w:ind w:left="1080"/>
        <w:rPr>
          <w:rFonts w:ascii="Times New Roman" w:hAnsi="Times New Roman"/>
        </w:rPr>
      </w:pPr>
      <w:r w:rsidRPr="00263E20">
        <w:rPr>
          <w:rFonts w:ascii="Times New Roman" w:hAnsi="Times New Roman"/>
        </w:rPr>
        <w:t>Any additional information</w:t>
      </w:r>
      <w:r w:rsidR="00AC4BF1" w:rsidRPr="00263E20">
        <w:rPr>
          <w:rFonts w:ascii="Times New Roman" w:hAnsi="Times New Roman"/>
        </w:rPr>
        <w:t>, including the intended use and a description of why the product is being imported into the United States</w:t>
      </w:r>
      <w:r w:rsidRPr="00263E20">
        <w:rPr>
          <w:rFonts w:ascii="Times New Roman" w:hAnsi="Times New Roman"/>
        </w:rPr>
        <w:t xml:space="preserve"> (Box 18 on EPA Form 3540-1</w:t>
      </w:r>
      <w:r w:rsidR="006D203F">
        <w:rPr>
          <w:rFonts w:ascii="Times New Roman" w:hAnsi="Times New Roman"/>
        </w:rPr>
        <w:t xml:space="preserve"> (Attachment F)</w:t>
      </w:r>
      <w:r w:rsidRPr="00263E20">
        <w:rPr>
          <w:rFonts w:ascii="Times New Roman" w:hAnsi="Times New Roman"/>
        </w:rPr>
        <w:t>)</w:t>
      </w:r>
      <w:r w:rsidR="00611DE5" w:rsidRPr="00263E20">
        <w:rPr>
          <w:rFonts w:ascii="Times New Roman" w:hAnsi="Times New Roman"/>
        </w:rPr>
        <w:t xml:space="preserve"> or information</w:t>
      </w:r>
      <w:r w:rsidR="00AC4BF1" w:rsidRPr="00263E20">
        <w:rPr>
          <w:rFonts w:ascii="Times New Roman" w:hAnsi="Times New Roman"/>
        </w:rPr>
        <w:t xml:space="preserve"> in the remarks</w:t>
      </w:r>
      <w:r w:rsidR="00611DE5" w:rsidRPr="00263E20">
        <w:rPr>
          <w:rFonts w:ascii="Times New Roman" w:hAnsi="Times New Roman"/>
        </w:rPr>
        <w:t xml:space="preserve"> (Box 19</w:t>
      </w:r>
      <w:r w:rsidR="00632DD5">
        <w:rPr>
          <w:rFonts w:ascii="Times New Roman" w:hAnsi="Times New Roman"/>
        </w:rPr>
        <w:t xml:space="preserve"> on EPA Form 3540-1</w:t>
      </w:r>
      <w:r w:rsidR="00611DE5" w:rsidRPr="00263E20">
        <w:rPr>
          <w:rFonts w:ascii="Times New Roman" w:hAnsi="Times New Roman"/>
        </w:rPr>
        <w:t>)</w:t>
      </w:r>
      <w:r w:rsidR="00AC4BF1" w:rsidRPr="00263E20">
        <w:rPr>
          <w:rFonts w:ascii="Times New Roman" w:hAnsi="Times New Roman"/>
        </w:rPr>
        <w:t xml:space="preserve">. </w:t>
      </w:r>
      <w:r w:rsidR="008011BF">
        <w:rPr>
          <w:rFonts w:ascii="Times New Roman" w:hAnsi="Times New Roman"/>
        </w:rPr>
        <w:t xml:space="preserve">EPA recommends that importers of unregistered pesticides </w:t>
      </w:r>
      <w:r w:rsidR="00304A06">
        <w:rPr>
          <w:rFonts w:ascii="Times New Roman" w:hAnsi="Times New Roman"/>
        </w:rPr>
        <w:t>provide this</w:t>
      </w:r>
      <w:r w:rsidR="00AC4BF1" w:rsidRPr="00263E20">
        <w:rPr>
          <w:rFonts w:ascii="Times New Roman" w:hAnsi="Times New Roman"/>
        </w:rPr>
        <w:t xml:space="preserve"> information </w:t>
      </w:r>
      <w:r w:rsidR="00304A06">
        <w:rPr>
          <w:rFonts w:ascii="Times New Roman" w:hAnsi="Times New Roman"/>
        </w:rPr>
        <w:t>to help</w:t>
      </w:r>
      <w:r w:rsidR="00304A06" w:rsidRPr="00263E20">
        <w:rPr>
          <w:rFonts w:ascii="Times New Roman" w:hAnsi="Times New Roman"/>
        </w:rPr>
        <w:t xml:space="preserve"> </w:t>
      </w:r>
      <w:r w:rsidR="00AC4BF1" w:rsidRPr="00263E20">
        <w:rPr>
          <w:rFonts w:ascii="Times New Roman" w:hAnsi="Times New Roman"/>
        </w:rPr>
        <w:t xml:space="preserve">expedite EPA’s review of the </w:t>
      </w:r>
      <w:r w:rsidR="008D3A70">
        <w:rPr>
          <w:rFonts w:ascii="Times New Roman" w:hAnsi="Times New Roman"/>
        </w:rPr>
        <w:t>NOA</w:t>
      </w:r>
      <w:r w:rsidR="00AC4BF1" w:rsidRPr="00263E20">
        <w:rPr>
          <w:rFonts w:ascii="Times New Roman" w:hAnsi="Times New Roman"/>
        </w:rPr>
        <w:t>.</w:t>
      </w:r>
      <w:r w:rsidR="008011BF">
        <w:rPr>
          <w:rFonts w:ascii="Times New Roman" w:hAnsi="Times New Roman"/>
        </w:rPr>
        <w:t xml:space="preserve"> </w:t>
      </w:r>
      <w:r w:rsidR="00766408">
        <w:rPr>
          <w:rFonts w:ascii="Times New Roman" w:hAnsi="Times New Roman"/>
        </w:rPr>
        <w:t>Electronic filers will be able to provide this information through ACE.</w:t>
      </w:r>
      <w:r w:rsidR="008011BF">
        <w:rPr>
          <w:rFonts w:ascii="Times New Roman" w:hAnsi="Times New Roman"/>
        </w:rPr>
        <w:t xml:space="preserve"> </w:t>
      </w:r>
    </w:p>
    <w:p w14:paraId="1E08CE9A" w14:textId="7E2ED35B" w:rsidR="007F54C6" w:rsidRPr="00263E20" w:rsidRDefault="00125EF3" w:rsidP="007F54C6">
      <w:pPr>
        <w:pStyle w:val="ListParagraph"/>
        <w:numPr>
          <w:ilvl w:val="0"/>
          <w:numId w:val="7"/>
        </w:numPr>
        <w:ind w:left="1080"/>
        <w:rPr>
          <w:rFonts w:ascii="Times New Roman" w:hAnsi="Times New Roman"/>
        </w:rPr>
      </w:pPr>
      <w:r>
        <w:rPr>
          <w:rFonts w:ascii="Times New Roman" w:hAnsi="Times New Roman"/>
        </w:rPr>
        <w:t>A copy of the</w:t>
      </w:r>
      <w:r w:rsidR="007F54C6" w:rsidRPr="00263E20">
        <w:rPr>
          <w:rFonts w:ascii="Times New Roman" w:hAnsi="Times New Roman"/>
        </w:rPr>
        <w:t xml:space="preserve"> </w:t>
      </w:r>
      <w:r w:rsidR="00FC1559" w:rsidRPr="00263E20">
        <w:rPr>
          <w:rFonts w:ascii="Times New Roman" w:hAnsi="Times New Roman"/>
        </w:rPr>
        <w:t xml:space="preserve">product </w:t>
      </w:r>
      <w:r w:rsidR="007F54C6" w:rsidRPr="00263E20">
        <w:rPr>
          <w:rFonts w:ascii="Times New Roman" w:hAnsi="Times New Roman"/>
        </w:rPr>
        <w:t xml:space="preserve">label </w:t>
      </w:r>
      <w:r w:rsidR="00772B5A" w:rsidRPr="00263E20">
        <w:rPr>
          <w:rFonts w:ascii="Times New Roman" w:hAnsi="Times New Roman"/>
        </w:rPr>
        <w:t xml:space="preserve">that is affixed to the imported pesticidal device and pesticide product </w:t>
      </w:r>
      <w:r w:rsidR="007F54C6" w:rsidRPr="00263E20">
        <w:rPr>
          <w:rFonts w:ascii="Times New Roman" w:hAnsi="Times New Roman"/>
        </w:rPr>
        <w:t xml:space="preserve">as part of the standard NOA package. The label allows EPA to verify compliance with FIFRA labeling requirements and may help to resolve issues with a shipment. </w:t>
      </w:r>
      <w:r w:rsidR="0019391C" w:rsidRPr="00263E20">
        <w:rPr>
          <w:rFonts w:ascii="Times New Roman" w:hAnsi="Times New Roman"/>
        </w:rPr>
        <w:t xml:space="preserve">The label also communicates information that may help </w:t>
      </w:r>
      <w:r w:rsidR="00611DE5" w:rsidRPr="00263E20">
        <w:rPr>
          <w:rFonts w:ascii="Times New Roman" w:hAnsi="Times New Roman"/>
        </w:rPr>
        <w:t xml:space="preserve">Customs </w:t>
      </w:r>
      <w:r w:rsidR="0019391C" w:rsidRPr="00263E20">
        <w:rPr>
          <w:rFonts w:ascii="Times New Roman" w:hAnsi="Times New Roman"/>
        </w:rPr>
        <w:t xml:space="preserve">Officers take appropriate precautionary measures when handling these shipments at the port. </w:t>
      </w:r>
      <w:r w:rsidR="007F54C6" w:rsidRPr="00263E20">
        <w:rPr>
          <w:rFonts w:ascii="Times New Roman" w:hAnsi="Times New Roman"/>
        </w:rPr>
        <w:t xml:space="preserve">This </w:t>
      </w:r>
      <w:r w:rsidR="00FD523B" w:rsidRPr="00263E20">
        <w:rPr>
          <w:rFonts w:ascii="Times New Roman" w:hAnsi="Times New Roman"/>
        </w:rPr>
        <w:t xml:space="preserve">recommendation </w:t>
      </w:r>
      <w:r w:rsidR="007F54C6" w:rsidRPr="00263E20">
        <w:rPr>
          <w:rFonts w:ascii="Times New Roman" w:hAnsi="Times New Roman"/>
        </w:rPr>
        <w:t>is accounting for current practice</w:t>
      </w:r>
      <w:r w:rsidR="00CB0360">
        <w:rPr>
          <w:rFonts w:ascii="Times New Roman" w:hAnsi="Times New Roman"/>
        </w:rPr>
        <w:t xml:space="preserve"> </w:t>
      </w:r>
      <w:r w:rsidR="00766408">
        <w:rPr>
          <w:rFonts w:ascii="Times New Roman" w:hAnsi="Times New Roman"/>
        </w:rPr>
        <w:t xml:space="preserve">and </w:t>
      </w:r>
      <w:r w:rsidR="00CB0360">
        <w:rPr>
          <w:rFonts w:ascii="Times New Roman" w:hAnsi="Times New Roman"/>
        </w:rPr>
        <w:t>can</w:t>
      </w:r>
      <w:r w:rsidR="00766408">
        <w:rPr>
          <w:rFonts w:ascii="Times New Roman" w:hAnsi="Times New Roman"/>
        </w:rPr>
        <w:t xml:space="preserve"> be </w:t>
      </w:r>
      <w:r w:rsidR="00CB0360">
        <w:rPr>
          <w:rFonts w:ascii="Times New Roman" w:hAnsi="Times New Roman"/>
        </w:rPr>
        <w:t>provided</w:t>
      </w:r>
      <w:r w:rsidR="00766408">
        <w:rPr>
          <w:rFonts w:ascii="Times New Roman" w:hAnsi="Times New Roman"/>
        </w:rPr>
        <w:t xml:space="preserve"> through paper or electronic filing</w:t>
      </w:r>
      <w:r w:rsidR="007F54C6" w:rsidRPr="00263E20">
        <w:rPr>
          <w:rFonts w:ascii="Times New Roman" w:hAnsi="Times New Roman"/>
        </w:rPr>
        <w:t xml:space="preserve">. </w:t>
      </w:r>
    </w:p>
    <w:p w14:paraId="52EAB7CC" w14:textId="656F464A" w:rsidR="000C60AF" w:rsidRDefault="00FD523B">
      <w:pPr>
        <w:pStyle w:val="ListParagraph"/>
        <w:numPr>
          <w:ilvl w:val="0"/>
          <w:numId w:val="7"/>
        </w:numPr>
        <w:ind w:left="1080"/>
        <w:rPr>
          <w:rFonts w:ascii="Times New Roman" w:hAnsi="Times New Roman"/>
        </w:rPr>
      </w:pPr>
      <w:r w:rsidRPr="00263E20">
        <w:rPr>
          <w:rFonts w:ascii="Times New Roman" w:hAnsi="Times New Roman"/>
        </w:rPr>
        <w:t>S</w:t>
      </w:r>
      <w:r w:rsidR="00881CBE" w:rsidRPr="00263E20">
        <w:rPr>
          <w:rFonts w:ascii="Times New Roman" w:hAnsi="Times New Roman"/>
        </w:rPr>
        <w:t xml:space="preserve">upporting documentation, </w:t>
      </w:r>
      <w:r w:rsidR="007F54C6" w:rsidRPr="00263E20">
        <w:rPr>
          <w:rFonts w:ascii="Times New Roman" w:hAnsi="Times New Roman"/>
        </w:rPr>
        <w:t>such as a</w:t>
      </w:r>
      <w:r w:rsidR="00881CBE" w:rsidRPr="00263E20">
        <w:rPr>
          <w:rFonts w:ascii="Times New Roman" w:hAnsi="Times New Roman"/>
        </w:rPr>
        <w:t xml:space="preserve"> material safety data sheet</w:t>
      </w:r>
      <w:r w:rsidR="007F54C6" w:rsidRPr="00263E20">
        <w:rPr>
          <w:rFonts w:ascii="Times New Roman" w:hAnsi="Times New Roman"/>
        </w:rPr>
        <w:t>s</w:t>
      </w:r>
      <w:r w:rsidR="00C23A7C">
        <w:rPr>
          <w:rFonts w:ascii="Times New Roman" w:hAnsi="Times New Roman"/>
        </w:rPr>
        <w:t xml:space="preserve"> (MSDS)</w:t>
      </w:r>
      <w:r w:rsidR="00881CBE" w:rsidRPr="00263E20">
        <w:rPr>
          <w:rFonts w:ascii="Times New Roman" w:hAnsi="Times New Roman"/>
        </w:rPr>
        <w:t xml:space="preserve">, </w:t>
      </w:r>
      <w:r w:rsidR="007A1B24" w:rsidRPr="00263E20">
        <w:rPr>
          <w:rFonts w:ascii="Times New Roman" w:hAnsi="Times New Roman"/>
        </w:rPr>
        <w:t>Customs</w:t>
      </w:r>
      <w:r w:rsidR="00881CBE" w:rsidRPr="00263E20">
        <w:rPr>
          <w:rFonts w:ascii="Times New Roman" w:hAnsi="Times New Roman"/>
        </w:rPr>
        <w:t xml:space="preserve"> forms 7501</w:t>
      </w:r>
      <w:r w:rsidR="00166F58" w:rsidRPr="00263E20">
        <w:rPr>
          <w:rFonts w:ascii="Times New Roman" w:hAnsi="Times New Roman"/>
        </w:rPr>
        <w:t xml:space="preserve"> or </w:t>
      </w:r>
      <w:r w:rsidR="00881CBE" w:rsidRPr="00263E20">
        <w:rPr>
          <w:rFonts w:ascii="Times New Roman" w:hAnsi="Times New Roman"/>
        </w:rPr>
        <w:t>3461 other information submitted</w:t>
      </w:r>
      <w:r w:rsidR="00E52B2F" w:rsidRPr="00263E20">
        <w:rPr>
          <w:rFonts w:ascii="Times New Roman" w:hAnsi="Times New Roman"/>
        </w:rPr>
        <w:t xml:space="preserve"> to </w:t>
      </w:r>
      <w:r w:rsidR="007A1B24" w:rsidRPr="00263E20">
        <w:rPr>
          <w:rFonts w:ascii="Times New Roman" w:hAnsi="Times New Roman"/>
        </w:rPr>
        <w:t>Customs</w:t>
      </w:r>
      <w:r w:rsidR="00881CBE" w:rsidRPr="00263E20">
        <w:rPr>
          <w:rFonts w:ascii="Times New Roman" w:hAnsi="Times New Roman"/>
        </w:rPr>
        <w:t xml:space="preserve"> pursuant to 19 CFR 142.3(5)</w:t>
      </w:r>
      <w:r w:rsidR="007F54C6" w:rsidRPr="00263E20">
        <w:rPr>
          <w:rFonts w:ascii="Times New Roman" w:hAnsi="Times New Roman"/>
        </w:rPr>
        <w:t xml:space="preserve">, that may assist EPA in evaluating the shipment. The Customs entry forms allow EPA to verify that the information submitted on an NOA is accurate. The MSDS provides EPA inspectors with information about the proper handling of the shipment when an inspection is required. </w:t>
      </w:r>
      <w:r w:rsidR="00881CBE" w:rsidRPr="00263E20">
        <w:rPr>
          <w:rFonts w:ascii="Times New Roman" w:hAnsi="Times New Roman"/>
        </w:rPr>
        <w:t xml:space="preserve">This </w:t>
      </w:r>
      <w:r w:rsidRPr="00263E20">
        <w:rPr>
          <w:rFonts w:ascii="Times New Roman" w:hAnsi="Times New Roman"/>
        </w:rPr>
        <w:t xml:space="preserve">recommendation </w:t>
      </w:r>
      <w:r w:rsidR="00881CBE" w:rsidRPr="00263E20">
        <w:rPr>
          <w:rFonts w:ascii="Times New Roman" w:hAnsi="Times New Roman"/>
        </w:rPr>
        <w:t>is accounting for current practice</w:t>
      </w:r>
      <w:r w:rsidR="00CB0360">
        <w:rPr>
          <w:rFonts w:ascii="Times New Roman" w:hAnsi="Times New Roman"/>
        </w:rPr>
        <w:t xml:space="preserve"> and can be provided through paper or electronic filing</w:t>
      </w:r>
      <w:r w:rsidR="00881CBE" w:rsidRPr="00263E20">
        <w:rPr>
          <w:rFonts w:ascii="Times New Roman" w:hAnsi="Times New Roman"/>
        </w:rPr>
        <w:t xml:space="preserve">. </w:t>
      </w:r>
    </w:p>
    <w:p w14:paraId="1199DC63" w14:textId="77777777" w:rsidR="000C60AF" w:rsidRPr="00263E20" w:rsidRDefault="000C60AF">
      <w:pPr>
        <w:tabs>
          <w:tab w:val="num" w:pos="720"/>
        </w:tabs>
        <w:rPr>
          <w:rFonts w:ascii="Times New Roman" w:hAnsi="Times New Roman"/>
        </w:rPr>
      </w:pPr>
    </w:p>
    <w:p w14:paraId="56A87C2F" w14:textId="77777777" w:rsidR="00772F14" w:rsidRPr="00263E20" w:rsidRDefault="00F53E3C">
      <w:pPr>
        <w:ind w:firstLine="720"/>
        <w:rPr>
          <w:rFonts w:ascii="Times New Roman" w:hAnsi="Times New Roman"/>
          <w:b/>
        </w:rPr>
      </w:pPr>
      <w:r w:rsidRPr="00263E20">
        <w:rPr>
          <w:rFonts w:ascii="Times New Roman" w:hAnsi="Times New Roman"/>
          <w:b/>
        </w:rPr>
        <w:t>(ii) Respondent Activities</w:t>
      </w:r>
    </w:p>
    <w:p w14:paraId="37A2030C" w14:textId="77777777" w:rsidR="00794A89" w:rsidRPr="00263E20" w:rsidRDefault="00794A89">
      <w:pPr>
        <w:ind w:firstLine="720"/>
        <w:rPr>
          <w:rFonts w:ascii="Times New Roman" w:hAnsi="Times New Roman"/>
        </w:rPr>
      </w:pPr>
    </w:p>
    <w:p w14:paraId="57DD69C1" w14:textId="06782605" w:rsidR="00772F14" w:rsidRPr="00263E20" w:rsidRDefault="00BE7FD6" w:rsidP="005E3A00">
      <w:pPr>
        <w:numPr>
          <w:ilvl w:val="0"/>
          <w:numId w:val="3"/>
        </w:numPr>
        <w:tabs>
          <w:tab w:val="clear" w:pos="1440"/>
          <w:tab w:val="left" w:pos="1080"/>
          <w:tab w:val="num" w:pos="1260"/>
        </w:tabs>
        <w:ind w:left="1260" w:hanging="540"/>
        <w:rPr>
          <w:rFonts w:ascii="Times New Roman" w:hAnsi="Times New Roman"/>
        </w:rPr>
      </w:pPr>
      <w:r w:rsidRPr="00263E20">
        <w:rPr>
          <w:rFonts w:ascii="Times New Roman" w:hAnsi="Times New Roman"/>
        </w:rPr>
        <w:t xml:space="preserve">Read instructions </w:t>
      </w:r>
    </w:p>
    <w:p w14:paraId="642F010E" w14:textId="77777777" w:rsidR="00772F14" w:rsidRPr="00263E20" w:rsidRDefault="00BE7FD6" w:rsidP="005E3A00">
      <w:pPr>
        <w:numPr>
          <w:ilvl w:val="0"/>
          <w:numId w:val="3"/>
        </w:numPr>
        <w:tabs>
          <w:tab w:val="clear" w:pos="1440"/>
          <w:tab w:val="left" w:pos="1080"/>
          <w:tab w:val="num" w:pos="1260"/>
        </w:tabs>
        <w:ind w:left="1260" w:hanging="540"/>
        <w:rPr>
          <w:rFonts w:ascii="Times New Roman" w:hAnsi="Times New Roman"/>
        </w:rPr>
      </w:pPr>
      <w:r w:rsidRPr="00263E20">
        <w:rPr>
          <w:rFonts w:ascii="Times New Roman" w:hAnsi="Times New Roman"/>
        </w:rPr>
        <w:t>Plan activities-</w:t>
      </w:r>
      <w:r w:rsidR="007A1B24" w:rsidRPr="00263E20">
        <w:rPr>
          <w:rFonts w:ascii="Times New Roman" w:hAnsi="Times New Roman"/>
        </w:rPr>
        <w:t>CBP</w:t>
      </w:r>
    </w:p>
    <w:p w14:paraId="7A485E28" w14:textId="77777777" w:rsidR="00772F14" w:rsidRPr="00263E20" w:rsidRDefault="00BE7FD6" w:rsidP="005E3A00">
      <w:pPr>
        <w:numPr>
          <w:ilvl w:val="0"/>
          <w:numId w:val="3"/>
        </w:numPr>
        <w:tabs>
          <w:tab w:val="clear" w:pos="1440"/>
          <w:tab w:val="left" w:pos="1080"/>
          <w:tab w:val="num" w:pos="1260"/>
        </w:tabs>
        <w:ind w:left="1260" w:hanging="540"/>
        <w:rPr>
          <w:rFonts w:ascii="Times New Roman" w:hAnsi="Times New Roman"/>
        </w:rPr>
      </w:pPr>
      <w:r w:rsidRPr="00263E20">
        <w:rPr>
          <w:rFonts w:ascii="Times New Roman" w:hAnsi="Times New Roman"/>
        </w:rPr>
        <w:t>Gather information</w:t>
      </w:r>
    </w:p>
    <w:p w14:paraId="45513033" w14:textId="1336306B" w:rsidR="00014306" w:rsidRPr="00263E20" w:rsidRDefault="00BE7FD6" w:rsidP="005E3A00">
      <w:pPr>
        <w:numPr>
          <w:ilvl w:val="0"/>
          <w:numId w:val="3"/>
        </w:numPr>
        <w:tabs>
          <w:tab w:val="clear" w:pos="1440"/>
          <w:tab w:val="left" w:pos="1080"/>
          <w:tab w:val="num" w:pos="1260"/>
        </w:tabs>
        <w:ind w:left="1260" w:hanging="540"/>
        <w:rPr>
          <w:rFonts w:ascii="Times New Roman" w:hAnsi="Times New Roman"/>
        </w:rPr>
      </w:pPr>
      <w:r w:rsidRPr="00263E20">
        <w:rPr>
          <w:rFonts w:ascii="Times New Roman" w:hAnsi="Times New Roman"/>
        </w:rPr>
        <w:t>Enter information on Form 3540-1</w:t>
      </w:r>
      <w:r w:rsidR="00632DD5">
        <w:rPr>
          <w:rFonts w:ascii="Times New Roman" w:hAnsi="Times New Roman"/>
        </w:rPr>
        <w:t xml:space="preserve"> or its </w:t>
      </w:r>
      <w:r w:rsidR="00912C29">
        <w:rPr>
          <w:rFonts w:ascii="Times New Roman" w:hAnsi="Times New Roman"/>
        </w:rPr>
        <w:t>Customs</w:t>
      </w:r>
      <w:r w:rsidR="00632DD5">
        <w:rPr>
          <w:rFonts w:ascii="Times New Roman" w:hAnsi="Times New Roman"/>
        </w:rPr>
        <w:t>-authorized electronic equivalent</w:t>
      </w:r>
      <w:r w:rsidR="00CE255F" w:rsidRPr="00263E20">
        <w:rPr>
          <w:rFonts w:ascii="Times New Roman" w:hAnsi="Times New Roman"/>
        </w:rPr>
        <w:t xml:space="preserve"> </w:t>
      </w:r>
      <w:r w:rsidRPr="00263E20">
        <w:rPr>
          <w:rFonts w:ascii="Times New Roman" w:hAnsi="Times New Roman"/>
        </w:rPr>
        <w:t xml:space="preserve">and submit </w:t>
      </w:r>
      <w:r w:rsidR="00632DD5">
        <w:rPr>
          <w:rFonts w:ascii="Times New Roman" w:hAnsi="Times New Roman"/>
        </w:rPr>
        <w:t>the information</w:t>
      </w:r>
      <w:r w:rsidR="007F54C6" w:rsidRPr="00263E20">
        <w:rPr>
          <w:rFonts w:ascii="Times New Roman" w:hAnsi="Times New Roman"/>
        </w:rPr>
        <w:t xml:space="preserve">, including </w:t>
      </w:r>
      <w:r w:rsidR="00053573" w:rsidRPr="00263E20">
        <w:rPr>
          <w:rFonts w:ascii="Times New Roman" w:hAnsi="Times New Roman"/>
        </w:rPr>
        <w:t>the</w:t>
      </w:r>
      <w:r w:rsidR="007F54C6" w:rsidRPr="00263E20">
        <w:rPr>
          <w:rFonts w:ascii="Times New Roman" w:hAnsi="Times New Roman"/>
        </w:rPr>
        <w:t xml:space="preserve"> label, </w:t>
      </w:r>
      <w:r w:rsidRPr="00263E20">
        <w:rPr>
          <w:rFonts w:ascii="Times New Roman" w:hAnsi="Times New Roman"/>
        </w:rPr>
        <w:t xml:space="preserve">to EPA prior to arrival of pesticide or </w:t>
      </w:r>
      <w:r w:rsidR="001D582F" w:rsidRPr="00263E20">
        <w:rPr>
          <w:rFonts w:ascii="Times New Roman" w:hAnsi="Times New Roman"/>
        </w:rPr>
        <w:t xml:space="preserve">pesticidal </w:t>
      </w:r>
      <w:r w:rsidRPr="00263E20">
        <w:rPr>
          <w:rFonts w:ascii="Times New Roman" w:hAnsi="Times New Roman"/>
        </w:rPr>
        <w:t>device product</w:t>
      </w:r>
      <w:r w:rsidR="00EB2100" w:rsidRPr="00263E20">
        <w:rPr>
          <w:rFonts w:ascii="Times New Roman" w:hAnsi="Times New Roman"/>
        </w:rPr>
        <w:t xml:space="preserve"> </w:t>
      </w:r>
    </w:p>
    <w:p w14:paraId="56B2DE2E" w14:textId="77030758" w:rsidR="00014306" w:rsidRPr="00263E20" w:rsidRDefault="00BE7FD6" w:rsidP="005E3A00">
      <w:pPr>
        <w:numPr>
          <w:ilvl w:val="0"/>
          <w:numId w:val="3"/>
        </w:numPr>
        <w:tabs>
          <w:tab w:val="clear" w:pos="1440"/>
          <w:tab w:val="left" w:pos="1080"/>
          <w:tab w:val="num" w:pos="1260"/>
        </w:tabs>
        <w:ind w:left="1260" w:hanging="540"/>
        <w:rPr>
          <w:rFonts w:ascii="Times New Roman" w:hAnsi="Times New Roman"/>
        </w:rPr>
      </w:pPr>
      <w:r w:rsidRPr="00263E20">
        <w:rPr>
          <w:rFonts w:ascii="Times New Roman" w:hAnsi="Times New Roman"/>
        </w:rPr>
        <w:t xml:space="preserve">Respond to questions if further </w:t>
      </w:r>
      <w:r w:rsidR="00772B5A" w:rsidRPr="00263E20">
        <w:rPr>
          <w:rFonts w:ascii="Times New Roman" w:hAnsi="Times New Roman"/>
        </w:rPr>
        <w:t>inquiries</w:t>
      </w:r>
      <w:r w:rsidRPr="00263E20">
        <w:rPr>
          <w:rFonts w:ascii="Times New Roman" w:hAnsi="Times New Roman"/>
        </w:rPr>
        <w:t xml:space="preserve"> are made by EPA</w:t>
      </w:r>
    </w:p>
    <w:p w14:paraId="270279C2" w14:textId="4EE42370" w:rsidR="00772F14" w:rsidRPr="00263E20" w:rsidRDefault="00632DD5" w:rsidP="005E3A00">
      <w:pPr>
        <w:numPr>
          <w:ilvl w:val="0"/>
          <w:numId w:val="3"/>
        </w:numPr>
        <w:tabs>
          <w:tab w:val="clear" w:pos="1440"/>
          <w:tab w:val="left" w:pos="1080"/>
          <w:tab w:val="num" w:pos="1260"/>
        </w:tabs>
        <w:ind w:left="1260" w:hanging="540"/>
        <w:rPr>
          <w:rFonts w:ascii="Times New Roman" w:hAnsi="Times New Roman"/>
        </w:rPr>
      </w:pPr>
      <w:r>
        <w:rPr>
          <w:rFonts w:ascii="Times New Roman" w:hAnsi="Times New Roman"/>
        </w:rPr>
        <w:t xml:space="preserve">If </w:t>
      </w:r>
      <w:r w:rsidR="006F5DC6">
        <w:rPr>
          <w:rFonts w:ascii="Times New Roman" w:hAnsi="Times New Roman"/>
        </w:rPr>
        <w:t xml:space="preserve">using the paper </w:t>
      </w:r>
      <w:r w:rsidR="00BE7FD6" w:rsidRPr="00263E20">
        <w:rPr>
          <w:rFonts w:ascii="Times New Roman" w:hAnsi="Times New Roman"/>
        </w:rPr>
        <w:t>Form 3540-1</w:t>
      </w:r>
      <w:r w:rsidR="00B55B70" w:rsidRPr="00263E20">
        <w:rPr>
          <w:rFonts w:ascii="Times New Roman" w:hAnsi="Times New Roman"/>
        </w:rPr>
        <w:t>, after it is reviewed</w:t>
      </w:r>
      <w:r w:rsidR="00126204" w:rsidRPr="00263E20">
        <w:rPr>
          <w:rFonts w:ascii="Times New Roman" w:hAnsi="Times New Roman"/>
        </w:rPr>
        <w:t xml:space="preserve"> and signed</w:t>
      </w:r>
      <w:r w:rsidR="00B55B70" w:rsidRPr="00263E20">
        <w:rPr>
          <w:rFonts w:ascii="Times New Roman" w:hAnsi="Times New Roman"/>
        </w:rPr>
        <w:t xml:space="preserve"> by EPA,</w:t>
      </w:r>
      <w:r w:rsidR="00BE7FD6" w:rsidRPr="00263E20">
        <w:rPr>
          <w:rFonts w:ascii="Times New Roman" w:hAnsi="Times New Roman"/>
        </w:rPr>
        <w:t xml:space="preserve"> </w:t>
      </w:r>
      <w:r w:rsidR="006F5DC6">
        <w:rPr>
          <w:rFonts w:ascii="Times New Roman" w:hAnsi="Times New Roman"/>
        </w:rPr>
        <w:t xml:space="preserve">provide </w:t>
      </w:r>
      <w:r w:rsidR="00BE7FD6" w:rsidRPr="00263E20">
        <w:rPr>
          <w:rFonts w:ascii="Times New Roman" w:hAnsi="Times New Roman"/>
        </w:rPr>
        <w:t xml:space="preserve">to Customs </w:t>
      </w:r>
    </w:p>
    <w:p w14:paraId="2505C24C" w14:textId="77777777" w:rsidR="00772F14" w:rsidRPr="00263E20" w:rsidRDefault="00BE7FD6" w:rsidP="005E3A00">
      <w:pPr>
        <w:numPr>
          <w:ilvl w:val="0"/>
          <w:numId w:val="3"/>
        </w:numPr>
        <w:tabs>
          <w:tab w:val="clear" w:pos="1440"/>
          <w:tab w:val="left" w:pos="1080"/>
          <w:tab w:val="num" w:pos="1260"/>
        </w:tabs>
        <w:ind w:left="1260" w:hanging="540"/>
        <w:rPr>
          <w:rFonts w:ascii="Times New Roman" w:hAnsi="Times New Roman"/>
        </w:rPr>
      </w:pPr>
      <w:r w:rsidRPr="00263E20">
        <w:rPr>
          <w:rFonts w:ascii="Times New Roman" w:hAnsi="Times New Roman"/>
        </w:rPr>
        <w:t>Plan and review information for accuracy</w:t>
      </w:r>
    </w:p>
    <w:p w14:paraId="68FBA7A3" w14:textId="77777777" w:rsidR="00772F14" w:rsidRPr="00263E20" w:rsidRDefault="00BE7FD6" w:rsidP="005E3A00">
      <w:pPr>
        <w:numPr>
          <w:ilvl w:val="0"/>
          <w:numId w:val="3"/>
        </w:numPr>
        <w:tabs>
          <w:tab w:val="clear" w:pos="1440"/>
          <w:tab w:val="left" w:pos="1080"/>
          <w:tab w:val="num" w:pos="1260"/>
        </w:tabs>
        <w:ind w:left="1260" w:hanging="540"/>
        <w:rPr>
          <w:rFonts w:ascii="Times New Roman" w:hAnsi="Times New Roman"/>
        </w:rPr>
      </w:pPr>
      <w:r w:rsidRPr="00263E20">
        <w:rPr>
          <w:rFonts w:ascii="Times New Roman" w:hAnsi="Times New Roman"/>
        </w:rPr>
        <w:t>Store, file, and maintain the information</w:t>
      </w:r>
    </w:p>
    <w:p w14:paraId="48BB3B32" w14:textId="77777777" w:rsidR="00772B5A" w:rsidRPr="00263E20" w:rsidRDefault="00772B5A">
      <w:pPr>
        <w:ind w:firstLine="720"/>
        <w:rPr>
          <w:rFonts w:ascii="Times New Roman" w:hAnsi="Times New Roman"/>
        </w:rPr>
      </w:pPr>
    </w:p>
    <w:p w14:paraId="53AB363C" w14:textId="0F2E4EBF" w:rsidR="00772F14" w:rsidRPr="00263E20" w:rsidRDefault="007A1B24">
      <w:pPr>
        <w:ind w:firstLine="720"/>
        <w:rPr>
          <w:rFonts w:ascii="Times New Roman" w:hAnsi="Times New Roman"/>
        </w:rPr>
      </w:pPr>
      <w:r w:rsidRPr="00263E20">
        <w:rPr>
          <w:rFonts w:ascii="Times New Roman" w:hAnsi="Times New Roman"/>
        </w:rPr>
        <w:t>C</w:t>
      </w:r>
      <w:r w:rsidR="005C7CB6" w:rsidRPr="00263E20">
        <w:rPr>
          <w:rFonts w:ascii="Times New Roman" w:hAnsi="Times New Roman"/>
        </w:rPr>
        <w:t>BP means ”</w:t>
      </w:r>
      <w:r w:rsidR="00BE7FD6" w:rsidRPr="00263E20">
        <w:rPr>
          <w:rFonts w:ascii="Times New Roman" w:hAnsi="Times New Roman"/>
        </w:rPr>
        <w:t>Customary and Usual Business Practice</w:t>
      </w:r>
      <w:r w:rsidR="005C7CB6" w:rsidRPr="00263E20">
        <w:rPr>
          <w:rFonts w:ascii="Times New Roman" w:hAnsi="Times New Roman"/>
        </w:rPr>
        <w:t>;</w:t>
      </w:r>
      <w:r w:rsidR="00BE7FD6" w:rsidRPr="00263E20">
        <w:rPr>
          <w:rFonts w:ascii="Times New Roman" w:hAnsi="Times New Roman"/>
        </w:rPr>
        <w:t xml:space="preserve">"  </w:t>
      </w:r>
      <w:r w:rsidR="003F7440" w:rsidRPr="00263E20">
        <w:rPr>
          <w:rFonts w:ascii="Times New Roman" w:hAnsi="Times New Roman"/>
        </w:rPr>
        <w:t>d</w:t>
      </w:r>
      <w:r w:rsidR="00BE7FD6" w:rsidRPr="00263E20">
        <w:rPr>
          <w:rFonts w:ascii="Times New Roman" w:hAnsi="Times New Roman"/>
        </w:rPr>
        <w:t xml:space="preserve">uring the course of normal and prudent business operations, a </w:t>
      </w:r>
      <w:r w:rsidR="000212A9" w:rsidRPr="00263E20">
        <w:rPr>
          <w:rFonts w:ascii="Times New Roman" w:hAnsi="Times New Roman"/>
        </w:rPr>
        <w:t>respondent</w:t>
      </w:r>
      <w:r w:rsidR="00BE7FD6" w:rsidRPr="00263E20">
        <w:rPr>
          <w:rFonts w:ascii="Times New Roman" w:hAnsi="Times New Roman"/>
        </w:rPr>
        <w:t xml:space="preserve"> would plan </w:t>
      </w:r>
      <w:r w:rsidR="00845B84" w:rsidRPr="00263E20">
        <w:rPr>
          <w:rFonts w:ascii="Times New Roman" w:hAnsi="Times New Roman"/>
        </w:rPr>
        <w:t xml:space="preserve">activities for this </w:t>
      </w:r>
      <w:r w:rsidR="00BE7FD6" w:rsidRPr="00263E20">
        <w:rPr>
          <w:rFonts w:ascii="Times New Roman" w:hAnsi="Times New Roman"/>
        </w:rPr>
        <w:t>information collection</w:t>
      </w:r>
      <w:r w:rsidR="00845B84" w:rsidRPr="00263E20">
        <w:rPr>
          <w:rFonts w:ascii="Times New Roman" w:hAnsi="Times New Roman"/>
        </w:rPr>
        <w:t>,</w:t>
      </w:r>
      <w:r w:rsidR="00BE7FD6" w:rsidRPr="00263E20">
        <w:rPr>
          <w:rFonts w:ascii="Times New Roman" w:hAnsi="Times New Roman"/>
        </w:rPr>
        <w:t xml:space="preserve"> arrange for the collection, review the information for accuracy</w:t>
      </w:r>
      <w:r w:rsidR="00772F14" w:rsidRPr="00263E20">
        <w:rPr>
          <w:rFonts w:ascii="Times New Roman" w:hAnsi="Times New Roman"/>
        </w:rPr>
        <w:t xml:space="preserve">, and arrange to maintain or store the information detailed under 4(b) above. The </w:t>
      </w:r>
      <w:r w:rsidR="00CA7C06">
        <w:rPr>
          <w:rFonts w:ascii="Times New Roman" w:hAnsi="Times New Roman"/>
        </w:rPr>
        <w:t>i</w:t>
      </w:r>
      <w:r w:rsidR="00772F14" w:rsidRPr="00263E20">
        <w:rPr>
          <w:rFonts w:ascii="Times New Roman" w:hAnsi="Times New Roman"/>
        </w:rPr>
        <w:t>nformation to be kept is generally information that prudent businesses would maintai</w:t>
      </w:r>
      <w:r w:rsidR="000212A9" w:rsidRPr="00263E20">
        <w:rPr>
          <w:rFonts w:ascii="Times New Roman" w:hAnsi="Times New Roman"/>
        </w:rPr>
        <w:t>n.</w:t>
      </w:r>
    </w:p>
    <w:p w14:paraId="6A4C8E0F" w14:textId="77777777" w:rsidR="00772F14" w:rsidRPr="00263E20" w:rsidRDefault="00772F14">
      <w:pPr>
        <w:rPr>
          <w:rFonts w:ascii="Times New Roman" w:hAnsi="Times New Roman"/>
        </w:rPr>
      </w:pPr>
    </w:p>
    <w:p w14:paraId="15F2D5BB" w14:textId="6F53116D" w:rsidR="00A936C2" w:rsidRPr="00263E20" w:rsidRDefault="00BE7FD6">
      <w:pPr>
        <w:keepNext/>
        <w:rPr>
          <w:rFonts w:ascii="Times New Roman" w:hAnsi="Times New Roman"/>
        </w:rPr>
      </w:pPr>
      <w:r w:rsidRPr="00263E20">
        <w:rPr>
          <w:rFonts w:ascii="Times New Roman" w:hAnsi="Times New Roman"/>
          <w:b/>
          <w:bCs/>
        </w:rPr>
        <w:t>5. The Information Collected</w:t>
      </w:r>
      <w:r w:rsidR="006D1B19">
        <w:rPr>
          <w:rFonts w:ascii="Times New Roman" w:hAnsi="Times New Roman"/>
          <w:b/>
          <w:bCs/>
        </w:rPr>
        <w:t xml:space="preserve"> </w:t>
      </w:r>
      <w:r w:rsidRPr="00263E20">
        <w:rPr>
          <w:rFonts w:ascii="Times New Roman" w:hAnsi="Times New Roman"/>
          <w:b/>
          <w:bCs/>
        </w:rPr>
        <w:t>-</w:t>
      </w:r>
      <w:r w:rsidR="006D1B19">
        <w:rPr>
          <w:rFonts w:ascii="Times New Roman" w:hAnsi="Times New Roman"/>
          <w:b/>
          <w:bCs/>
        </w:rPr>
        <w:t xml:space="preserve"> </w:t>
      </w:r>
      <w:r w:rsidRPr="00263E20">
        <w:rPr>
          <w:rFonts w:ascii="Times New Roman" w:hAnsi="Times New Roman"/>
          <w:b/>
          <w:bCs/>
        </w:rPr>
        <w:t>Agency Activities, Collection Methodology, and Information Management</w:t>
      </w:r>
      <w:r w:rsidRPr="00263E20">
        <w:rPr>
          <w:rFonts w:ascii="Times New Roman" w:hAnsi="Times New Roman"/>
        </w:rPr>
        <w:t>.</w:t>
      </w:r>
    </w:p>
    <w:p w14:paraId="1FFE1936" w14:textId="77777777" w:rsidR="00A936C2" w:rsidRPr="00263E20" w:rsidRDefault="00A936C2">
      <w:pPr>
        <w:keepNext/>
        <w:rPr>
          <w:rFonts w:ascii="Times New Roman" w:hAnsi="Times New Roman"/>
        </w:rPr>
      </w:pPr>
    </w:p>
    <w:p w14:paraId="721A01E2" w14:textId="77777777" w:rsidR="00A936C2" w:rsidRPr="00263E20" w:rsidRDefault="00BE7FD6">
      <w:pPr>
        <w:keepNext/>
        <w:ind w:firstLine="720"/>
        <w:rPr>
          <w:rFonts w:ascii="Times New Roman" w:hAnsi="Times New Roman"/>
          <w:b/>
          <w:bCs/>
        </w:rPr>
      </w:pPr>
      <w:r w:rsidRPr="00263E20">
        <w:rPr>
          <w:rFonts w:ascii="Times New Roman" w:hAnsi="Times New Roman"/>
          <w:b/>
          <w:bCs/>
        </w:rPr>
        <w:t>5(a) Agency Activities</w:t>
      </w:r>
    </w:p>
    <w:p w14:paraId="6AC73010" w14:textId="77777777" w:rsidR="00A936C2" w:rsidRPr="00263E20" w:rsidRDefault="00A936C2">
      <w:pPr>
        <w:keepNext/>
        <w:rPr>
          <w:rFonts w:ascii="Times New Roman" w:hAnsi="Times New Roman"/>
          <w:b/>
          <w:bCs/>
        </w:rPr>
      </w:pPr>
    </w:p>
    <w:p w14:paraId="768BC47B" w14:textId="297D70BD" w:rsidR="00A936C2" w:rsidRPr="00263E20" w:rsidRDefault="003822C6">
      <w:pPr>
        <w:keepNext/>
        <w:ind w:firstLine="720"/>
        <w:rPr>
          <w:rFonts w:ascii="Times New Roman" w:hAnsi="Times New Roman"/>
        </w:rPr>
      </w:pPr>
      <w:r w:rsidRPr="00263E20">
        <w:rPr>
          <w:rFonts w:ascii="Times New Roman" w:hAnsi="Times New Roman"/>
        </w:rPr>
        <w:t>EPA</w:t>
      </w:r>
      <w:r w:rsidR="00D55BDD" w:rsidRPr="00263E20">
        <w:rPr>
          <w:rFonts w:ascii="Times New Roman" w:hAnsi="Times New Roman"/>
        </w:rPr>
        <w:t xml:space="preserve"> regional personnel review</w:t>
      </w:r>
      <w:r w:rsidR="00B1765D">
        <w:rPr>
          <w:rFonts w:ascii="Times New Roman" w:hAnsi="Times New Roman"/>
        </w:rPr>
        <w:t xml:space="preserve">s the submitted information </w:t>
      </w:r>
      <w:r w:rsidR="00D55BDD" w:rsidRPr="00263E20">
        <w:rPr>
          <w:rFonts w:ascii="Times New Roman" w:hAnsi="Times New Roman"/>
        </w:rPr>
        <w:t>for accuracy and completeness and maintain</w:t>
      </w:r>
      <w:r w:rsidR="00B1765D">
        <w:rPr>
          <w:rFonts w:ascii="Times New Roman" w:hAnsi="Times New Roman"/>
        </w:rPr>
        <w:t>s</w:t>
      </w:r>
      <w:r w:rsidR="00D55BDD" w:rsidRPr="00263E20">
        <w:rPr>
          <w:rFonts w:ascii="Times New Roman" w:hAnsi="Times New Roman"/>
        </w:rPr>
        <w:t xml:space="preserve"> files of the NOA for inspection and targeting. If all information is complete and accurate, the Agency reviewer signs and returns the form to the importer. </w:t>
      </w:r>
      <w:r w:rsidR="00567F79" w:rsidRPr="00263E20">
        <w:rPr>
          <w:rFonts w:ascii="Times New Roman" w:hAnsi="Times New Roman"/>
        </w:rPr>
        <w:t>An incomplete NOA</w:t>
      </w:r>
      <w:r w:rsidR="00D55BDD" w:rsidRPr="00263E20">
        <w:rPr>
          <w:rFonts w:ascii="Times New Roman" w:hAnsi="Times New Roman"/>
        </w:rPr>
        <w:t xml:space="preserve"> may require additional follow-up in order to determine the disposition of the pesticide or </w:t>
      </w:r>
      <w:r w:rsidR="001D582F" w:rsidRPr="00263E20">
        <w:rPr>
          <w:rFonts w:ascii="Times New Roman" w:hAnsi="Times New Roman"/>
        </w:rPr>
        <w:t xml:space="preserve">pesticidal </w:t>
      </w:r>
      <w:r w:rsidR="00D55BDD" w:rsidRPr="00263E20">
        <w:rPr>
          <w:rFonts w:ascii="Times New Roman" w:hAnsi="Times New Roman"/>
        </w:rPr>
        <w:t>device shipment.</w:t>
      </w:r>
      <w:r w:rsidRPr="00263E20">
        <w:rPr>
          <w:rFonts w:ascii="Times New Roman" w:hAnsi="Times New Roman"/>
        </w:rPr>
        <w:t xml:space="preserve"> EPA regional personnel also work with </w:t>
      </w:r>
      <w:r w:rsidR="007A1B24" w:rsidRPr="00263E20">
        <w:rPr>
          <w:rFonts w:ascii="Times New Roman" w:hAnsi="Times New Roman"/>
        </w:rPr>
        <w:t>Customs</w:t>
      </w:r>
      <w:r w:rsidRPr="00263E20">
        <w:rPr>
          <w:rFonts w:ascii="Times New Roman" w:hAnsi="Times New Roman"/>
        </w:rPr>
        <w:t xml:space="preserve"> agents at the port of entry to resolve discrepancies between information submitted </w:t>
      </w:r>
      <w:r w:rsidR="00603108">
        <w:rPr>
          <w:rFonts w:ascii="Times New Roman" w:hAnsi="Times New Roman"/>
        </w:rPr>
        <w:t xml:space="preserve">in a NOA </w:t>
      </w:r>
      <w:r w:rsidRPr="00263E20">
        <w:rPr>
          <w:rFonts w:ascii="Times New Roman" w:hAnsi="Times New Roman"/>
        </w:rPr>
        <w:t xml:space="preserve">and </w:t>
      </w:r>
      <w:r w:rsidR="0055597A" w:rsidRPr="00263E20">
        <w:rPr>
          <w:rFonts w:ascii="Times New Roman" w:hAnsi="Times New Roman"/>
        </w:rPr>
        <w:t>Customs</w:t>
      </w:r>
      <w:r w:rsidRPr="00263E20">
        <w:rPr>
          <w:rFonts w:ascii="Times New Roman" w:hAnsi="Times New Roman"/>
        </w:rPr>
        <w:t xml:space="preserve"> entry documents.    </w:t>
      </w:r>
    </w:p>
    <w:p w14:paraId="686441AF" w14:textId="77777777" w:rsidR="00772B5A" w:rsidRPr="00263E20" w:rsidRDefault="00772B5A">
      <w:pPr>
        <w:keepNext/>
        <w:ind w:firstLine="720"/>
        <w:rPr>
          <w:rFonts w:ascii="Times New Roman" w:hAnsi="Times New Roman"/>
        </w:rPr>
      </w:pPr>
    </w:p>
    <w:p w14:paraId="1B429F8C" w14:textId="77777777" w:rsidR="00772F14" w:rsidRPr="00263E20" w:rsidRDefault="00BE7FD6" w:rsidP="005C7CB6">
      <w:pPr>
        <w:keepNext/>
        <w:keepLines/>
        <w:ind w:firstLine="720"/>
        <w:rPr>
          <w:rFonts w:ascii="Times New Roman" w:hAnsi="Times New Roman"/>
        </w:rPr>
      </w:pPr>
      <w:r w:rsidRPr="00263E20">
        <w:rPr>
          <w:rFonts w:ascii="Times New Roman" w:hAnsi="Times New Roman"/>
          <w:b/>
          <w:bCs/>
        </w:rPr>
        <w:t>5(b) Collection Methodology and Management</w:t>
      </w:r>
    </w:p>
    <w:p w14:paraId="65EF8411" w14:textId="77777777" w:rsidR="00772F14" w:rsidRPr="00263E20" w:rsidRDefault="00772F14" w:rsidP="005C7CB6">
      <w:pPr>
        <w:keepNext/>
        <w:keepLines/>
        <w:rPr>
          <w:rFonts w:ascii="Times New Roman" w:hAnsi="Times New Roman"/>
        </w:rPr>
      </w:pPr>
    </w:p>
    <w:p w14:paraId="6A08BC93" w14:textId="381E7C59" w:rsidR="008125DF" w:rsidRPr="00263E20" w:rsidRDefault="00772F14" w:rsidP="00DC6C66">
      <w:pPr>
        <w:keepNext/>
        <w:keepLines/>
        <w:ind w:firstLine="720"/>
        <w:rPr>
          <w:rFonts w:ascii="Times New Roman" w:hAnsi="Times New Roman"/>
        </w:rPr>
      </w:pPr>
      <w:r w:rsidRPr="00263E20">
        <w:rPr>
          <w:rFonts w:ascii="Times New Roman" w:hAnsi="Times New Roman"/>
        </w:rPr>
        <w:t>The information collected is produced by all importers as part of Custo</w:t>
      </w:r>
      <w:r w:rsidR="00BE7FD6" w:rsidRPr="00263E20">
        <w:rPr>
          <w:rFonts w:ascii="Times New Roman" w:hAnsi="Times New Roman"/>
        </w:rPr>
        <w:t xml:space="preserve">mary </w:t>
      </w:r>
      <w:r w:rsidR="00166F58" w:rsidRPr="00263E20">
        <w:rPr>
          <w:rFonts w:ascii="Times New Roman" w:hAnsi="Times New Roman"/>
        </w:rPr>
        <w:t xml:space="preserve">and Usual </w:t>
      </w:r>
      <w:r w:rsidR="00BE7FD6" w:rsidRPr="00263E20">
        <w:rPr>
          <w:rFonts w:ascii="Times New Roman" w:hAnsi="Times New Roman"/>
        </w:rPr>
        <w:t xml:space="preserve">Business Practice, as described above. This collection request concerns the entry and submission of this information using </w:t>
      </w:r>
      <w:r w:rsidR="00603108">
        <w:rPr>
          <w:rFonts w:ascii="Times New Roman" w:hAnsi="Times New Roman"/>
        </w:rPr>
        <w:t xml:space="preserve">either EPA </w:t>
      </w:r>
      <w:r w:rsidR="00BE7FD6" w:rsidRPr="00263E20">
        <w:rPr>
          <w:rFonts w:ascii="Times New Roman" w:hAnsi="Times New Roman"/>
        </w:rPr>
        <w:t>Form 3540-1</w:t>
      </w:r>
      <w:r w:rsidR="002805A1">
        <w:rPr>
          <w:rFonts w:ascii="Times New Roman" w:hAnsi="Times New Roman"/>
        </w:rPr>
        <w:t xml:space="preserve"> (Attachment </w:t>
      </w:r>
      <w:r w:rsidR="006D203F">
        <w:rPr>
          <w:rFonts w:ascii="Times New Roman" w:hAnsi="Times New Roman"/>
        </w:rPr>
        <w:t>F</w:t>
      </w:r>
      <w:r w:rsidR="002805A1">
        <w:rPr>
          <w:rFonts w:ascii="Times New Roman" w:hAnsi="Times New Roman"/>
        </w:rPr>
        <w:t xml:space="preserve">) </w:t>
      </w:r>
      <w:r w:rsidR="00B1765D" w:rsidRPr="00B1765D">
        <w:rPr>
          <w:rFonts w:ascii="Times New Roman" w:hAnsi="Times New Roman"/>
        </w:rPr>
        <w:t xml:space="preserve">or its </w:t>
      </w:r>
      <w:r w:rsidR="00912C29">
        <w:rPr>
          <w:rFonts w:ascii="Times New Roman" w:hAnsi="Times New Roman"/>
        </w:rPr>
        <w:t>Customs</w:t>
      </w:r>
      <w:r w:rsidR="00B1765D" w:rsidRPr="00B1765D">
        <w:rPr>
          <w:rFonts w:ascii="Times New Roman" w:hAnsi="Times New Roman"/>
        </w:rPr>
        <w:t>-authorized electronic equivalent</w:t>
      </w:r>
      <w:r w:rsidR="00BE7FD6" w:rsidRPr="00263E20">
        <w:rPr>
          <w:rFonts w:ascii="Times New Roman" w:hAnsi="Times New Roman"/>
        </w:rPr>
        <w:t>.</w:t>
      </w:r>
      <w:r w:rsidR="008125DF" w:rsidRPr="00263E20">
        <w:rPr>
          <w:rFonts w:ascii="Times New Roman" w:hAnsi="Times New Roman"/>
        </w:rPr>
        <w:t xml:space="preserve"> </w:t>
      </w:r>
      <w:r w:rsidR="001121ED" w:rsidRPr="00263E20">
        <w:rPr>
          <w:rFonts w:ascii="Times New Roman" w:hAnsi="Times New Roman"/>
        </w:rPr>
        <w:t>The currently approved version of EPA Form 35</w:t>
      </w:r>
      <w:r w:rsidR="00DA1C5D" w:rsidRPr="00263E20">
        <w:rPr>
          <w:rFonts w:ascii="Times New Roman" w:hAnsi="Times New Roman"/>
        </w:rPr>
        <w:t>4</w:t>
      </w:r>
      <w:r w:rsidR="001121ED" w:rsidRPr="00263E20">
        <w:rPr>
          <w:rFonts w:ascii="Times New Roman" w:hAnsi="Times New Roman"/>
        </w:rPr>
        <w:t xml:space="preserve">0-1 </w:t>
      </w:r>
      <w:r w:rsidR="00611DE5" w:rsidRPr="00263E20">
        <w:rPr>
          <w:rFonts w:ascii="Times New Roman" w:hAnsi="Times New Roman"/>
        </w:rPr>
        <w:t xml:space="preserve">is </w:t>
      </w:r>
      <w:r w:rsidR="001121ED" w:rsidRPr="00263E20">
        <w:rPr>
          <w:rFonts w:ascii="Times New Roman" w:hAnsi="Times New Roman"/>
        </w:rPr>
        <w:t>included in the docket for this action.</w:t>
      </w:r>
      <w:r w:rsidR="00C213CC" w:rsidRPr="00263E20">
        <w:rPr>
          <w:rFonts w:ascii="Times New Roman" w:hAnsi="Times New Roman"/>
        </w:rPr>
        <w:t xml:space="preserve"> </w:t>
      </w:r>
    </w:p>
    <w:p w14:paraId="1E05BBB8" w14:textId="77777777" w:rsidR="008125DF" w:rsidRPr="00263E20" w:rsidRDefault="008125DF">
      <w:pPr>
        <w:ind w:firstLine="720"/>
        <w:rPr>
          <w:rFonts w:ascii="Times New Roman" w:hAnsi="Times New Roman"/>
        </w:rPr>
      </w:pPr>
    </w:p>
    <w:p w14:paraId="74FBD63B" w14:textId="63A9EF1F" w:rsidR="003F6041" w:rsidRPr="00263E20" w:rsidRDefault="00BE7FD6">
      <w:pPr>
        <w:ind w:firstLine="720"/>
        <w:rPr>
          <w:rFonts w:ascii="Times New Roman" w:hAnsi="Times New Roman"/>
        </w:rPr>
      </w:pPr>
      <w:r w:rsidRPr="00263E20">
        <w:rPr>
          <w:rFonts w:ascii="Times New Roman" w:hAnsi="Times New Roman"/>
        </w:rPr>
        <w:t xml:space="preserve">NOA information is </w:t>
      </w:r>
      <w:r w:rsidR="005435BC">
        <w:rPr>
          <w:rFonts w:ascii="Times New Roman" w:hAnsi="Times New Roman"/>
        </w:rPr>
        <w:t xml:space="preserve">currently </w:t>
      </w:r>
      <w:r w:rsidRPr="00263E20">
        <w:rPr>
          <w:rFonts w:ascii="Times New Roman" w:hAnsi="Times New Roman"/>
        </w:rPr>
        <w:t xml:space="preserve">entered once onto </w:t>
      </w:r>
      <w:r w:rsidR="00C515D0" w:rsidRPr="00263E20">
        <w:rPr>
          <w:rFonts w:ascii="Times New Roman" w:hAnsi="Times New Roman"/>
        </w:rPr>
        <w:t>Form 35</w:t>
      </w:r>
      <w:r w:rsidR="00DA1C5D" w:rsidRPr="00263E20">
        <w:rPr>
          <w:rFonts w:ascii="Times New Roman" w:hAnsi="Times New Roman"/>
        </w:rPr>
        <w:t>4</w:t>
      </w:r>
      <w:r w:rsidR="00C515D0" w:rsidRPr="00263E20">
        <w:rPr>
          <w:rFonts w:ascii="Times New Roman" w:hAnsi="Times New Roman"/>
        </w:rPr>
        <w:t>0-1</w:t>
      </w:r>
      <w:r w:rsidR="00B1765D">
        <w:rPr>
          <w:rFonts w:ascii="Times New Roman" w:hAnsi="Times New Roman"/>
        </w:rPr>
        <w:t xml:space="preserve"> (if submitting through paper)</w:t>
      </w:r>
      <w:r w:rsidRPr="00263E20">
        <w:rPr>
          <w:rFonts w:ascii="Times New Roman" w:hAnsi="Times New Roman"/>
        </w:rPr>
        <w:t xml:space="preserve">, signed, and submitted to EPA. </w:t>
      </w:r>
      <w:r w:rsidR="001D569A" w:rsidRPr="00263E20">
        <w:rPr>
          <w:rFonts w:ascii="Times New Roman" w:hAnsi="Times New Roman"/>
        </w:rPr>
        <w:t>Form 35</w:t>
      </w:r>
      <w:r w:rsidR="00DA1C5D" w:rsidRPr="00263E20">
        <w:rPr>
          <w:rFonts w:ascii="Times New Roman" w:hAnsi="Times New Roman"/>
        </w:rPr>
        <w:t>4</w:t>
      </w:r>
      <w:r w:rsidR="001D569A" w:rsidRPr="00263E20">
        <w:rPr>
          <w:rFonts w:ascii="Times New Roman" w:hAnsi="Times New Roman"/>
        </w:rPr>
        <w:t>0</w:t>
      </w:r>
      <w:r w:rsidR="00FD52C0" w:rsidRPr="00263E20">
        <w:rPr>
          <w:rFonts w:ascii="Times New Roman" w:hAnsi="Times New Roman"/>
        </w:rPr>
        <w:t>-1</w:t>
      </w:r>
      <w:r w:rsidR="001D569A" w:rsidRPr="00263E20">
        <w:rPr>
          <w:rFonts w:ascii="Times New Roman" w:hAnsi="Times New Roman"/>
        </w:rPr>
        <w:t xml:space="preserve"> i</w:t>
      </w:r>
      <w:r w:rsidR="005867E2" w:rsidRPr="00263E20">
        <w:rPr>
          <w:rFonts w:ascii="Times New Roman" w:hAnsi="Times New Roman"/>
        </w:rPr>
        <w:t>s reviewed by</w:t>
      </w:r>
      <w:r w:rsidR="001D569A" w:rsidRPr="00263E20">
        <w:rPr>
          <w:rFonts w:ascii="Times New Roman" w:hAnsi="Times New Roman"/>
        </w:rPr>
        <w:t xml:space="preserve"> EPA</w:t>
      </w:r>
      <w:r w:rsidR="005867E2" w:rsidRPr="00263E20">
        <w:rPr>
          <w:rFonts w:ascii="Times New Roman" w:hAnsi="Times New Roman"/>
        </w:rPr>
        <w:t xml:space="preserve">, and, if approved, </w:t>
      </w:r>
      <w:r w:rsidR="001D569A" w:rsidRPr="00263E20">
        <w:rPr>
          <w:rFonts w:ascii="Times New Roman" w:hAnsi="Times New Roman"/>
        </w:rPr>
        <w:t>s</w:t>
      </w:r>
      <w:r w:rsidR="005867E2" w:rsidRPr="00263E20">
        <w:rPr>
          <w:rFonts w:ascii="Times New Roman" w:hAnsi="Times New Roman"/>
        </w:rPr>
        <w:t>i</w:t>
      </w:r>
      <w:r w:rsidRPr="00263E20">
        <w:rPr>
          <w:rFonts w:ascii="Times New Roman" w:hAnsi="Times New Roman"/>
        </w:rPr>
        <w:t>gned</w:t>
      </w:r>
      <w:r w:rsidR="005867E2" w:rsidRPr="00263E20">
        <w:rPr>
          <w:rFonts w:ascii="Times New Roman" w:hAnsi="Times New Roman"/>
        </w:rPr>
        <w:t xml:space="preserve"> by the EPA reviewer.</w:t>
      </w:r>
      <w:r w:rsidR="001D569A" w:rsidRPr="00263E20">
        <w:rPr>
          <w:rFonts w:ascii="Times New Roman" w:hAnsi="Times New Roman"/>
        </w:rPr>
        <w:t xml:space="preserve"> </w:t>
      </w:r>
      <w:r w:rsidR="005867E2" w:rsidRPr="00263E20">
        <w:rPr>
          <w:rFonts w:ascii="Times New Roman" w:hAnsi="Times New Roman"/>
        </w:rPr>
        <w:t>The form is</w:t>
      </w:r>
      <w:r w:rsidR="00145A97" w:rsidRPr="00263E20">
        <w:rPr>
          <w:rFonts w:ascii="Times New Roman" w:hAnsi="Times New Roman"/>
        </w:rPr>
        <w:t xml:space="preserve"> then</w:t>
      </w:r>
      <w:r w:rsidR="005867E2" w:rsidRPr="00263E20">
        <w:rPr>
          <w:rFonts w:ascii="Times New Roman" w:hAnsi="Times New Roman"/>
        </w:rPr>
        <w:t xml:space="preserve"> r</w:t>
      </w:r>
      <w:r w:rsidRPr="00263E20">
        <w:rPr>
          <w:rFonts w:ascii="Times New Roman" w:hAnsi="Times New Roman"/>
        </w:rPr>
        <w:t xml:space="preserve">eturned to the importer for submission as a shipping document to accompany the shipment upon its arrival at the U.S. port of entry. </w:t>
      </w:r>
      <w:r w:rsidR="007A1B24" w:rsidRPr="00263E20">
        <w:rPr>
          <w:rFonts w:ascii="Times New Roman" w:hAnsi="Times New Roman"/>
        </w:rPr>
        <w:t>Customs</w:t>
      </w:r>
      <w:r w:rsidRPr="00263E20">
        <w:rPr>
          <w:rFonts w:ascii="Times New Roman" w:hAnsi="Times New Roman"/>
        </w:rPr>
        <w:t xml:space="preserve"> inspectors compare Form 3540-1 </w:t>
      </w:r>
      <w:r w:rsidR="00865B9F" w:rsidRPr="00263E20">
        <w:rPr>
          <w:rFonts w:ascii="Times New Roman" w:hAnsi="Times New Roman"/>
        </w:rPr>
        <w:t xml:space="preserve">with entry documents for the shipment of pesticides or </w:t>
      </w:r>
      <w:r w:rsidR="001D582F" w:rsidRPr="00263E20">
        <w:rPr>
          <w:rFonts w:ascii="Times New Roman" w:hAnsi="Times New Roman"/>
        </w:rPr>
        <w:t xml:space="preserve">pesticidal </w:t>
      </w:r>
      <w:r w:rsidR="00865B9F" w:rsidRPr="00263E20">
        <w:rPr>
          <w:rFonts w:ascii="Times New Roman" w:hAnsi="Times New Roman"/>
        </w:rPr>
        <w:t>devices and notify the Administrator of any discrepancies.</w:t>
      </w:r>
    </w:p>
    <w:p w14:paraId="7C568539" w14:textId="77777777" w:rsidR="002B33C9" w:rsidRPr="00263E20" w:rsidRDefault="002B33C9" w:rsidP="002B33C9">
      <w:pPr>
        <w:rPr>
          <w:rFonts w:ascii="Times New Roman" w:hAnsi="Times New Roman"/>
        </w:rPr>
      </w:pPr>
    </w:p>
    <w:p w14:paraId="38BB4D14" w14:textId="684AED22" w:rsidR="00F41BDB" w:rsidRPr="00263E20" w:rsidRDefault="00CB0360" w:rsidP="00F41BDB">
      <w:pPr>
        <w:ind w:firstLine="720"/>
        <w:rPr>
          <w:rFonts w:ascii="Times New Roman" w:hAnsi="Times New Roman"/>
        </w:rPr>
      </w:pPr>
      <w:r>
        <w:rPr>
          <w:rFonts w:ascii="Times New Roman" w:hAnsi="Times New Roman"/>
        </w:rPr>
        <w:t xml:space="preserve">As discussed in previous sections, </w:t>
      </w:r>
      <w:r w:rsidR="00765026" w:rsidRPr="00263E20">
        <w:rPr>
          <w:rFonts w:ascii="Times New Roman" w:hAnsi="Times New Roman"/>
        </w:rPr>
        <w:t xml:space="preserve">EPA is </w:t>
      </w:r>
      <w:r w:rsidR="008506E3">
        <w:rPr>
          <w:rFonts w:ascii="Times New Roman" w:hAnsi="Times New Roman"/>
        </w:rPr>
        <w:t>also</w:t>
      </w:r>
      <w:r w:rsidR="008506E3" w:rsidRPr="00263E20">
        <w:rPr>
          <w:rFonts w:ascii="Times New Roman" w:hAnsi="Times New Roman"/>
        </w:rPr>
        <w:t xml:space="preserve"> </w:t>
      </w:r>
      <w:r w:rsidR="00765026" w:rsidRPr="00263E20">
        <w:rPr>
          <w:rFonts w:ascii="Times New Roman" w:hAnsi="Times New Roman"/>
        </w:rPr>
        <w:t xml:space="preserve">participating in an interagency initiative known as the ITDS. </w:t>
      </w:r>
      <w:r w:rsidR="00BE7FD6" w:rsidRPr="00263E20">
        <w:rPr>
          <w:rFonts w:ascii="Times New Roman" w:hAnsi="Times New Roman"/>
        </w:rPr>
        <w:t xml:space="preserve">ITDS </w:t>
      </w:r>
      <w:r w:rsidR="003F7440" w:rsidRPr="00263E20">
        <w:rPr>
          <w:rFonts w:ascii="Times New Roman" w:hAnsi="Times New Roman"/>
        </w:rPr>
        <w:t xml:space="preserve">is </w:t>
      </w:r>
      <w:r w:rsidR="00BE7FD6" w:rsidRPr="00263E20">
        <w:rPr>
          <w:rFonts w:ascii="Times New Roman" w:hAnsi="Times New Roman"/>
        </w:rPr>
        <w:t xml:space="preserve">the organizational framework for </w:t>
      </w:r>
      <w:r w:rsidR="007A1B24" w:rsidRPr="00263E20">
        <w:rPr>
          <w:rFonts w:ascii="Times New Roman" w:hAnsi="Times New Roman"/>
        </w:rPr>
        <w:t>Customs</w:t>
      </w:r>
      <w:r w:rsidR="00BE7FD6" w:rsidRPr="00263E20">
        <w:rPr>
          <w:rFonts w:ascii="Times New Roman" w:hAnsi="Times New Roman"/>
        </w:rPr>
        <w:t xml:space="preserve"> and more than 40 participating government agencies to integrate import requirements into a modernized, upgraded</w:t>
      </w:r>
      <w:r w:rsidR="00F41BDB">
        <w:rPr>
          <w:rFonts w:ascii="Times New Roman" w:hAnsi="Times New Roman"/>
        </w:rPr>
        <w:t xml:space="preserve"> </w:t>
      </w:r>
      <w:r w:rsidR="003822C6" w:rsidRPr="00263E20">
        <w:rPr>
          <w:rFonts w:ascii="Times New Roman" w:hAnsi="Times New Roman"/>
        </w:rPr>
        <w:t>A</w:t>
      </w:r>
      <w:r w:rsidR="00BE7FD6" w:rsidRPr="00263E20">
        <w:rPr>
          <w:rFonts w:ascii="Times New Roman" w:hAnsi="Times New Roman"/>
        </w:rPr>
        <w:t xml:space="preserve">CE, which is being designed by </w:t>
      </w:r>
      <w:r w:rsidR="007A1B24" w:rsidRPr="00263E20">
        <w:rPr>
          <w:rFonts w:ascii="Times New Roman" w:hAnsi="Times New Roman"/>
        </w:rPr>
        <w:t>Customs</w:t>
      </w:r>
      <w:r w:rsidR="00BE7FD6" w:rsidRPr="00263E20">
        <w:rPr>
          <w:rFonts w:ascii="Times New Roman" w:hAnsi="Times New Roman"/>
        </w:rPr>
        <w:t xml:space="preserve"> to process imports and exports. </w:t>
      </w:r>
      <w:r w:rsidR="00F41BDB" w:rsidRPr="00263E20">
        <w:rPr>
          <w:rFonts w:ascii="Times New Roman" w:hAnsi="Times New Roman"/>
        </w:rPr>
        <w:t xml:space="preserve">The goal of ITDS is to make the </w:t>
      </w:r>
      <w:r w:rsidR="00C376CF">
        <w:rPr>
          <w:rFonts w:ascii="Times New Roman" w:hAnsi="Times New Roman"/>
        </w:rPr>
        <w:t>f</w:t>
      </w:r>
      <w:r w:rsidR="00F41BDB" w:rsidRPr="00263E20">
        <w:rPr>
          <w:rFonts w:ascii="Times New Roman" w:hAnsi="Times New Roman"/>
        </w:rPr>
        <w:t>ederal government’s compliance monitoring of international trade less burdensome and more efficient by integrating and automating the government-wide collection, use, and dissemination of international trade data. Under the ITDS concept, agencies harmonize their data requirements with Customs, thereby eliminating redundancies and minor definitional differences.</w:t>
      </w:r>
    </w:p>
    <w:p w14:paraId="7DB6B204" w14:textId="77777777" w:rsidR="00F41BDB" w:rsidRDefault="00F41BDB" w:rsidP="003822C6">
      <w:pPr>
        <w:ind w:firstLine="720"/>
        <w:rPr>
          <w:rFonts w:ascii="Times New Roman" w:hAnsi="Times New Roman"/>
        </w:rPr>
      </w:pPr>
    </w:p>
    <w:p w14:paraId="0FD8C340" w14:textId="5AA5E625" w:rsidR="003822C6" w:rsidRDefault="00BE7FD6" w:rsidP="003822C6">
      <w:pPr>
        <w:ind w:firstLine="720"/>
        <w:rPr>
          <w:rFonts w:ascii="Times New Roman" w:hAnsi="Times New Roman"/>
        </w:rPr>
      </w:pPr>
      <w:r w:rsidRPr="00263E20">
        <w:rPr>
          <w:rFonts w:ascii="Times New Roman" w:hAnsi="Times New Roman"/>
        </w:rPr>
        <w:t xml:space="preserve">EPA </w:t>
      </w:r>
      <w:r w:rsidR="00F41BDB">
        <w:rPr>
          <w:rFonts w:ascii="Times New Roman" w:hAnsi="Times New Roman"/>
        </w:rPr>
        <w:t>has been</w:t>
      </w:r>
      <w:r w:rsidRPr="00263E20">
        <w:rPr>
          <w:rFonts w:ascii="Times New Roman" w:hAnsi="Times New Roman"/>
        </w:rPr>
        <w:t xml:space="preserve"> working with </w:t>
      </w:r>
      <w:r w:rsidR="007A1B24" w:rsidRPr="00263E20">
        <w:rPr>
          <w:rFonts w:ascii="Times New Roman" w:hAnsi="Times New Roman"/>
        </w:rPr>
        <w:t>Customs</w:t>
      </w:r>
      <w:r w:rsidRPr="00263E20">
        <w:rPr>
          <w:rFonts w:ascii="Times New Roman" w:hAnsi="Times New Roman"/>
        </w:rPr>
        <w:t xml:space="preserve"> to integrate into the ACE system the Agency’s six import regulatory programs, including the current process for notification of arrival of pesticides and </w:t>
      </w:r>
      <w:r w:rsidR="001D582F" w:rsidRPr="00263E20">
        <w:rPr>
          <w:rFonts w:ascii="Times New Roman" w:hAnsi="Times New Roman"/>
        </w:rPr>
        <w:t xml:space="preserve">pesticidal </w:t>
      </w:r>
      <w:r w:rsidRPr="00263E20">
        <w:rPr>
          <w:rFonts w:ascii="Times New Roman" w:hAnsi="Times New Roman"/>
        </w:rPr>
        <w:t xml:space="preserve">devices. EPA anticipates that most importers will </w:t>
      </w:r>
      <w:r w:rsidR="00300D42">
        <w:rPr>
          <w:rFonts w:ascii="Times New Roman" w:hAnsi="Times New Roman"/>
        </w:rPr>
        <w:t xml:space="preserve">choose to </w:t>
      </w:r>
      <w:r w:rsidRPr="00263E20">
        <w:rPr>
          <w:rFonts w:ascii="Times New Roman" w:hAnsi="Times New Roman"/>
        </w:rPr>
        <w:t xml:space="preserve">submit the </w:t>
      </w:r>
      <w:r w:rsidR="00095636">
        <w:rPr>
          <w:rFonts w:ascii="Times New Roman" w:hAnsi="Times New Roman"/>
        </w:rPr>
        <w:t>NOA</w:t>
      </w:r>
      <w:r w:rsidRPr="00263E20">
        <w:rPr>
          <w:rFonts w:ascii="Times New Roman" w:hAnsi="Times New Roman"/>
        </w:rPr>
        <w:t xml:space="preserve"> electronically in the ACE system</w:t>
      </w:r>
      <w:r w:rsidR="00300D42">
        <w:rPr>
          <w:rFonts w:ascii="Times New Roman" w:hAnsi="Times New Roman"/>
        </w:rPr>
        <w:t xml:space="preserve"> as importers become familiar with the system</w:t>
      </w:r>
      <w:r w:rsidR="003822C6" w:rsidRPr="00263E20">
        <w:rPr>
          <w:rFonts w:ascii="Times New Roman" w:hAnsi="Times New Roman"/>
        </w:rPr>
        <w:t xml:space="preserve">, and that the </w:t>
      </w:r>
      <w:r w:rsidR="00E21349">
        <w:rPr>
          <w:rFonts w:ascii="Times New Roman" w:hAnsi="Times New Roman"/>
        </w:rPr>
        <w:t>NOA</w:t>
      </w:r>
      <w:r w:rsidR="003822C6" w:rsidRPr="00263E20">
        <w:rPr>
          <w:rFonts w:ascii="Times New Roman" w:hAnsi="Times New Roman"/>
        </w:rPr>
        <w:t xml:space="preserve"> process will be done </w:t>
      </w:r>
      <w:r w:rsidR="00DB0E8E">
        <w:rPr>
          <w:rFonts w:ascii="Times New Roman" w:hAnsi="Times New Roman"/>
        </w:rPr>
        <w:t xml:space="preserve">fully </w:t>
      </w:r>
      <w:r w:rsidR="003822C6" w:rsidRPr="00263E20">
        <w:rPr>
          <w:rFonts w:ascii="Times New Roman" w:hAnsi="Times New Roman"/>
        </w:rPr>
        <w:t>electronically and almost instantaneously</w:t>
      </w:r>
      <w:r w:rsidR="005A1FED" w:rsidRPr="00263E20">
        <w:rPr>
          <w:rFonts w:ascii="Times New Roman" w:hAnsi="Times New Roman"/>
        </w:rPr>
        <w:t xml:space="preserve"> among </w:t>
      </w:r>
      <w:r w:rsidR="003822C6" w:rsidRPr="00263E20">
        <w:rPr>
          <w:rFonts w:ascii="Times New Roman" w:hAnsi="Times New Roman"/>
        </w:rPr>
        <w:t>importers, EPA, and Customs</w:t>
      </w:r>
      <w:r w:rsidR="00A87F90" w:rsidRPr="00263E20">
        <w:rPr>
          <w:rFonts w:ascii="Times New Roman" w:hAnsi="Times New Roman"/>
        </w:rPr>
        <w:t xml:space="preserve"> for most shipments of pesticides or </w:t>
      </w:r>
      <w:r w:rsidR="001D582F" w:rsidRPr="00263E20">
        <w:rPr>
          <w:rFonts w:ascii="Times New Roman" w:hAnsi="Times New Roman"/>
        </w:rPr>
        <w:t xml:space="preserve">pesticidal </w:t>
      </w:r>
      <w:r w:rsidR="00A87F90" w:rsidRPr="00263E20">
        <w:rPr>
          <w:rFonts w:ascii="Times New Roman" w:hAnsi="Times New Roman"/>
        </w:rPr>
        <w:t>devices</w:t>
      </w:r>
      <w:r w:rsidR="003822C6" w:rsidRPr="00263E20">
        <w:rPr>
          <w:rFonts w:ascii="Times New Roman" w:hAnsi="Times New Roman"/>
        </w:rPr>
        <w:t>.</w:t>
      </w:r>
      <w:r w:rsidR="00C23A7C">
        <w:rPr>
          <w:rFonts w:ascii="Times New Roman" w:hAnsi="Times New Roman"/>
        </w:rPr>
        <w:t xml:space="preserve"> However, the paper EPA Form 3450-1 will continue to be available for use by importers.</w:t>
      </w:r>
    </w:p>
    <w:p w14:paraId="770C8E67" w14:textId="77777777" w:rsidR="00F41BDB" w:rsidRDefault="00F41BDB" w:rsidP="003822C6">
      <w:pPr>
        <w:ind w:firstLine="720"/>
        <w:rPr>
          <w:rFonts w:ascii="Times New Roman" w:hAnsi="Times New Roman"/>
        </w:rPr>
      </w:pPr>
    </w:p>
    <w:p w14:paraId="5B6284FE" w14:textId="04952180" w:rsidR="00F41BDB" w:rsidRPr="008E5B69" w:rsidRDefault="00F41BDB" w:rsidP="00F41BDB">
      <w:pPr>
        <w:ind w:firstLine="720"/>
        <w:rPr>
          <w:rFonts w:ascii="Times New Roman" w:hAnsi="Times New Roman"/>
        </w:rPr>
      </w:pPr>
      <w:r w:rsidRPr="008E5B69">
        <w:rPr>
          <w:rFonts w:ascii="Times New Roman" w:hAnsi="Times New Roman"/>
        </w:rPr>
        <w:t>Part of the effort to ensure that the U.S government meets the December</w:t>
      </w:r>
      <w:r w:rsidR="00C376CF">
        <w:rPr>
          <w:rFonts w:ascii="Times New Roman" w:hAnsi="Times New Roman"/>
        </w:rPr>
        <w:t>,</w:t>
      </w:r>
      <w:r w:rsidRPr="008E5B69">
        <w:rPr>
          <w:rFonts w:ascii="Times New Roman" w:hAnsi="Times New Roman"/>
        </w:rPr>
        <w:t xml:space="preserve"> 2016</w:t>
      </w:r>
      <w:r w:rsidR="00C376CF">
        <w:rPr>
          <w:rFonts w:ascii="Times New Roman" w:hAnsi="Times New Roman"/>
        </w:rPr>
        <w:t>,</w:t>
      </w:r>
      <w:r w:rsidRPr="008E5B69">
        <w:rPr>
          <w:rFonts w:ascii="Times New Roman" w:hAnsi="Times New Roman"/>
        </w:rPr>
        <w:t xml:space="preserve"> deadline involved testing the ITDS system or ACE. Customs tested </w:t>
      </w:r>
      <w:r w:rsidR="00095636" w:rsidRPr="008E5B69">
        <w:rPr>
          <w:rFonts w:ascii="Times New Roman" w:hAnsi="Times New Roman"/>
        </w:rPr>
        <w:t xml:space="preserve">the </w:t>
      </w:r>
      <w:r w:rsidRPr="008E5B69">
        <w:rPr>
          <w:rFonts w:ascii="Times New Roman" w:hAnsi="Times New Roman"/>
        </w:rPr>
        <w:t>new technology by conducting pilots under the National Customs Automation Program (NCAP). EPA has worked with Customs to launch NCAP pilots for imported pesticides, with the information collection activities approved under the ICR entitled, “Emergency Processing Request for Information Collected in International Trade Data System (ITDS) Pilot for Pesticide Notice of Arrival” (OMB Control No. 2070-0020; EPA ICR No. 0152.11; ICR Ref. No. 201606-2070-002)</w:t>
      </w:r>
      <w:r w:rsidR="002678E7" w:rsidRPr="008E5B69">
        <w:rPr>
          <w:rFonts w:ascii="Times New Roman" w:hAnsi="Times New Roman"/>
        </w:rPr>
        <w:t xml:space="preserve"> (Attachment </w:t>
      </w:r>
      <w:r w:rsidR="006D203F">
        <w:rPr>
          <w:rFonts w:ascii="Times New Roman" w:hAnsi="Times New Roman"/>
        </w:rPr>
        <w:t>C</w:t>
      </w:r>
      <w:r w:rsidR="002678E7" w:rsidRPr="008E5B69">
        <w:rPr>
          <w:rFonts w:ascii="Times New Roman" w:hAnsi="Times New Roman"/>
        </w:rPr>
        <w:t>)</w:t>
      </w:r>
      <w:r w:rsidRPr="008E5B69">
        <w:rPr>
          <w:rFonts w:ascii="Times New Roman" w:hAnsi="Times New Roman"/>
        </w:rPr>
        <w:t xml:space="preserve">. </w:t>
      </w:r>
      <w:r w:rsidR="00D322D3" w:rsidRPr="008E5B69">
        <w:rPr>
          <w:rFonts w:ascii="Times New Roman" w:hAnsi="Times New Roman"/>
        </w:rPr>
        <w:t>Under the pilot, electronic filings offer the benefit of providing information once to ACE</w:t>
      </w:r>
      <w:r w:rsidR="00DB0E8E" w:rsidRPr="008E5B69">
        <w:rPr>
          <w:rFonts w:ascii="Times New Roman" w:hAnsi="Times New Roman"/>
        </w:rPr>
        <w:t>,</w:t>
      </w:r>
      <w:r w:rsidR="00D322D3" w:rsidRPr="008E5B69">
        <w:rPr>
          <w:rFonts w:ascii="Times New Roman" w:hAnsi="Times New Roman"/>
        </w:rPr>
        <w:t xml:space="preserve"> thus meeting both Customs and EPA reporting requirements well in advance of the shipment’s arrival in the United States. Most of the electronic filings are automatically processed, and an early indication is provided to the filer if the initial reporting requirements have been met and if the shipment can be released upon arrival at the port of entry. For those filings that do not meet the reporting requirements, automatic checks will be performed to notify the filer of errors. For filings that require non-automated checks, EPA staff can review and provide feedback notifications through ACE to the filer on what information is needed that has not been provided. </w:t>
      </w:r>
      <w:r w:rsidRPr="008E5B69">
        <w:rPr>
          <w:rFonts w:ascii="Times New Roman" w:hAnsi="Times New Roman"/>
        </w:rPr>
        <w:t xml:space="preserve">Customs </w:t>
      </w:r>
      <w:r w:rsidR="00754110" w:rsidRPr="008E5B69">
        <w:rPr>
          <w:rFonts w:ascii="Times New Roman" w:hAnsi="Times New Roman"/>
        </w:rPr>
        <w:t xml:space="preserve">has since made </w:t>
      </w:r>
      <w:r w:rsidRPr="008E5B69">
        <w:rPr>
          <w:rFonts w:ascii="Times New Roman" w:hAnsi="Times New Roman"/>
        </w:rPr>
        <w:t xml:space="preserve">the electronic reporting option available fulltime through an interim final rule </w:t>
      </w:r>
      <w:r w:rsidR="00754110" w:rsidRPr="008E5B69">
        <w:rPr>
          <w:rFonts w:ascii="Times New Roman" w:hAnsi="Times New Roman"/>
        </w:rPr>
        <w:t>published on September 30,</w:t>
      </w:r>
      <w:r w:rsidRPr="008E5B69">
        <w:rPr>
          <w:rFonts w:ascii="Times New Roman" w:hAnsi="Times New Roman"/>
        </w:rPr>
        <w:t xml:space="preserve"> 2016</w:t>
      </w:r>
      <w:r w:rsidR="00754110" w:rsidRPr="008E5B69">
        <w:rPr>
          <w:rFonts w:ascii="Times New Roman" w:hAnsi="Times New Roman"/>
        </w:rPr>
        <w:t xml:space="preserve"> (</w:t>
      </w:r>
      <w:r w:rsidR="008E5B69" w:rsidRPr="008E5B69">
        <w:rPr>
          <w:rFonts w:ascii="Times New Roman" w:hAnsi="Times New Roman"/>
        </w:rPr>
        <w:t>81 FR 67140</w:t>
      </w:r>
      <w:r w:rsidR="00754110" w:rsidRPr="008E5B69">
        <w:rPr>
          <w:rFonts w:ascii="Times New Roman" w:hAnsi="Times New Roman"/>
        </w:rPr>
        <w:t>)</w:t>
      </w:r>
      <w:r w:rsidRPr="008E5B69">
        <w:rPr>
          <w:rFonts w:ascii="Times New Roman" w:hAnsi="Times New Roman"/>
        </w:rPr>
        <w:t xml:space="preserve">. </w:t>
      </w:r>
    </w:p>
    <w:p w14:paraId="37BFFD3B" w14:textId="77777777" w:rsidR="00F41BDB" w:rsidRPr="00263E20" w:rsidRDefault="00F41BDB" w:rsidP="003822C6">
      <w:pPr>
        <w:ind w:firstLine="720"/>
        <w:rPr>
          <w:rFonts w:ascii="Times New Roman" w:hAnsi="Times New Roman"/>
        </w:rPr>
      </w:pPr>
    </w:p>
    <w:p w14:paraId="3B03449A" w14:textId="06FD435F" w:rsidR="00772F14" w:rsidRPr="00263E20" w:rsidRDefault="00BE7FD6">
      <w:pPr>
        <w:ind w:left="720"/>
        <w:rPr>
          <w:rFonts w:ascii="Times New Roman" w:hAnsi="Times New Roman"/>
        </w:rPr>
      </w:pPr>
      <w:r w:rsidRPr="00263E20">
        <w:rPr>
          <w:rFonts w:ascii="Times New Roman" w:hAnsi="Times New Roman"/>
          <w:b/>
          <w:bCs/>
        </w:rPr>
        <w:t>5(c) Small Entity Flexibility</w:t>
      </w:r>
    </w:p>
    <w:p w14:paraId="076B8AB6" w14:textId="77777777" w:rsidR="00772F14" w:rsidRPr="00263E20" w:rsidRDefault="00772F14">
      <w:pPr>
        <w:rPr>
          <w:rFonts w:ascii="Times New Roman" w:hAnsi="Times New Roman"/>
        </w:rPr>
      </w:pPr>
    </w:p>
    <w:p w14:paraId="43B51586" w14:textId="1D780DD1" w:rsidR="00772F14" w:rsidRPr="00263E20" w:rsidRDefault="00BE7FD6">
      <w:pPr>
        <w:ind w:firstLine="720"/>
        <w:rPr>
          <w:rFonts w:ascii="Times New Roman" w:hAnsi="Times New Roman"/>
        </w:rPr>
      </w:pPr>
      <w:r w:rsidRPr="00263E20">
        <w:rPr>
          <w:rFonts w:ascii="Times New Roman" w:hAnsi="Times New Roman"/>
        </w:rPr>
        <w:t>The burden</w:t>
      </w:r>
      <w:r w:rsidR="00A87F90" w:rsidRPr="00263E20">
        <w:rPr>
          <w:rFonts w:ascii="Times New Roman" w:hAnsi="Times New Roman"/>
        </w:rPr>
        <w:t xml:space="preserve"> of this information collection</w:t>
      </w:r>
      <w:r w:rsidRPr="00263E20">
        <w:rPr>
          <w:rFonts w:ascii="Times New Roman" w:hAnsi="Times New Roman"/>
        </w:rPr>
        <w:t xml:space="preserve"> is minimal and affects all importers. It cannot be reduced and still meet requirements</w:t>
      </w:r>
      <w:r w:rsidR="00A87F90" w:rsidRPr="00263E20">
        <w:rPr>
          <w:rFonts w:ascii="Times New Roman" w:hAnsi="Times New Roman"/>
        </w:rPr>
        <w:t xml:space="preserve"> outlined in Section 2(a)</w:t>
      </w:r>
      <w:r w:rsidRPr="00263E20">
        <w:rPr>
          <w:rFonts w:ascii="Times New Roman" w:hAnsi="Times New Roman"/>
        </w:rPr>
        <w:t xml:space="preserve">. The information collection does not disproportionately impact small businesses, </w:t>
      </w:r>
      <w:r w:rsidR="00A87F90" w:rsidRPr="00263E20">
        <w:rPr>
          <w:rFonts w:ascii="Times New Roman" w:hAnsi="Times New Roman"/>
        </w:rPr>
        <w:t xml:space="preserve">because </w:t>
      </w:r>
      <w:r w:rsidRPr="00263E20">
        <w:rPr>
          <w:rFonts w:ascii="Times New Roman" w:hAnsi="Times New Roman"/>
        </w:rPr>
        <w:t>the information requested is gathered during "customary</w:t>
      </w:r>
      <w:r w:rsidR="00EF0F45" w:rsidRPr="00263E20">
        <w:rPr>
          <w:rFonts w:ascii="Times New Roman" w:hAnsi="Times New Roman"/>
        </w:rPr>
        <w:t xml:space="preserve"> and usual</w:t>
      </w:r>
      <w:r w:rsidRPr="00263E20">
        <w:rPr>
          <w:rFonts w:ascii="Times New Roman" w:hAnsi="Times New Roman"/>
        </w:rPr>
        <w:t xml:space="preserve"> business </w:t>
      </w:r>
      <w:r w:rsidR="00A87F90" w:rsidRPr="00263E20">
        <w:rPr>
          <w:rFonts w:ascii="Times New Roman" w:hAnsi="Times New Roman"/>
        </w:rPr>
        <w:t>practic</w:t>
      </w:r>
      <w:r w:rsidR="00584CB3" w:rsidRPr="00263E20">
        <w:rPr>
          <w:rFonts w:ascii="Times New Roman" w:hAnsi="Times New Roman"/>
        </w:rPr>
        <w:t>e</w:t>
      </w:r>
      <w:r w:rsidR="00A87F90" w:rsidRPr="00263E20">
        <w:rPr>
          <w:rFonts w:ascii="Times New Roman" w:hAnsi="Times New Roman"/>
        </w:rPr>
        <w:t>s</w:t>
      </w:r>
      <w:r w:rsidRPr="00263E20">
        <w:rPr>
          <w:rFonts w:ascii="Times New Roman" w:hAnsi="Times New Roman"/>
        </w:rPr>
        <w:t>."</w:t>
      </w:r>
    </w:p>
    <w:p w14:paraId="1507925E" w14:textId="77777777" w:rsidR="00772F14" w:rsidRPr="00263E20" w:rsidRDefault="00772F14">
      <w:pPr>
        <w:rPr>
          <w:rFonts w:ascii="Times New Roman" w:hAnsi="Times New Roman"/>
        </w:rPr>
      </w:pPr>
    </w:p>
    <w:p w14:paraId="5E86EE13" w14:textId="77777777" w:rsidR="00772F14" w:rsidRPr="00263E20" w:rsidRDefault="00BE7FD6">
      <w:pPr>
        <w:keepNext/>
        <w:keepLines/>
        <w:ind w:firstLine="720"/>
        <w:rPr>
          <w:rFonts w:ascii="Times New Roman" w:hAnsi="Times New Roman"/>
          <w:b/>
          <w:bCs/>
        </w:rPr>
      </w:pPr>
      <w:r w:rsidRPr="00263E20">
        <w:rPr>
          <w:rFonts w:ascii="Times New Roman" w:hAnsi="Times New Roman"/>
          <w:b/>
          <w:bCs/>
        </w:rPr>
        <w:t>5(d) Collection Schedule</w:t>
      </w:r>
    </w:p>
    <w:p w14:paraId="79682524" w14:textId="77777777" w:rsidR="00772F14" w:rsidRPr="00263E20" w:rsidRDefault="00772F14">
      <w:pPr>
        <w:keepNext/>
        <w:keepLines/>
        <w:rPr>
          <w:rFonts w:ascii="Times New Roman" w:hAnsi="Times New Roman"/>
          <w:b/>
          <w:bCs/>
        </w:rPr>
      </w:pPr>
    </w:p>
    <w:p w14:paraId="2B65D8E8" w14:textId="4F192F45" w:rsidR="00772F14" w:rsidRPr="00263E20" w:rsidRDefault="00BE7FD6">
      <w:pPr>
        <w:keepLines/>
        <w:ind w:firstLine="720"/>
        <w:rPr>
          <w:rFonts w:ascii="Times New Roman" w:hAnsi="Times New Roman"/>
          <w:b/>
          <w:bCs/>
        </w:rPr>
      </w:pPr>
      <w:r w:rsidRPr="00263E20">
        <w:rPr>
          <w:rFonts w:ascii="Times New Roman" w:hAnsi="Times New Roman"/>
        </w:rPr>
        <w:t>A Notice of Arrival submission is required on each occasion that a pesticide</w:t>
      </w:r>
      <w:r w:rsidR="00A87F90" w:rsidRPr="00263E20">
        <w:rPr>
          <w:rFonts w:ascii="Times New Roman" w:hAnsi="Times New Roman"/>
        </w:rPr>
        <w:t xml:space="preserve"> or </w:t>
      </w:r>
      <w:r w:rsidR="001D582F" w:rsidRPr="00263E20">
        <w:rPr>
          <w:rFonts w:ascii="Times New Roman" w:hAnsi="Times New Roman"/>
        </w:rPr>
        <w:t xml:space="preserve">pesticidal </w:t>
      </w:r>
      <w:r w:rsidRPr="00263E20">
        <w:rPr>
          <w:rFonts w:ascii="Times New Roman" w:hAnsi="Times New Roman"/>
        </w:rPr>
        <w:t>device shipment arrives</w:t>
      </w:r>
      <w:r w:rsidR="00A87F90" w:rsidRPr="00263E20">
        <w:rPr>
          <w:rFonts w:ascii="Times New Roman" w:hAnsi="Times New Roman"/>
        </w:rPr>
        <w:t xml:space="preserve"> for entry</w:t>
      </w:r>
      <w:r w:rsidRPr="00263E20">
        <w:rPr>
          <w:rFonts w:ascii="Times New Roman" w:hAnsi="Times New Roman"/>
        </w:rPr>
        <w:t xml:space="preserve"> in the United States</w:t>
      </w:r>
      <w:r w:rsidR="00A87F90" w:rsidRPr="00263E20">
        <w:rPr>
          <w:rFonts w:ascii="Times New Roman" w:hAnsi="Times New Roman"/>
        </w:rPr>
        <w:t>.</w:t>
      </w:r>
      <w:r w:rsidRPr="00263E20">
        <w:rPr>
          <w:rFonts w:ascii="Times New Roman" w:hAnsi="Times New Roman"/>
        </w:rPr>
        <w:t xml:space="preserve"> </w:t>
      </w:r>
    </w:p>
    <w:p w14:paraId="7D3EF573" w14:textId="77777777" w:rsidR="00772F14" w:rsidRPr="00263E20" w:rsidRDefault="00772F14">
      <w:pPr>
        <w:rPr>
          <w:rFonts w:ascii="Times New Roman" w:hAnsi="Times New Roman"/>
        </w:rPr>
      </w:pPr>
    </w:p>
    <w:p w14:paraId="1D8C8739" w14:textId="21B6C3F3" w:rsidR="00E2664C" w:rsidRDefault="00E2664C">
      <w:pPr>
        <w:widowControl/>
        <w:autoSpaceDE/>
        <w:autoSpaceDN/>
        <w:adjustRightInd/>
        <w:rPr>
          <w:rFonts w:ascii="Times New Roman" w:hAnsi="Times New Roman"/>
          <w:b/>
          <w:bCs/>
        </w:rPr>
      </w:pPr>
    </w:p>
    <w:p w14:paraId="735B2D51" w14:textId="40ABE567" w:rsidR="00F53E3C" w:rsidRPr="00263E20" w:rsidRDefault="00BE7FD6" w:rsidP="00F53E3C">
      <w:pPr>
        <w:rPr>
          <w:rFonts w:ascii="Times New Roman" w:hAnsi="Times New Roman"/>
          <w:b/>
          <w:bCs/>
        </w:rPr>
      </w:pPr>
      <w:r w:rsidRPr="00263E20">
        <w:rPr>
          <w:rFonts w:ascii="Times New Roman" w:hAnsi="Times New Roman"/>
          <w:b/>
          <w:bCs/>
        </w:rPr>
        <w:t>6. Estimating the Burden and Cost of the Collection.</w:t>
      </w:r>
    </w:p>
    <w:p w14:paraId="0BE6760A" w14:textId="77777777" w:rsidR="00A87F90" w:rsidRPr="00263E20" w:rsidRDefault="00A87F90">
      <w:pPr>
        <w:ind w:firstLine="720"/>
        <w:rPr>
          <w:rFonts w:ascii="Times New Roman" w:hAnsi="Times New Roman"/>
          <w:b/>
          <w:bCs/>
        </w:rPr>
      </w:pPr>
    </w:p>
    <w:p w14:paraId="234B099E" w14:textId="77777777" w:rsidR="00D059CC" w:rsidRPr="00263E20" w:rsidRDefault="00BE7FD6">
      <w:pPr>
        <w:ind w:firstLine="720"/>
        <w:rPr>
          <w:rFonts w:ascii="Times New Roman" w:hAnsi="Times New Roman"/>
          <w:b/>
          <w:bCs/>
        </w:rPr>
      </w:pPr>
      <w:r w:rsidRPr="00263E20">
        <w:rPr>
          <w:rFonts w:ascii="Times New Roman" w:hAnsi="Times New Roman"/>
          <w:b/>
          <w:bCs/>
        </w:rPr>
        <w:t>6(</w:t>
      </w:r>
      <w:r w:rsidR="00050251" w:rsidRPr="00263E20">
        <w:rPr>
          <w:rFonts w:ascii="Times New Roman" w:hAnsi="Times New Roman"/>
          <w:b/>
          <w:bCs/>
        </w:rPr>
        <w:t>a</w:t>
      </w:r>
      <w:r w:rsidRPr="00263E20">
        <w:rPr>
          <w:rFonts w:ascii="Times New Roman" w:hAnsi="Times New Roman"/>
          <w:b/>
          <w:bCs/>
        </w:rPr>
        <w:t>) Estimating Respondent Burden</w:t>
      </w:r>
    </w:p>
    <w:p w14:paraId="10BCBDC8" w14:textId="77777777" w:rsidR="00772F14" w:rsidRPr="00263E20" w:rsidRDefault="00772F14">
      <w:pPr>
        <w:rPr>
          <w:rFonts w:ascii="Times New Roman" w:hAnsi="Times New Roman"/>
          <w:b/>
          <w:bCs/>
        </w:rPr>
      </w:pPr>
    </w:p>
    <w:p w14:paraId="33C94ACB" w14:textId="2B15B2A8" w:rsidR="00601B91" w:rsidRDefault="00050251" w:rsidP="00601B91">
      <w:pPr>
        <w:ind w:firstLine="720"/>
        <w:rPr>
          <w:rFonts w:ascii="Times New Roman" w:hAnsi="Times New Roman"/>
          <w:color w:val="FF0000"/>
        </w:rPr>
      </w:pPr>
      <w:r w:rsidRPr="00263E20">
        <w:rPr>
          <w:rFonts w:ascii="Times New Roman" w:hAnsi="Times New Roman"/>
        </w:rPr>
        <w:t>In calculating the respondent burden, EPA estimates that</w:t>
      </w:r>
      <w:r w:rsidR="00601B91" w:rsidRPr="00263E20">
        <w:rPr>
          <w:rFonts w:ascii="Times New Roman" w:hAnsi="Times New Roman"/>
        </w:rPr>
        <w:t>, on average,</w:t>
      </w:r>
      <w:r w:rsidRPr="00263E20">
        <w:rPr>
          <w:rFonts w:ascii="Times New Roman" w:hAnsi="Times New Roman"/>
        </w:rPr>
        <w:t xml:space="preserve"> importers will submit </w:t>
      </w:r>
      <w:r w:rsidR="00601B91" w:rsidRPr="00263E20">
        <w:rPr>
          <w:rFonts w:ascii="Times New Roman" w:hAnsi="Times New Roman"/>
        </w:rPr>
        <w:t>3</w:t>
      </w:r>
      <w:r w:rsidR="009E4AD8" w:rsidRPr="004249FB">
        <w:rPr>
          <w:rFonts w:ascii="Times New Roman" w:hAnsi="Times New Roman"/>
        </w:rPr>
        <w:t>8</w:t>
      </w:r>
      <w:r w:rsidRPr="00263E20">
        <w:rPr>
          <w:rFonts w:ascii="Times New Roman" w:hAnsi="Times New Roman"/>
        </w:rPr>
        <w:t>,000 responses to this information collection annually during this renewal ICR. This estimate is based on a projected increase in the number of NOAs EPA receives</w:t>
      </w:r>
      <w:r w:rsidR="00891D5A" w:rsidRPr="00263E20">
        <w:rPr>
          <w:rFonts w:ascii="Times New Roman" w:hAnsi="Times New Roman"/>
        </w:rPr>
        <w:t>.</w:t>
      </w:r>
      <w:r w:rsidRPr="00263E20">
        <w:rPr>
          <w:rFonts w:ascii="Times New Roman" w:hAnsi="Times New Roman"/>
        </w:rPr>
        <w:t xml:space="preserve"> For the last renewal, EPA estimated the annual number of responses at </w:t>
      </w:r>
      <w:r w:rsidR="00BC5C3F" w:rsidRPr="004249FB">
        <w:rPr>
          <w:rFonts w:ascii="Times New Roman" w:hAnsi="Times New Roman"/>
        </w:rPr>
        <w:t>3</w:t>
      </w:r>
      <w:r w:rsidRPr="00263E20">
        <w:rPr>
          <w:rFonts w:ascii="Times New Roman" w:hAnsi="Times New Roman"/>
        </w:rPr>
        <w:t xml:space="preserve">5,000. EPA received </w:t>
      </w:r>
      <w:r w:rsidR="00601B91" w:rsidRPr="00263E20">
        <w:rPr>
          <w:rFonts w:ascii="Times New Roman" w:hAnsi="Times New Roman"/>
        </w:rPr>
        <w:t xml:space="preserve">approximately </w:t>
      </w:r>
      <w:r w:rsidR="00BC5C3F" w:rsidRPr="004249FB">
        <w:rPr>
          <w:rFonts w:ascii="Times New Roman" w:hAnsi="Times New Roman"/>
        </w:rPr>
        <w:t>36,000</w:t>
      </w:r>
      <w:r w:rsidRPr="00263E20">
        <w:rPr>
          <w:rFonts w:ascii="Times New Roman" w:hAnsi="Times New Roman"/>
        </w:rPr>
        <w:t xml:space="preserve"> NOAs </w:t>
      </w:r>
      <w:r w:rsidR="004249FB">
        <w:rPr>
          <w:rFonts w:ascii="Times New Roman" w:hAnsi="Times New Roman"/>
        </w:rPr>
        <w:t>in 201</w:t>
      </w:r>
      <w:r w:rsidR="008D6D4E">
        <w:rPr>
          <w:rFonts w:ascii="Times New Roman" w:hAnsi="Times New Roman"/>
        </w:rPr>
        <w:t>3</w:t>
      </w:r>
      <w:r w:rsidR="004249FB">
        <w:rPr>
          <w:rFonts w:ascii="Times New Roman" w:hAnsi="Times New Roman"/>
        </w:rPr>
        <w:t>, 39,000 in 201</w:t>
      </w:r>
      <w:r w:rsidR="008D6D4E">
        <w:rPr>
          <w:rFonts w:ascii="Times New Roman" w:hAnsi="Times New Roman"/>
        </w:rPr>
        <w:t>4</w:t>
      </w:r>
      <w:r w:rsidR="004249FB">
        <w:rPr>
          <w:rFonts w:ascii="Times New Roman" w:hAnsi="Times New Roman"/>
        </w:rPr>
        <w:t xml:space="preserve">, and 38,000 in </w:t>
      </w:r>
      <w:r w:rsidR="004249FB" w:rsidRPr="00263E20">
        <w:rPr>
          <w:rFonts w:ascii="Times New Roman" w:hAnsi="Times New Roman"/>
        </w:rPr>
        <w:t>201</w:t>
      </w:r>
      <w:r w:rsidR="004249FB">
        <w:rPr>
          <w:rFonts w:ascii="Times New Roman" w:hAnsi="Times New Roman"/>
        </w:rPr>
        <w:t xml:space="preserve">5. </w:t>
      </w:r>
      <w:r w:rsidR="00601B91" w:rsidRPr="00263E20">
        <w:rPr>
          <w:rFonts w:ascii="Times New Roman" w:hAnsi="Times New Roman"/>
        </w:rPr>
        <w:t>If this trend continues, EPA anticipates that over the next three years, EPA will receive, on average, 3</w:t>
      </w:r>
      <w:r w:rsidR="00BC5C3F" w:rsidRPr="004249FB">
        <w:rPr>
          <w:rFonts w:ascii="Times New Roman" w:hAnsi="Times New Roman"/>
        </w:rPr>
        <w:t>8</w:t>
      </w:r>
      <w:r w:rsidR="008D2CC7" w:rsidRPr="00263E20">
        <w:rPr>
          <w:rFonts w:ascii="Times New Roman" w:hAnsi="Times New Roman"/>
        </w:rPr>
        <w:t>,</w:t>
      </w:r>
      <w:r w:rsidR="00601B91" w:rsidRPr="00263E20">
        <w:rPr>
          <w:rFonts w:ascii="Times New Roman" w:hAnsi="Times New Roman"/>
        </w:rPr>
        <w:t>000 NOAs annually.</w:t>
      </w:r>
      <w:r w:rsidR="008B0693" w:rsidRPr="00263E20">
        <w:rPr>
          <w:rFonts w:ascii="Times New Roman" w:hAnsi="Times New Roman"/>
        </w:rPr>
        <w:t xml:space="preserve"> </w:t>
      </w:r>
      <w:r w:rsidR="00E7355C">
        <w:rPr>
          <w:rFonts w:ascii="Times New Roman" w:hAnsi="Times New Roman"/>
        </w:rPr>
        <w:t>T</w:t>
      </w:r>
      <w:r w:rsidR="00940F27" w:rsidRPr="00263E20">
        <w:rPr>
          <w:rFonts w:ascii="Times New Roman" w:hAnsi="Times New Roman"/>
        </w:rPr>
        <w:t>h</w:t>
      </w:r>
      <w:r w:rsidR="008D6D4E">
        <w:rPr>
          <w:rFonts w:ascii="Times New Roman" w:hAnsi="Times New Roman"/>
        </w:rPr>
        <w:t>is indicates an increase of about 3,000 additional NOAs received per year since the last renewal</w:t>
      </w:r>
      <w:r w:rsidR="00940F27" w:rsidRPr="00263E20">
        <w:rPr>
          <w:rFonts w:ascii="Times New Roman" w:hAnsi="Times New Roman"/>
        </w:rPr>
        <w:t xml:space="preserve">. </w:t>
      </w:r>
      <w:r w:rsidR="00B7475E" w:rsidRPr="00A77B8B" w:rsidDel="00B7475E">
        <w:rPr>
          <w:rFonts w:ascii="Times New Roman" w:hAnsi="Times New Roman"/>
        </w:rPr>
        <w:t xml:space="preserve"> </w:t>
      </w:r>
    </w:p>
    <w:p w14:paraId="4C471CDF" w14:textId="17215B61" w:rsidR="00050251" w:rsidRPr="004249FB" w:rsidRDefault="00A77B8B" w:rsidP="00B53AE0">
      <w:pPr>
        <w:tabs>
          <w:tab w:val="left" w:pos="1215"/>
        </w:tabs>
        <w:ind w:firstLine="720"/>
        <w:rPr>
          <w:rFonts w:ascii="Times New Roman" w:hAnsi="Times New Roman"/>
          <w:sz w:val="10"/>
          <w:szCs w:val="10"/>
        </w:rPr>
      </w:pPr>
      <w:r w:rsidRPr="004249FB">
        <w:rPr>
          <w:rFonts w:ascii="Times New Roman" w:hAnsi="Times New Roman"/>
          <w:sz w:val="10"/>
          <w:szCs w:val="10"/>
        </w:rPr>
        <w:tab/>
      </w:r>
    </w:p>
    <w:p w14:paraId="6A166EE7" w14:textId="0BE08338" w:rsidR="009F1EDF" w:rsidRDefault="009F1EDF" w:rsidP="009F1EDF">
      <w:pPr>
        <w:tabs>
          <w:tab w:val="left" w:pos="-1440"/>
          <w:tab w:val="left" w:pos="-720"/>
          <w:tab w:val="decimal" w:pos="0"/>
        </w:tabs>
        <w:ind w:firstLine="720"/>
        <w:rPr>
          <w:rFonts w:ascii="Times New Roman" w:hAnsi="Times New Roman"/>
        </w:rPr>
      </w:pPr>
      <w:r w:rsidRPr="00263E20">
        <w:rPr>
          <w:rFonts w:ascii="Times New Roman" w:hAnsi="Times New Roman"/>
        </w:rPr>
        <w:t xml:space="preserve">In estimating the burden per response, EPA assumes that all importers will include a copy of the product label as part of current practice and will voluntarily submit other supporting documents to EPA </w:t>
      </w:r>
      <w:r>
        <w:rPr>
          <w:rFonts w:ascii="Times New Roman" w:hAnsi="Times New Roman"/>
        </w:rPr>
        <w:t>as part of the NOA</w:t>
      </w:r>
      <w:r w:rsidRPr="00263E20">
        <w:rPr>
          <w:rFonts w:ascii="Times New Roman" w:hAnsi="Times New Roman"/>
        </w:rPr>
        <w:t>. In addition, EPA assumes importers of unregistered pesticides will voluntarily provide information regarding the intended use of the product, as well as a description of why the product is being imported.</w:t>
      </w:r>
      <w:r w:rsidR="00483BED">
        <w:rPr>
          <w:rFonts w:ascii="Times New Roman" w:hAnsi="Times New Roman"/>
        </w:rPr>
        <w:t xml:space="preserve"> </w:t>
      </w:r>
      <w:r w:rsidR="00C66B46">
        <w:rPr>
          <w:rFonts w:ascii="Times New Roman" w:hAnsi="Times New Roman"/>
        </w:rPr>
        <w:t xml:space="preserve">Therefore, all potential burden (both required and </w:t>
      </w:r>
      <w:r w:rsidR="00D31F92">
        <w:rPr>
          <w:rFonts w:ascii="Times New Roman" w:hAnsi="Times New Roman"/>
        </w:rPr>
        <w:t>recommended</w:t>
      </w:r>
      <w:r w:rsidR="00565ADC">
        <w:rPr>
          <w:rFonts w:ascii="Times New Roman" w:hAnsi="Times New Roman"/>
        </w:rPr>
        <w:t>/voluntary</w:t>
      </w:r>
      <w:r w:rsidR="00C66B46">
        <w:rPr>
          <w:rFonts w:ascii="Times New Roman" w:hAnsi="Times New Roman"/>
        </w:rPr>
        <w:t xml:space="preserve"> information)</w:t>
      </w:r>
      <w:r w:rsidR="008648F7">
        <w:rPr>
          <w:rFonts w:ascii="Times New Roman" w:hAnsi="Times New Roman"/>
        </w:rPr>
        <w:t xml:space="preserve"> for both register</w:t>
      </w:r>
      <w:r w:rsidR="002779B7">
        <w:rPr>
          <w:rFonts w:ascii="Times New Roman" w:hAnsi="Times New Roman"/>
        </w:rPr>
        <w:t>ed</w:t>
      </w:r>
      <w:r w:rsidR="008648F7">
        <w:rPr>
          <w:rFonts w:ascii="Times New Roman" w:hAnsi="Times New Roman"/>
        </w:rPr>
        <w:t xml:space="preserve"> and unregistered pesticide imports</w:t>
      </w:r>
      <w:r w:rsidR="00C66B46">
        <w:rPr>
          <w:rFonts w:ascii="Times New Roman" w:hAnsi="Times New Roman"/>
        </w:rPr>
        <w:t xml:space="preserve"> has been accounted for in these burden estimates, and may represent a</w:t>
      </w:r>
      <w:r w:rsidR="00C94F7E">
        <w:rPr>
          <w:rFonts w:ascii="Times New Roman" w:hAnsi="Times New Roman"/>
        </w:rPr>
        <w:t xml:space="preserve"> slight</w:t>
      </w:r>
      <w:r w:rsidR="00C66B46">
        <w:rPr>
          <w:rFonts w:ascii="Times New Roman" w:hAnsi="Times New Roman"/>
        </w:rPr>
        <w:t xml:space="preserve"> overestimation of actual paperwork burden.</w:t>
      </w:r>
    </w:p>
    <w:p w14:paraId="2ED568B4" w14:textId="63DB7E44" w:rsidR="009F1EDF" w:rsidRPr="00263E20" w:rsidRDefault="009F1EDF" w:rsidP="009F1EDF">
      <w:pPr>
        <w:tabs>
          <w:tab w:val="left" w:pos="-1440"/>
          <w:tab w:val="left" w:pos="-720"/>
          <w:tab w:val="decimal" w:pos="0"/>
        </w:tabs>
        <w:ind w:firstLine="720"/>
        <w:rPr>
          <w:rFonts w:ascii="Times New Roman" w:hAnsi="Times New Roman"/>
        </w:rPr>
      </w:pPr>
      <w:r>
        <w:rPr>
          <w:rFonts w:ascii="Times New Roman" w:hAnsi="Times New Roman"/>
        </w:rPr>
        <w:tab/>
      </w:r>
    </w:p>
    <w:p w14:paraId="5F2B69A8" w14:textId="77777777" w:rsidR="00F91098" w:rsidRPr="00263E20" w:rsidRDefault="00F91098" w:rsidP="009F1EDF">
      <w:pPr>
        <w:numPr>
          <w:ilvl w:val="12"/>
          <w:numId w:val="0"/>
        </w:numPr>
        <w:ind w:firstLine="720"/>
        <w:rPr>
          <w:rFonts w:ascii="Times New Roman" w:hAnsi="Times New Roman"/>
        </w:rPr>
      </w:pPr>
      <w:r w:rsidRPr="00263E20">
        <w:rPr>
          <w:rFonts w:ascii="Times New Roman" w:hAnsi="Times New Roman"/>
        </w:rPr>
        <w:t xml:space="preserve">On average, the burden associated with this information collection activity is approximately 0.43 hours (26 minutes) per response. This estimate is based on an average response time across </w:t>
      </w:r>
      <w:r w:rsidRPr="00B53AE0">
        <w:rPr>
          <w:rFonts w:ascii="Times New Roman" w:hAnsi="Times New Roman"/>
          <w:iCs/>
        </w:rPr>
        <w:t>all</w:t>
      </w:r>
      <w:r w:rsidRPr="008A30A2">
        <w:rPr>
          <w:rFonts w:ascii="Times New Roman" w:hAnsi="Times New Roman"/>
        </w:rPr>
        <w:t xml:space="preserve"> </w:t>
      </w:r>
      <w:r w:rsidRPr="00263E20">
        <w:rPr>
          <w:rFonts w:ascii="Times New Roman" w:hAnsi="Times New Roman"/>
        </w:rPr>
        <w:t>response types. The response time includes an estimated average of 4 minutes of managerial time, 9 minutes of technical time and 13 minutes of clerical time, which is broken down approximately as follows:</w:t>
      </w:r>
    </w:p>
    <w:p w14:paraId="1F813949" w14:textId="77777777" w:rsidR="00F91098" w:rsidRPr="00263E20" w:rsidRDefault="00F91098" w:rsidP="00F91098">
      <w:pPr>
        <w:numPr>
          <w:ilvl w:val="12"/>
          <w:numId w:val="0"/>
        </w:numPr>
        <w:rPr>
          <w:rFonts w:ascii="Times New Roman" w:hAnsi="Times New Roman"/>
        </w:rPr>
      </w:pPr>
    </w:p>
    <w:p w14:paraId="3B7F6489" w14:textId="77777777" w:rsidR="00F91098" w:rsidRPr="00263E20" w:rsidRDefault="00F91098" w:rsidP="00F91098">
      <w:pPr>
        <w:spacing w:line="2" w:lineRule="exact"/>
      </w:pPr>
    </w:p>
    <w:p w14:paraId="2140AC65" w14:textId="77777777" w:rsidR="00F91098" w:rsidRPr="00263E20" w:rsidRDefault="00F91098" w:rsidP="00F91098">
      <w:pPr>
        <w:pStyle w:val="ListParagraph"/>
        <w:numPr>
          <w:ilvl w:val="0"/>
          <w:numId w:val="13"/>
        </w:numPr>
        <w:tabs>
          <w:tab w:val="left" w:pos="-1440"/>
          <w:tab w:val="left" w:pos="-720"/>
          <w:tab w:val="decimal" w:pos="0"/>
        </w:tabs>
        <w:rPr>
          <w:rFonts w:ascii="Times New Roman" w:hAnsi="Times New Roman"/>
        </w:rPr>
      </w:pPr>
      <w:r w:rsidRPr="00263E20">
        <w:rPr>
          <w:rFonts w:ascii="Times New Roman" w:hAnsi="Times New Roman"/>
        </w:rPr>
        <w:t>4 managerial and technical minutes to read and hear any instructions.</w:t>
      </w:r>
    </w:p>
    <w:p w14:paraId="49226340" w14:textId="77777777" w:rsidR="007F54C6" w:rsidRPr="00263E20" w:rsidRDefault="007F54C6" w:rsidP="007F54C6">
      <w:pPr>
        <w:pStyle w:val="ListParagraph"/>
        <w:numPr>
          <w:ilvl w:val="0"/>
          <w:numId w:val="13"/>
        </w:numPr>
        <w:tabs>
          <w:tab w:val="left" w:pos="-1440"/>
          <w:tab w:val="left" w:pos="-720"/>
          <w:tab w:val="decimal" w:pos="0"/>
        </w:tabs>
        <w:rPr>
          <w:rFonts w:ascii="Times New Roman" w:hAnsi="Times New Roman"/>
        </w:rPr>
      </w:pPr>
      <w:r w:rsidRPr="00263E20">
        <w:rPr>
          <w:rFonts w:ascii="Times New Roman" w:hAnsi="Times New Roman"/>
        </w:rPr>
        <w:t>4 minutes of technical and clerical time to gather infor</w:t>
      </w:r>
      <w:r w:rsidR="00FC1559" w:rsidRPr="00263E20">
        <w:rPr>
          <w:rFonts w:ascii="Times New Roman" w:hAnsi="Times New Roman"/>
        </w:rPr>
        <w:t>mation, including the</w:t>
      </w:r>
      <w:r w:rsidR="00CE255F" w:rsidRPr="00263E20">
        <w:rPr>
          <w:rFonts w:ascii="Times New Roman" w:hAnsi="Times New Roman"/>
        </w:rPr>
        <w:t xml:space="preserve"> </w:t>
      </w:r>
      <w:r w:rsidRPr="00263E20">
        <w:rPr>
          <w:rFonts w:ascii="Times New Roman" w:hAnsi="Times New Roman"/>
        </w:rPr>
        <w:t>label or supporting information.</w:t>
      </w:r>
    </w:p>
    <w:p w14:paraId="47466FCE" w14:textId="7304BE45" w:rsidR="00F91098" w:rsidRPr="00263E20" w:rsidRDefault="00F91098" w:rsidP="00F91098">
      <w:pPr>
        <w:pStyle w:val="ListParagraph"/>
        <w:numPr>
          <w:ilvl w:val="0"/>
          <w:numId w:val="13"/>
        </w:numPr>
        <w:tabs>
          <w:tab w:val="left" w:pos="-1440"/>
          <w:tab w:val="left" w:pos="-720"/>
          <w:tab w:val="decimal" w:pos="0"/>
        </w:tabs>
        <w:rPr>
          <w:rFonts w:ascii="Times New Roman" w:hAnsi="Times New Roman"/>
        </w:rPr>
      </w:pPr>
      <w:r w:rsidRPr="00263E20">
        <w:rPr>
          <w:rFonts w:ascii="Times New Roman" w:hAnsi="Times New Roman"/>
        </w:rPr>
        <w:t>5 managerial and technical minutes to process</w:t>
      </w:r>
      <w:r w:rsidR="00D12875">
        <w:rPr>
          <w:rFonts w:ascii="Times New Roman" w:hAnsi="Times New Roman"/>
        </w:rPr>
        <w:t>,</w:t>
      </w:r>
      <w:r w:rsidRPr="00263E20">
        <w:rPr>
          <w:rFonts w:ascii="Times New Roman" w:hAnsi="Times New Roman"/>
        </w:rPr>
        <w:t xml:space="preserve"> compile and review information.</w:t>
      </w:r>
    </w:p>
    <w:p w14:paraId="743C1EB4" w14:textId="77777777" w:rsidR="00F91098" w:rsidRPr="00263E20" w:rsidRDefault="007F54C6" w:rsidP="00F91098">
      <w:pPr>
        <w:pStyle w:val="ListParagraph"/>
        <w:numPr>
          <w:ilvl w:val="0"/>
          <w:numId w:val="13"/>
        </w:numPr>
        <w:tabs>
          <w:tab w:val="left" w:pos="-1440"/>
          <w:tab w:val="left" w:pos="-720"/>
          <w:tab w:val="decimal" w:pos="0"/>
        </w:tabs>
        <w:rPr>
          <w:rFonts w:ascii="Times New Roman" w:hAnsi="Times New Roman"/>
        </w:rPr>
      </w:pPr>
      <w:r w:rsidRPr="00263E20">
        <w:rPr>
          <w:rFonts w:ascii="Times New Roman" w:hAnsi="Times New Roman"/>
        </w:rPr>
        <w:t>5</w:t>
      </w:r>
      <w:r w:rsidR="00F91098" w:rsidRPr="00263E20">
        <w:rPr>
          <w:rFonts w:ascii="Times New Roman" w:hAnsi="Times New Roman"/>
        </w:rPr>
        <w:t xml:space="preserve"> technical and clerical minutes to complete the form</w:t>
      </w:r>
      <w:r w:rsidRPr="00263E20">
        <w:rPr>
          <w:rFonts w:ascii="Times New Roman" w:hAnsi="Times New Roman"/>
        </w:rPr>
        <w:t xml:space="preserve"> and attach</w:t>
      </w:r>
      <w:r w:rsidR="00CE255F" w:rsidRPr="00263E20">
        <w:rPr>
          <w:rFonts w:ascii="Times New Roman" w:hAnsi="Times New Roman"/>
        </w:rPr>
        <w:t xml:space="preserve"> the </w:t>
      </w:r>
      <w:r w:rsidRPr="00263E20">
        <w:rPr>
          <w:rFonts w:ascii="Times New Roman" w:hAnsi="Times New Roman"/>
        </w:rPr>
        <w:t>label.</w:t>
      </w:r>
    </w:p>
    <w:p w14:paraId="4172DCAC" w14:textId="77777777" w:rsidR="00F91098" w:rsidRPr="00263E20" w:rsidRDefault="00F91098" w:rsidP="00F91098">
      <w:pPr>
        <w:pStyle w:val="ListParagraph"/>
        <w:numPr>
          <w:ilvl w:val="0"/>
          <w:numId w:val="13"/>
        </w:numPr>
        <w:tabs>
          <w:tab w:val="left" w:pos="-1440"/>
          <w:tab w:val="left" w:pos="-720"/>
          <w:tab w:val="decimal" w:pos="0"/>
        </w:tabs>
        <w:rPr>
          <w:rFonts w:ascii="Times New Roman" w:hAnsi="Times New Roman"/>
        </w:rPr>
      </w:pPr>
      <w:r w:rsidRPr="00263E20">
        <w:rPr>
          <w:rFonts w:ascii="Times New Roman" w:hAnsi="Times New Roman"/>
        </w:rPr>
        <w:t>4 clerical minutes to mail the form.</w:t>
      </w:r>
    </w:p>
    <w:p w14:paraId="6E8880EF" w14:textId="77777777" w:rsidR="00F91098" w:rsidRPr="00263E20" w:rsidRDefault="00F91098" w:rsidP="00F91098">
      <w:pPr>
        <w:pStyle w:val="ListParagraph"/>
        <w:numPr>
          <w:ilvl w:val="0"/>
          <w:numId w:val="13"/>
        </w:numPr>
        <w:tabs>
          <w:tab w:val="left" w:pos="-1440"/>
          <w:tab w:val="left" w:pos="-720"/>
          <w:tab w:val="decimal" w:pos="0"/>
        </w:tabs>
        <w:rPr>
          <w:rFonts w:ascii="Times New Roman" w:hAnsi="Times New Roman"/>
        </w:rPr>
      </w:pPr>
      <w:r w:rsidRPr="00263E20">
        <w:rPr>
          <w:rFonts w:ascii="Times New Roman" w:hAnsi="Times New Roman"/>
        </w:rPr>
        <w:t>4 clerical minutes to file the form and supporting information.</w:t>
      </w:r>
    </w:p>
    <w:p w14:paraId="05C7317C" w14:textId="77777777" w:rsidR="000E7C34" w:rsidRPr="00263E20" w:rsidRDefault="000E7C34">
      <w:pPr>
        <w:pStyle w:val="ListParagraph"/>
        <w:tabs>
          <w:tab w:val="left" w:pos="-1440"/>
          <w:tab w:val="left" w:pos="-720"/>
          <w:tab w:val="decimal" w:pos="0"/>
        </w:tabs>
        <w:ind w:left="1440"/>
        <w:rPr>
          <w:rFonts w:ascii="Times New Roman" w:hAnsi="Times New Roman"/>
        </w:rPr>
      </w:pPr>
    </w:p>
    <w:p w14:paraId="45C221D0" w14:textId="400252F7" w:rsidR="00B04024" w:rsidRPr="00263E20" w:rsidRDefault="00EF0F45">
      <w:pPr>
        <w:ind w:firstLine="720"/>
        <w:rPr>
          <w:rFonts w:ascii="Times New Roman" w:hAnsi="Times New Roman"/>
        </w:rPr>
      </w:pPr>
      <w:r w:rsidRPr="00263E20">
        <w:rPr>
          <w:rFonts w:ascii="Times New Roman" w:hAnsi="Times New Roman"/>
        </w:rPr>
        <w:t xml:space="preserve">Because EPA recommends that importers of unregistered pesticides voluntarily supply information about the intended use and an explanation of why the product is being imported, the responses types have been divided into two types. </w:t>
      </w:r>
      <w:r w:rsidR="00B04024" w:rsidRPr="00263E20">
        <w:rPr>
          <w:rFonts w:ascii="Times New Roman" w:hAnsi="Times New Roman"/>
        </w:rPr>
        <w:t xml:space="preserve">The number of respondents expected </w:t>
      </w:r>
      <w:r w:rsidR="00D12875">
        <w:rPr>
          <w:rFonts w:ascii="Times New Roman" w:hAnsi="Times New Roman"/>
        </w:rPr>
        <w:t xml:space="preserve">annually </w:t>
      </w:r>
      <w:r w:rsidR="00B04024" w:rsidRPr="00263E20">
        <w:rPr>
          <w:rFonts w:ascii="Times New Roman" w:hAnsi="Times New Roman"/>
        </w:rPr>
        <w:t xml:space="preserve">for each response type is </w:t>
      </w:r>
      <w:r w:rsidR="00B9245F" w:rsidRPr="00263E20">
        <w:rPr>
          <w:rFonts w:ascii="Times New Roman" w:hAnsi="Times New Roman"/>
        </w:rPr>
        <w:t>exhibited in Table 1</w:t>
      </w:r>
      <w:r w:rsidR="00B04024" w:rsidRPr="00263E20">
        <w:rPr>
          <w:rFonts w:ascii="Times New Roman" w:hAnsi="Times New Roman"/>
        </w:rPr>
        <w:t xml:space="preserve">. </w:t>
      </w:r>
    </w:p>
    <w:p w14:paraId="4397F224" w14:textId="77777777" w:rsidR="0048769C" w:rsidRPr="00263E20" w:rsidRDefault="0048769C">
      <w:pPr>
        <w:ind w:firstLine="720"/>
        <w:rPr>
          <w:rFonts w:ascii="Times New Roman" w:hAnsi="Times New Roman"/>
        </w:rPr>
      </w:pPr>
    </w:p>
    <w:p w14:paraId="37313728" w14:textId="1AA1FDD1" w:rsidR="00B04024" w:rsidRPr="00263E20" w:rsidRDefault="00F53E3C" w:rsidP="00C213CC">
      <w:pPr>
        <w:keepNext/>
        <w:keepLines/>
        <w:ind w:firstLine="720"/>
        <w:rPr>
          <w:rFonts w:ascii="Times New Roman" w:hAnsi="Times New Roman"/>
          <w:b/>
        </w:rPr>
      </w:pPr>
      <w:r w:rsidRPr="00263E20">
        <w:rPr>
          <w:rFonts w:ascii="Times New Roman" w:hAnsi="Times New Roman"/>
          <w:b/>
        </w:rPr>
        <w:t xml:space="preserve">Table 1: </w:t>
      </w:r>
      <w:r w:rsidR="00D12875">
        <w:rPr>
          <w:rFonts w:ascii="Times New Roman" w:hAnsi="Times New Roman"/>
          <w:b/>
        </w:rPr>
        <w:t xml:space="preserve">Estimated Average Annual </w:t>
      </w:r>
      <w:r w:rsidRPr="00263E20">
        <w:rPr>
          <w:rFonts w:ascii="Times New Roman" w:hAnsi="Times New Roman"/>
          <w:b/>
        </w:rPr>
        <w:t>Number of Responses</w:t>
      </w:r>
      <w:r w:rsidR="00D12875">
        <w:rPr>
          <w:rFonts w:ascii="Times New Roman" w:hAnsi="Times New Roman"/>
          <w:b/>
        </w:rPr>
        <w:t>,</w:t>
      </w:r>
      <w:r w:rsidRPr="00263E20">
        <w:rPr>
          <w:rFonts w:ascii="Times New Roman" w:hAnsi="Times New Roman"/>
          <w:b/>
        </w:rPr>
        <w:t xml:space="preserve"> by Type</w:t>
      </w:r>
    </w:p>
    <w:tbl>
      <w:tblPr>
        <w:tblW w:w="9720" w:type="dxa"/>
        <w:tblInd w:w="12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815"/>
        <w:gridCol w:w="1853"/>
        <w:gridCol w:w="1526"/>
        <w:gridCol w:w="1526"/>
      </w:tblGrid>
      <w:tr w:rsidR="00601B91" w:rsidRPr="00DE7075" w14:paraId="34D45C8D" w14:textId="77777777" w:rsidTr="0032665A">
        <w:trPr>
          <w:cantSplit/>
        </w:trPr>
        <w:tc>
          <w:tcPr>
            <w:tcW w:w="4815" w:type="dxa"/>
            <w:vAlign w:val="center"/>
          </w:tcPr>
          <w:p w14:paraId="761DB878" w14:textId="77777777" w:rsidR="00601B91" w:rsidRPr="00DE7075" w:rsidRDefault="00601B91" w:rsidP="00C213CC">
            <w:pPr>
              <w:keepNext/>
              <w:keepLines/>
              <w:numPr>
                <w:ilvl w:val="12"/>
                <w:numId w:val="0"/>
              </w:numPr>
              <w:spacing w:before="134" w:after="72"/>
              <w:rPr>
                <w:rFonts w:ascii="Times New Roman" w:hAnsi="Times New Roman"/>
              </w:rPr>
            </w:pPr>
            <w:bookmarkStart w:id="1" w:name="_Hlk250528208"/>
            <w:r w:rsidRPr="00DE7075">
              <w:rPr>
                <w:rFonts w:ascii="Times New Roman" w:hAnsi="Times New Roman"/>
                <w:b/>
                <w:bCs/>
              </w:rPr>
              <w:t>Type of Response</w:t>
            </w:r>
          </w:p>
        </w:tc>
        <w:tc>
          <w:tcPr>
            <w:tcW w:w="1853" w:type="dxa"/>
          </w:tcPr>
          <w:p w14:paraId="6D3AC39C" w14:textId="77777777" w:rsidR="000E7C34" w:rsidRPr="00DE7075" w:rsidRDefault="00601B91">
            <w:pPr>
              <w:keepNext/>
              <w:keepLines/>
              <w:numPr>
                <w:ilvl w:val="12"/>
                <w:numId w:val="0"/>
              </w:numPr>
              <w:spacing w:before="134" w:after="72"/>
              <w:jc w:val="center"/>
              <w:rPr>
                <w:rFonts w:ascii="Times New Roman" w:hAnsi="Times New Roman"/>
              </w:rPr>
            </w:pPr>
            <w:r w:rsidRPr="00DE7075">
              <w:rPr>
                <w:rFonts w:ascii="Times New Roman" w:hAnsi="Times New Roman"/>
                <w:b/>
                <w:bCs/>
              </w:rPr>
              <w:t>Number of Responses</w:t>
            </w:r>
          </w:p>
        </w:tc>
        <w:tc>
          <w:tcPr>
            <w:tcW w:w="1526" w:type="dxa"/>
          </w:tcPr>
          <w:p w14:paraId="026F26CB" w14:textId="77777777" w:rsidR="000E7C34" w:rsidRPr="00DE7075" w:rsidRDefault="00601B91">
            <w:pPr>
              <w:keepNext/>
              <w:keepLines/>
              <w:numPr>
                <w:ilvl w:val="12"/>
                <w:numId w:val="0"/>
              </w:numPr>
              <w:spacing w:before="134" w:after="72"/>
              <w:jc w:val="center"/>
              <w:rPr>
                <w:rFonts w:ascii="Times New Roman" w:hAnsi="Times New Roman"/>
              </w:rPr>
            </w:pPr>
            <w:r w:rsidRPr="00DE7075">
              <w:rPr>
                <w:rFonts w:ascii="Times New Roman" w:hAnsi="Times New Roman"/>
                <w:b/>
                <w:bCs/>
              </w:rPr>
              <w:t>Percent of Total</w:t>
            </w:r>
            <w:r w:rsidR="008D2CC7" w:rsidRPr="00DE7075">
              <w:rPr>
                <w:rFonts w:ascii="Times New Roman" w:hAnsi="Times New Roman"/>
                <w:b/>
                <w:bCs/>
              </w:rPr>
              <w:t xml:space="preserve"> </w:t>
            </w:r>
            <w:r w:rsidR="003E4F30" w:rsidRPr="00DE7075">
              <w:rPr>
                <w:rFonts w:ascii="Times New Roman" w:hAnsi="Times New Roman"/>
                <w:b/>
                <w:bCs/>
              </w:rPr>
              <w:t>(%)</w:t>
            </w:r>
          </w:p>
        </w:tc>
        <w:tc>
          <w:tcPr>
            <w:tcW w:w="1526" w:type="dxa"/>
          </w:tcPr>
          <w:p w14:paraId="7D2FFB9B" w14:textId="77777777" w:rsidR="000E7C34" w:rsidRPr="00DE7075" w:rsidRDefault="00601B91">
            <w:pPr>
              <w:keepNext/>
              <w:keepLines/>
              <w:numPr>
                <w:ilvl w:val="12"/>
                <w:numId w:val="0"/>
              </w:numPr>
              <w:spacing w:before="134" w:after="72"/>
              <w:jc w:val="center"/>
              <w:rPr>
                <w:rFonts w:ascii="Times New Roman" w:hAnsi="Times New Roman"/>
                <w:b/>
                <w:bCs/>
              </w:rPr>
            </w:pPr>
            <w:r w:rsidRPr="00DE7075">
              <w:rPr>
                <w:rFonts w:ascii="Times New Roman" w:hAnsi="Times New Roman"/>
                <w:b/>
                <w:bCs/>
              </w:rPr>
              <w:t>Burden Hours per Response</w:t>
            </w:r>
          </w:p>
        </w:tc>
      </w:tr>
      <w:tr w:rsidR="007D30A8" w:rsidRPr="00DE7075" w14:paraId="49EFBE1E" w14:textId="77777777" w:rsidTr="0032665A">
        <w:trPr>
          <w:cantSplit/>
        </w:trPr>
        <w:tc>
          <w:tcPr>
            <w:tcW w:w="4815" w:type="dxa"/>
            <w:vAlign w:val="center"/>
          </w:tcPr>
          <w:p w14:paraId="51EF65B6" w14:textId="0B37BAA3" w:rsidR="007D30A8" w:rsidRPr="00DE7075" w:rsidRDefault="007D30A8" w:rsidP="007D30A8">
            <w:pPr>
              <w:keepNext/>
              <w:keepLines/>
              <w:numPr>
                <w:ilvl w:val="12"/>
                <w:numId w:val="0"/>
              </w:numPr>
              <w:spacing w:before="134" w:after="72"/>
              <w:rPr>
                <w:rFonts w:ascii="Times New Roman" w:hAnsi="Times New Roman"/>
              </w:rPr>
            </w:pPr>
            <w:bookmarkStart w:id="2" w:name="_Hlk250471742"/>
            <w:r w:rsidRPr="00DE7075">
              <w:rPr>
                <w:rFonts w:ascii="Times New Roman" w:hAnsi="Times New Roman"/>
              </w:rPr>
              <w:t>Registered Pesticides and Pesticidal Devices</w:t>
            </w:r>
          </w:p>
        </w:tc>
        <w:tc>
          <w:tcPr>
            <w:tcW w:w="1853" w:type="dxa"/>
          </w:tcPr>
          <w:p w14:paraId="681DE4CF" w14:textId="5534D7E0" w:rsidR="007D30A8" w:rsidRPr="00DE7075" w:rsidRDefault="007D30A8" w:rsidP="007D30A8">
            <w:pPr>
              <w:keepNext/>
              <w:keepLines/>
              <w:numPr>
                <w:ilvl w:val="12"/>
                <w:numId w:val="0"/>
              </w:numPr>
              <w:spacing w:before="134" w:after="72"/>
              <w:jc w:val="center"/>
              <w:rPr>
                <w:rFonts w:ascii="Times New Roman" w:hAnsi="Times New Roman"/>
              </w:rPr>
            </w:pPr>
            <w:r w:rsidRPr="00DE7075">
              <w:rPr>
                <w:rFonts w:ascii="Times New Roman" w:hAnsi="Times New Roman"/>
              </w:rPr>
              <w:t>26,600</w:t>
            </w:r>
          </w:p>
        </w:tc>
        <w:tc>
          <w:tcPr>
            <w:tcW w:w="1526" w:type="dxa"/>
          </w:tcPr>
          <w:p w14:paraId="5DDFD667" w14:textId="77777777" w:rsidR="007D30A8" w:rsidRPr="00DE7075" w:rsidRDefault="007D30A8" w:rsidP="007D30A8">
            <w:pPr>
              <w:keepNext/>
              <w:keepLines/>
              <w:numPr>
                <w:ilvl w:val="12"/>
                <w:numId w:val="0"/>
              </w:numPr>
              <w:spacing w:before="134" w:after="72"/>
              <w:jc w:val="center"/>
              <w:rPr>
                <w:rFonts w:ascii="Times New Roman" w:hAnsi="Times New Roman"/>
              </w:rPr>
            </w:pPr>
            <w:r w:rsidRPr="00DE7075">
              <w:rPr>
                <w:rFonts w:ascii="Times New Roman" w:hAnsi="Times New Roman"/>
              </w:rPr>
              <w:t>70</w:t>
            </w:r>
          </w:p>
        </w:tc>
        <w:tc>
          <w:tcPr>
            <w:tcW w:w="1526" w:type="dxa"/>
          </w:tcPr>
          <w:p w14:paraId="6F311B43" w14:textId="77777777" w:rsidR="007D30A8" w:rsidRPr="00DE7075" w:rsidRDefault="007D30A8" w:rsidP="007D30A8">
            <w:pPr>
              <w:keepNext/>
              <w:keepLines/>
              <w:numPr>
                <w:ilvl w:val="12"/>
                <w:numId w:val="0"/>
              </w:numPr>
              <w:spacing w:before="134" w:after="72"/>
              <w:jc w:val="center"/>
              <w:rPr>
                <w:rFonts w:ascii="Times New Roman" w:hAnsi="Times New Roman"/>
              </w:rPr>
            </w:pPr>
            <w:r w:rsidRPr="00DE7075">
              <w:rPr>
                <w:rFonts w:ascii="Times New Roman" w:hAnsi="Times New Roman"/>
              </w:rPr>
              <w:t>0.40</w:t>
            </w:r>
          </w:p>
        </w:tc>
      </w:tr>
      <w:tr w:rsidR="007D30A8" w:rsidRPr="00DE7075" w14:paraId="20119E4D" w14:textId="77777777" w:rsidTr="0032665A">
        <w:trPr>
          <w:cantSplit/>
        </w:trPr>
        <w:tc>
          <w:tcPr>
            <w:tcW w:w="4815" w:type="dxa"/>
            <w:vAlign w:val="center"/>
          </w:tcPr>
          <w:p w14:paraId="0D5D6A94" w14:textId="77777777" w:rsidR="007D30A8" w:rsidRPr="00DE7075" w:rsidRDefault="007D30A8" w:rsidP="007D30A8">
            <w:pPr>
              <w:keepNext/>
              <w:keepLines/>
              <w:numPr>
                <w:ilvl w:val="12"/>
                <w:numId w:val="0"/>
              </w:numPr>
              <w:spacing w:before="134" w:after="72"/>
              <w:rPr>
                <w:rFonts w:ascii="Times New Roman" w:hAnsi="Times New Roman"/>
              </w:rPr>
            </w:pPr>
            <w:r w:rsidRPr="00DE7075">
              <w:rPr>
                <w:rFonts w:ascii="Times New Roman" w:hAnsi="Times New Roman"/>
              </w:rPr>
              <w:t>Unregistered Pesticides</w:t>
            </w:r>
          </w:p>
        </w:tc>
        <w:tc>
          <w:tcPr>
            <w:tcW w:w="1853" w:type="dxa"/>
          </w:tcPr>
          <w:p w14:paraId="53CE75E6" w14:textId="674A80F8" w:rsidR="007D30A8" w:rsidRPr="00DE7075" w:rsidRDefault="007D30A8" w:rsidP="007D30A8">
            <w:pPr>
              <w:keepNext/>
              <w:keepLines/>
              <w:numPr>
                <w:ilvl w:val="12"/>
                <w:numId w:val="0"/>
              </w:numPr>
              <w:spacing w:before="134" w:after="72"/>
              <w:jc w:val="center"/>
              <w:rPr>
                <w:rFonts w:ascii="Times New Roman" w:hAnsi="Times New Roman"/>
              </w:rPr>
            </w:pPr>
            <w:r w:rsidRPr="00DE7075">
              <w:rPr>
                <w:rFonts w:ascii="Times New Roman" w:hAnsi="Times New Roman"/>
              </w:rPr>
              <w:t>11,400</w:t>
            </w:r>
          </w:p>
        </w:tc>
        <w:tc>
          <w:tcPr>
            <w:tcW w:w="1526" w:type="dxa"/>
          </w:tcPr>
          <w:p w14:paraId="328DD2FF" w14:textId="77777777" w:rsidR="007D30A8" w:rsidRPr="00DE7075" w:rsidRDefault="007D30A8" w:rsidP="007D30A8">
            <w:pPr>
              <w:keepNext/>
              <w:keepLines/>
              <w:numPr>
                <w:ilvl w:val="12"/>
                <w:numId w:val="0"/>
              </w:numPr>
              <w:spacing w:before="134" w:after="72"/>
              <w:jc w:val="center"/>
              <w:rPr>
                <w:rFonts w:ascii="Times New Roman" w:hAnsi="Times New Roman"/>
              </w:rPr>
            </w:pPr>
            <w:r w:rsidRPr="00DE7075">
              <w:rPr>
                <w:rFonts w:ascii="Times New Roman" w:hAnsi="Times New Roman"/>
              </w:rPr>
              <w:t>30</w:t>
            </w:r>
          </w:p>
        </w:tc>
        <w:tc>
          <w:tcPr>
            <w:tcW w:w="1526" w:type="dxa"/>
          </w:tcPr>
          <w:p w14:paraId="05E43D55" w14:textId="77777777" w:rsidR="007D30A8" w:rsidRPr="00DE7075" w:rsidRDefault="007D30A8" w:rsidP="007D30A8">
            <w:pPr>
              <w:keepNext/>
              <w:keepLines/>
              <w:numPr>
                <w:ilvl w:val="12"/>
                <w:numId w:val="0"/>
              </w:numPr>
              <w:spacing w:before="134" w:after="72"/>
              <w:jc w:val="center"/>
              <w:rPr>
                <w:rFonts w:ascii="Times New Roman" w:hAnsi="Times New Roman"/>
              </w:rPr>
            </w:pPr>
            <w:r w:rsidRPr="00DE7075">
              <w:rPr>
                <w:rFonts w:ascii="Times New Roman" w:hAnsi="Times New Roman"/>
              </w:rPr>
              <w:t>0.50</w:t>
            </w:r>
          </w:p>
        </w:tc>
      </w:tr>
      <w:bookmarkEnd w:id="1"/>
      <w:bookmarkEnd w:id="2"/>
    </w:tbl>
    <w:p w14:paraId="5EF2C132" w14:textId="77777777" w:rsidR="00B04024" w:rsidRPr="00263E20" w:rsidRDefault="00B04024">
      <w:pPr>
        <w:ind w:firstLine="720"/>
        <w:rPr>
          <w:rFonts w:ascii="Times New Roman" w:hAnsi="Times New Roman"/>
        </w:rPr>
      </w:pPr>
    </w:p>
    <w:p w14:paraId="3A01FFC3" w14:textId="77777777" w:rsidR="00047D04" w:rsidRPr="00263E20" w:rsidRDefault="00047D04" w:rsidP="007705F0">
      <w:pPr>
        <w:numPr>
          <w:ilvl w:val="12"/>
          <w:numId w:val="0"/>
        </w:numPr>
        <w:rPr>
          <w:rFonts w:ascii="Times New Roman" w:hAnsi="Times New Roman"/>
        </w:rPr>
      </w:pPr>
    </w:p>
    <w:p w14:paraId="79BDA557" w14:textId="0833EBAF" w:rsidR="000E7C34" w:rsidRDefault="00047D04" w:rsidP="0018164C">
      <w:pPr>
        <w:numPr>
          <w:ilvl w:val="12"/>
          <w:numId w:val="0"/>
        </w:numPr>
        <w:ind w:firstLine="720"/>
        <w:rPr>
          <w:rFonts w:ascii="Times New Roman" w:hAnsi="Times New Roman"/>
        </w:rPr>
      </w:pPr>
      <w:r w:rsidRPr="00263E20">
        <w:rPr>
          <w:rFonts w:ascii="Times New Roman" w:hAnsi="Times New Roman"/>
        </w:rPr>
        <w:t xml:space="preserve">EPA estimates it will take respondents submitting a NOA for a registered pesticide or </w:t>
      </w:r>
      <w:r w:rsidR="001D582F" w:rsidRPr="00263E20">
        <w:rPr>
          <w:rFonts w:ascii="Times New Roman" w:hAnsi="Times New Roman"/>
        </w:rPr>
        <w:t xml:space="preserve">pesticidal </w:t>
      </w:r>
      <w:r w:rsidRPr="00263E20">
        <w:rPr>
          <w:rFonts w:ascii="Times New Roman" w:hAnsi="Times New Roman"/>
        </w:rPr>
        <w:t>device product 0.4</w:t>
      </w:r>
      <w:r w:rsidR="00053573" w:rsidRPr="00263E20">
        <w:rPr>
          <w:rFonts w:ascii="Times New Roman" w:hAnsi="Times New Roman"/>
        </w:rPr>
        <w:t>0</w:t>
      </w:r>
      <w:r w:rsidRPr="00263E20">
        <w:rPr>
          <w:rFonts w:ascii="Times New Roman" w:hAnsi="Times New Roman"/>
        </w:rPr>
        <w:t xml:space="preserve"> hours</w:t>
      </w:r>
      <w:r w:rsidR="00242950" w:rsidRPr="00263E20">
        <w:rPr>
          <w:rFonts w:ascii="Times New Roman" w:hAnsi="Times New Roman"/>
        </w:rPr>
        <w:t xml:space="preserve"> </w:t>
      </w:r>
      <w:r w:rsidR="008A7ADE">
        <w:rPr>
          <w:rFonts w:ascii="Times New Roman" w:hAnsi="Times New Roman"/>
        </w:rPr>
        <w:t xml:space="preserve">(i.e., 24 minutes) </w:t>
      </w:r>
      <w:r w:rsidR="00242950" w:rsidRPr="00263E20">
        <w:rPr>
          <w:rFonts w:ascii="Times New Roman" w:hAnsi="Times New Roman"/>
        </w:rPr>
        <w:t>per response</w:t>
      </w:r>
      <w:r w:rsidRPr="00263E20">
        <w:rPr>
          <w:rFonts w:ascii="Times New Roman" w:hAnsi="Times New Roman"/>
        </w:rPr>
        <w:t xml:space="preserve"> to read instructions, complete form, and submit </w:t>
      </w:r>
      <w:r w:rsidR="00242950" w:rsidRPr="00263E20">
        <w:rPr>
          <w:rFonts w:ascii="Times New Roman" w:hAnsi="Times New Roman"/>
        </w:rPr>
        <w:t xml:space="preserve">information </w:t>
      </w:r>
      <w:r w:rsidRPr="00263E20">
        <w:rPr>
          <w:rFonts w:ascii="Times New Roman" w:hAnsi="Times New Roman"/>
        </w:rPr>
        <w:t xml:space="preserve">to EPA and Customs, for a total of </w:t>
      </w:r>
      <w:r w:rsidR="00FC4F07" w:rsidRPr="00263E20">
        <w:rPr>
          <w:rFonts w:ascii="Times New Roman" w:hAnsi="Times New Roman"/>
        </w:rPr>
        <w:t>10</w:t>
      </w:r>
      <w:r w:rsidRPr="00263E20">
        <w:rPr>
          <w:rFonts w:ascii="Times New Roman" w:hAnsi="Times New Roman"/>
        </w:rPr>
        <w:t>,</w:t>
      </w:r>
      <w:r w:rsidR="00FC4F07" w:rsidRPr="00B53AE0">
        <w:rPr>
          <w:rFonts w:ascii="Times New Roman" w:hAnsi="Times New Roman"/>
        </w:rPr>
        <w:t>640</w:t>
      </w:r>
      <w:r w:rsidRPr="00263E20">
        <w:rPr>
          <w:rFonts w:ascii="Times New Roman" w:hAnsi="Times New Roman"/>
        </w:rPr>
        <w:t xml:space="preserve"> hours annually. Respondents submitting a NOA for unregistered pesticides will require 0.5</w:t>
      </w:r>
      <w:r w:rsidR="008D2CC7" w:rsidRPr="00263E20">
        <w:rPr>
          <w:rFonts w:ascii="Times New Roman" w:hAnsi="Times New Roman"/>
        </w:rPr>
        <w:t>0</w:t>
      </w:r>
      <w:r w:rsidRPr="00263E20">
        <w:rPr>
          <w:rFonts w:ascii="Times New Roman" w:hAnsi="Times New Roman"/>
        </w:rPr>
        <w:t xml:space="preserve"> hours </w:t>
      </w:r>
      <w:r w:rsidR="008A7ADE">
        <w:rPr>
          <w:rFonts w:ascii="Times New Roman" w:hAnsi="Times New Roman"/>
        </w:rPr>
        <w:t xml:space="preserve">(i.e., 30 minutes) </w:t>
      </w:r>
      <w:r w:rsidRPr="00263E20">
        <w:rPr>
          <w:rFonts w:ascii="Times New Roman" w:hAnsi="Times New Roman"/>
        </w:rPr>
        <w:t xml:space="preserve">for these activities, or </w:t>
      </w:r>
      <w:r w:rsidR="00C212BF" w:rsidRPr="00263E20">
        <w:rPr>
          <w:rFonts w:ascii="Times New Roman" w:hAnsi="Times New Roman"/>
        </w:rPr>
        <w:t>5</w:t>
      </w:r>
      <w:r w:rsidRPr="00263E20">
        <w:rPr>
          <w:rFonts w:ascii="Times New Roman" w:hAnsi="Times New Roman"/>
        </w:rPr>
        <w:t>,</w:t>
      </w:r>
      <w:r w:rsidR="00FC4F07" w:rsidRPr="00B53AE0">
        <w:rPr>
          <w:rFonts w:ascii="Times New Roman" w:hAnsi="Times New Roman"/>
        </w:rPr>
        <w:t>700</w:t>
      </w:r>
      <w:r w:rsidRPr="00263E20">
        <w:rPr>
          <w:rFonts w:ascii="Times New Roman" w:hAnsi="Times New Roman"/>
        </w:rPr>
        <w:t xml:space="preserve"> hours annually. The annual burden hours per response type are found by multiplying the annual number of responses </w:t>
      </w:r>
      <w:r w:rsidR="00DD19FD">
        <w:rPr>
          <w:rFonts w:ascii="Times New Roman" w:hAnsi="Times New Roman"/>
        </w:rPr>
        <w:t xml:space="preserve">for each </w:t>
      </w:r>
      <w:r w:rsidRPr="00263E20">
        <w:rPr>
          <w:rFonts w:ascii="Times New Roman" w:hAnsi="Times New Roman"/>
        </w:rPr>
        <w:t>response type</w:t>
      </w:r>
      <w:r w:rsidR="00DD19FD">
        <w:rPr>
          <w:rFonts w:ascii="Times New Roman" w:hAnsi="Times New Roman"/>
        </w:rPr>
        <w:t>,</w:t>
      </w:r>
      <w:r w:rsidRPr="00263E20">
        <w:rPr>
          <w:rFonts w:ascii="Times New Roman" w:hAnsi="Times New Roman"/>
        </w:rPr>
        <w:t xml:space="preserve"> time</w:t>
      </w:r>
      <w:r w:rsidR="00242950" w:rsidRPr="00263E20">
        <w:rPr>
          <w:rFonts w:ascii="Times New Roman" w:hAnsi="Times New Roman"/>
        </w:rPr>
        <w:t>s</w:t>
      </w:r>
      <w:r w:rsidRPr="00263E20">
        <w:rPr>
          <w:rFonts w:ascii="Times New Roman" w:hAnsi="Times New Roman"/>
        </w:rPr>
        <w:t xml:space="preserve"> the </w:t>
      </w:r>
      <w:r w:rsidR="00DD19FD">
        <w:rPr>
          <w:rFonts w:ascii="Times New Roman" w:hAnsi="Times New Roman"/>
        </w:rPr>
        <w:t xml:space="preserve">estimated </w:t>
      </w:r>
      <w:r w:rsidRPr="00263E20">
        <w:rPr>
          <w:rFonts w:ascii="Times New Roman" w:hAnsi="Times New Roman"/>
        </w:rPr>
        <w:t>burden per response</w:t>
      </w:r>
      <w:r w:rsidR="00DD19FD">
        <w:rPr>
          <w:rFonts w:ascii="Times New Roman" w:hAnsi="Times New Roman"/>
        </w:rPr>
        <w:t xml:space="preserve"> for that type</w:t>
      </w:r>
      <w:r w:rsidRPr="00263E20">
        <w:rPr>
          <w:rFonts w:ascii="Times New Roman" w:hAnsi="Times New Roman"/>
        </w:rPr>
        <w:t xml:space="preserve">. The paperwork burden estimates represent the average </w:t>
      </w:r>
      <w:r w:rsidR="00DD19FD">
        <w:rPr>
          <w:rFonts w:ascii="Times New Roman" w:hAnsi="Times New Roman"/>
        </w:rPr>
        <w:t xml:space="preserve">burden and </w:t>
      </w:r>
      <w:r w:rsidRPr="00263E20">
        <w:rPr>
          <w:rFonts w:ascii="Times New Roman" w:hAnsi="Times New Roman"/>
        </w:rPr>
        <w:t>costs. Some respondents will spend less time and others more time than the average estimated. The total estimated respondent burden to comply with this information collection is 1</w:t>
      </w:r>
      <w:r w:rsidR="00FC4F07" w:rsidRPr="00B53AE0">
        <w:rPr>
          <w:rFonts w:ascii="Times New Roman" w:hAnsi="Times New Roman"/>
        </w:rPr>
        <w:t>6</w:t>
      </w:r>
      <w:r w:rsidRPr="00263E20">
        <w:rPr>
          <w:rFonts w:ascii="Times New Roman" w:hAnsi="Times New Roman"/>
        </w:rPr>
        <w:t>,</w:t>
      </w:r>
      <w:r w:rsidR="00FC4F07" w:rsidRPr="00B53AE0">
        <w:rPr>
          <w:rFonts w:ascii="Times New Roman" w:hAnsi="Times New Roman"/>
        </w:rPr>
        <w:t>340</w:t>
      </w:r>
      <w:r w:rsidRPr="00263E20">
        <w:rPr>
          <w:rFonts w:ascii="Times New Roman" w:hAnsi="Times New Roman"/>
        </w:rPr>
        <w:t xml:space="preserve"> hours annually. </w:t>
      </w:r>
    </w:p>
    <w:p w14:paraId="710392AF" w14:textId="77777777" w:rsidR="00DB0E8E" w:rsidRDefault="00DB0E8E" w:rsidP="0018164C">
      <w:pPr>
        <w:numPr>
          <w:ilvl w:val="12"/>
          <w:numId w:val="0"/>
        </w:numPr>
        <w:ind w:firstLine="720"/>
        <w:rPr>
          <w:rFonts w:ascii="Times New Roman" w:hAnsi="Times New Roman"/>
        </w:rPr>
      </w:pPr>
    </w:p>
    <w:p w14:paraId="13C085C6" w14:textId="406761F8" w:rsidR="00DB0E8E" w:rsidRPr="00263E20" w:rsidRDefault="00D3394F" w:rsidP="00DB0E8E">
      <w:pPr>
        <w:widowControl/>
        <w:tabs>
          <w:tab w:val="left" w:pos="-1440"/>
          <w:tab w:val="left" w:pos="-720"/>
          <w:tab w:val="decimal" w:pos="0"/>
        </w:tabs>
        <w:ind w:firstLine="720"/>
        <w:rPr>
          <w:rFonts w:ascii="Times New Roman" w:hAnsi="Times New Roman"/>
        </w:rPr>
      </w:pPr>
      <w:r>
        <w:rPr>
          <w:rFonts w:ascii="Times New Roman" w:hAnsi="Times New Roman"/>
        </w:rPr>
        <w:t>Since the option to file NOAs electronically is new to many importers, t</w:t>
      </w:r>
      <w:r w:rsidR="00DB0E8E">
        <w:rPr>
          <w:rFonts w:ascii="Times New Roman" w:hAnsi="Times New Roman"/>
        </w:rPr>
        <w:t xml:space="preserve">he </w:t>
      </w:r>
      <w:r w:rsidR="00094464">
        <w:rPr>
          <w:rFonts w:ascii="Times New Roman" w:hAnsi="Times New Roman"/>
        </w:rPr>
        <w:t xml:space="preserve">burden </w:t>
      </w:r>
      <w:r w:rsidR="00DB0E8E">
        <w:rPr>
          <w:rFonts w:ascii="Times New Roman" w:hAnsi="Times New Roman"/>
        </w:rPr>
        <w:t>estimates in this renewal assumes that companies will submit the NOA using paper Form 3450-1</w:t>
      </w:r>
      <w:r w:rsidR="00BD76B1">
        <w:rPr>
          <w:rFonts w:ascii="Times New Roman" w:hAnsi="Times New Roman"/>
        </w:rPr>
        <w:t xml:space="preserve">, which </w:t>
      </w:r>
      <w:r w:rsidR="00E2664C">
        <w:rPr>
          <w:rFonts w:ascii="Times New Roman" w:hAnsi="Times New Roman"/>
        </w:rPr>
        <w:t xml:space="preserve">EPA believes </w:t>
      </w:r>
      <w:r w:rsidR="00024C60">
        <w:rPr>
          <w:rFonts w:ascii="Times New Roman" w:hAnsi="Times New Roman"/>
        </w:rPr>
        <w:t>overestimates</w:t>
      </w:r>
      <w:r w:rsidR="00094464">
        <w:rPr>
          <w:rFonts w:ascii="Times New Roman" w:hAnsi="Times New Roman"/>
        </w:rPr>
        <w:t xml:space="preserve"> the</w:t>
      </w:r>
      <w:r w:rsidR="00BD76B1">
        <w:rPr>
          <w:rFonts w:ascii="Times New Roman" w:hAnsi="Times New Roman"/>
        </w:rPr>
        <w:t xml:space="preserve"> </w:t>
      </w:r>
      <w:r>
        <w:rPr>
          <w:rFonts w:ascii="Times New Roman" w:hAnsi="Times New Roman"/>
        </w:rPr>
        <w:t>burden to submit a NOA electronically.</w:t>
      </w:r>
      <w:r w:rsidR="00DB0E8E">
        <w:rPr>
          <w:rFonts w:ascii="Times New Roman" w:hAnsi="Times New Roman"/>
        </w:rPr>
        <w:t xml:space="preserve"> </w:t>
      </w:r>
      <w:r w:rsidR="00BA774D">
        <w:rPr>
          <w:rFonts w:ascii="Times New Roman" w:hAnsi="Times New Roman"/>
        </w:rPr>
        <w:t xml:space="preserve">Over time, </w:t>
      </w:r>
      <w:r w:rsidR="00DB0E8E">
        <w:rPr>
          <w:rFonts w:ascii="Times New Roman" w:hAnsi="Times New Roman"/>
        </w:rPr>
        <w:t>EPA expects that the burden to file NOAs will decrease as electronic NOA filing</w:t>
      </w:r>
      <w:r w:rsidR="0073715E">
        <w:rPr>
          <w:rFonts w:ascii="Times New Roman" w:hAnsi="Times New Roman"/>
        </w:rPr>
        <w:t>s</w:t>
      </w:r>
      <w:r w:rsidR="00DB0E8E">
        <w:rPr>
          <w:rFonts w:ascii="Times New Roman" w:hAnsi="Times New Roman"/>
        </w:rPr>
        <w:t xml:space="preserve"> become a part of standard business practice. These</w:t>
      </w:r>
      <w:r w:rsidR="005B14DD">
        <w:rPr>
          <w:rFonts w:ascii="Times New Roman" w:hAnsi="Times New Roman"/>
        </w:rPr>
        <w:t xml:space="preserve"> burden</w:t>
      </w:r>
      <w:r w:rsidR="00DB0E8E">
        <w:rPr>
          <w:rFonts w:ascii="Times New Roman" w:hAnsi="Times New Roman"/>
        </w:rPr>
        <w:t xml:space="preserve"> reductions will be </w:t>
      </w:r>
      <w:r w:rsidR="005B14DD">
        <w:rPr>
          <w:rFonts w:ascii="Times New Roman" w:hAnsi="Times New Roman"/>
        </w:rPr>
        <w:t xml:space="preserve">reevaluated </w:t>
      </w:r>
      <w:r w:rsidR="00DB0E8E">
        <w:rPr>
          <w:rFonts w:ascii="Times New Roman" w:hAnsi="Times New Roman"/>
        </w:rPr>
        <w:t xml:space="preserve">as the ACE system is fully implemented and will be reflected in future </w:t>
      </w:r>
      <w:r w:rsidR="00E56076">
        <w:rPr>
          <w:rFonts w:ascii="Times New Roman" w:hAnsi="Times New Roman"/>
        </w:rPr>
        <w:t xml:space="preserve">renewals </w:t>
      </w:r>
      <w:r w:rsidR="00DB0E8E">
        <w:rPr>
          <w:rFonts w:ascii="Times New Roman" w:hAnsi="Times New Roman"/>
        </w:rPr>
        <w:t xml:space="preserve">of this ICR once EPA has data on the </w:t>
      </w:r>
      <w:r w:rsidR="00BA774D">
        <w:rPr>
          <w:rFonts w:ascii="Times New Roman" w:hAnsi="Times New Roman"/>
        </w:rPr>
        <w:t xml:space="preserve">frequency </w:t>
      </w:r>
      <w:r w:rsidR="00DB0E8E">
        <w:rPr>
          <w:rFonts w:ascii="Times New Roman" w:hAnsi="Times New Roman"/>
        </w:rPr>
        <w:t>of electronic and paper filings.</w:t>
      </w:r>
    </w:p>
    <w:p w14:paraId="311F2AFA" w14:textId="77777777" w:rsidR="00DB0E8E" w:rsidRPr="00263E20" w:rsidRDefault="00DB0E8E" w:rsidP="0018164C">
      <w:pPr>
        <w:numPr>
          <w:ilvl w:val="12"/>
          <w:numId w:val="0"/>
        </w:numPr>
        <w:ind w:firstLine="720"/>
        <w:rPr>
          <w:rFonts w:ascii="Times New Roman" w:hAnsi="Times New Roman"/>
        </w:rPr>
      </w:pPr>
    </w:p>
    <w:p w14:paraId="05C57C55" w14:textId="0CEF32C6" w:rsidR="000C60AF" w:rsidRPr="00263E20" w:rsidRDefault="00050251">
      <w:pPr>
        <w:ind w:left="720"/>
        <w:rPr>
          <w:rFonts w:ascii="Times New Roman" w:hAnsi="Times New Roman"/>
          <w:b/>
        </w:rPr>
      </w:pPr>
      <w:r w:rsidRPr="00263E20">
        <w:rPr>
          <w:rFonts w:ascii="Times New Roman" w:hAnsi="Times New Roman"/>
          <w:b/>
          <w:bCs/>
        </w:rPr>
        <w:t>6(b)</w:t>
      </w:r>
      <w:r w:rsidR="00A87F90" w:rsidRPr="00263E20">
        <w:rPr>
          <w:rFonts w:ascii="Times New Roman" w:hAnsi="Times New Roman"/>
          <w:b/>
          <w:bCs/>
        </w:rPr>
        <w:t xml:space="preserve"> </w:t>
      </w:r>
      <w:r w:rsidR="00BE7FD6" w:rsidRPr="00263E20">
        <w:rPr>
          <w:rFonts w:ascii="Times New Roman" w:hAnsi="Times New Roman"/>
          <w:b/>
          <w:bCs/>
        </w:rPr>
        <w:t xml:space="preserve">Estimating </w:t>
      </w:r>
      <w:r w:rsidRPr="00263E20">
        <w:rPr>
          <w:rFonts w:ascii="Times New Roman" w:hAnsi="Times New Roman"/>
          <w:b/>
          <w:bCs/>
        </w:rPr>
        <w:t xml:space="preserve">Respondent </w:t>
      </w:r>
      <w:r w:rsidR="00BE7FD6" w:rsidRPr="00263E20">
        <w:rPr>
          <w:rFonts w:ascii="Times New Roman" w:hAnsi="Times New Roman"/>
          <w:b/>
          <w:bCs/>
        </w:rPr>
        <w:t>Costs</w:t>
      </w:r>
      <w:r w:rsidR="00BE7FD6" w:rsidRPr="00263E20">
        <w:rPr>
          <w:rFonts w:ascii="Times New Roman" w:hAnsi="Times New Roman"/>
          <w:b/>
        </w:rPr>
        <w:t xml:space="preserve"> </w:t>
      </w:r>
    </w:p>
    <w:p w14:paraId="043F6BE0" w14:textId="77777777" w:rsidR="0048769C" w:rsidRPr="00263E20" w:rsidRDefault="0048769C" w:rsidP="00316CC2">
      <w:pPr>
        <w:ind w:left="720"/>
        <w:rPr>
          <w:rFonts w:ascii="Times New Roman" w:hAnsi="Times New Roman"/>
        </w:rPr>
      </w:pPr>
    </w:p>
    <w:p w14:paraId="101A1D2F" w14:textId="6832E3B2" w:rsidR="00050251" w:rsidRPr="00263E20" w:rsidRDefault="00050251" w:rsidP="00050251">
      <w:pPr>
        <w:ind w:firstLine="720"/>
        <w:rPr>
          <w:rFonts w:ascii="Times New Roman" w:hAnsi="Times New Roman"/>
          <w:bCs/>
        </w:rPr>
      </w:pPr>
      <w:r w:rsidRPr="00263E20">
        <w:rPr>
          <w:rFonts w:ascii="Times New Roman" w:hAnsi="Times New Roman"/>
          <w:bCs/>
        </w:rPr>
        <w:t xml:space="preserve">The methodology for calculating the wage rates in this renewal of the ICR has been updated to be consistent with the method for wage calculation for all ICRs managed by the Office of Pesticide Programs (OPP). The </w:t>
      </w:r>
      <w:r w:rsidR="00703253">
        <w:rPr>
          <w:rFonts w:ascii="Times New Roman" w:hAnsi="Times New Roman"/>
          <w:bCs/>
        </w:rPr>
        <w:t xml:space="preserve">current </w:t>
      </w:r>
      <w:r w:rsidRPr="00263E20">
        <w:rPr>
          <w:rFonts w:ascii="Times New Roman" w:hAnsi="Times New Roman"/>
          <w:bCs/>
        </w:rPr>
        <w:t xml:space="preserve">wage estimates are based on </w:t>
      </w:r>
      <w:r w:rsidR="00703253">
        <w:rPr>
          <w:rFonts w:ascii="Times New Roman" w:hAnsi="Times New Roman"/>
          <w:bCs/>
        </w:rPr>
        <w:t xml:space="preserve">latest </w:t>
      </w:r>
      <w:r w:rsidRPr="00263E20">
        <w:rPr>
          <w:rFonts w:ascii="Times New Roman" w:hAnsi="Times New Roman"/>
          <w:bCs/>
        </w:rPr>
        <w:t>wage data</w:t>
      </w:r>
      <w:r w:rsidR="00703253">
        <w:rPr>
          <w:rFonts w:ascii="Times New Roman" w:hAnsi="Times New Roman"/>
          <w:bCs/>
        </w:rPr>
        <w:t xml:space="preserve">, </w:t>
      </w:r>
      <w:r w:rsidR="00703253" w:rsidRPr="00AA53D6">
        <w:rPr>
          <w:rFonts w:ascii="Times New Roman" w:hAnsi="Times New Roman"/>
          <w:bCs/>
        </w:rPr>
        <w:t xml:space="preserve">2014 </w:t>
      </w:r>
      <w:r w:rsidR="00703253">
        <w:rPr>
          <w:rFonts w:ascii="Times New Roman" w:hAnsi="Times New Roman"/>
          <w:bCs/>
        </w:rPr>
        <w:t>data</w:t>
      </w:r>
      <w:r w:rsidR="00FC4F07" w:rsidRPr="00263E20">
        <w:rPr>
          <w:rFonts w:ascii="Times New Roman" w:hAnsi="Times New Roman"/>
          <w:bCs/>
        </w:rPr>
        <w:t xml:space="preserve"> accessed </w:t>
      </w:r>
      <w:r w:rsidR="00703253">
        <w:rPr>
          <w:rFonts w:ascii="Times New Roman" w:hAnsi="Times New Roman"/>
          <w:bCs/>
        </w:rPr>
        <w:t xml:space="preserve">online </w:t>
      </w:r>
      <w:r w:rsidR="00FC4F07" w:rsidRPr="00263E20">
        <w:rPr>
          <w:rFonts w:ascii="Times New Roman" w:hAnsi="Times New Roman"/>
          <w:bCs/>
        </w:rPr>
        <w:t>in 2016</w:t>
      </w:r>
      <w:r w:rsidRPr="00263E20">
        <w:rPr>
          <w:rFonts w:ascii="Times New Roman" w:hAnsi="Times New Roman"/>
          <w:bCs/>
        </w:rPr>
        <w:t>. The calculation of the wage rate</w:t>
      </w:r>
      <w:r w:rsidR="00DD19FD">
        <w:rPr>
          <w:rFonts w:ascii="Times New Roman" w:hAnsi="Times New Roman"/>
          <w:bCs/>
        </w:rPr>
        <w:t>s</w:t>
      </w:r>
      <w:r w:rsidRPr="00263E20">
        <w:rPr>
          <w:rFonts w:ascii="Times New Roman" w:hAnsi="Times New Roman"/>
          <w:bCs/>
        </w:rPr>
        <w:t xml:space="preserve"> </w:t>
      </w:r>
      <w:r w:rsidR="00B21A1F">
        <w:rPr>
          <w:rFonts w:ascii="Times New Roman" w:hAnsi="Times New Roman"/>
          <w:bCs/>
        </w:rPr>
        <w:t xml:space="preserve">(Attachment </w:t>
      </w:r>
      <w:r w:rsidR="006D203F">
        <w:rPr>
          <w:rFonts w:ascii="Times New Roman" w:hAnsi="Times New Roman"/>
          <w:bCs/>
        </w:rPr>
        <w:t>G</w:t>
      </w:r>
      <w:r w:rsidR="00B21A1F">
        <w:rPr>
          <w:rFonts w:ascii="Times New Roman" w:hAnsi="Times New Roman"/>
          <w:bCs/>
        </w:rPr>
        <w:t xml:space="preserve">) </w:t>
      </w:r>
      <w:r w:rsidRPr="00263E20">
        <w:rPr>
          <w:rFonts w:ascii="Times New Roman" w:hAnsi="Times New Roman"/>
          <w:bCs/>
        </w:rPr>
        <w:t xml:space="preserve">use base wage data for each sector and labor type for an </w:t>
      </w:r>
      <w:r w:rsidRPr="00263E20">
        <w:rPr>
          <w:rFonts w:ascii="Times New Roman" w:hAnsi="Times New Roman"/>
          <w:bCs/>
          <w:i/>
        </w:rPr>
        <w:t>Unloaded wage rate</w:t>
      </w:r>
      <w:r w:rsidRPr="00263E20">
        <w:rPr>
          <w:rFonts w:ascii="Times New Roman" w:hAnsi="Times New Roman"/>
          <w:bCs/>
        </w:rPr>
        <w:t xml:space="preserve"> (hourly wage rate) and calculates the </w:t>
      </w:r>
      <w:r w:rsidRPr="00263E20">
        <w:rPr>
          <w:rFonts w:ascii="Times New Roman" w:hAnsi="Times New Roman"/>
          <w:bCs/>
          <w:i/>
        </w:rPr>
        <w:t>Loaded wage rate</w:t>
      </w:r>
      <w:r w:rsidRPr="00263E20">
        <w:rPr>
          <w:rFonts w:ascii="Times New Roman" w:hAnsi="Times New Roman"/>
          <w:bCs/>
        </w:rPr>
        <w:t xml:space="preserve"> (unloaded wage rate + benefits) and the </w:t>
      </w:r>
      <w:r w:rsidRPr="00263E20">
        <w:rPr>
          <w:rFonts w:ascii="Times New Roman" w:hAnsi="Times New Roman"/>
          <w:bCs/>
          <w:i/>
        </w:rPr>
        <w:t>Fully loaded wage rate</w:t>
      </w:r>
      <w:r w:rsidRPr="00263E20">
        <w:rPr>
          <w:rFonts w:ascii="Times New Roman" w:hAnsi="Times New Roman"/>
          <w:bCs/>
        </w:rPr>
        <w:t xml:space="preserve"> (loaded wage rate + overhead) based on that data. Fully loaded wage rates are used to calculate respondent and Agency costs.</w:t>
      </w:r>
      <w:r w:rsidR="00FC4F07" w:rsidRPr="00263E20">
        <w:rPr>
          <w:rFonts w:ascii="Times New Roman" w:hAnsi="Times New Roman"/>
          <w:bCs/>
        </w:rPr>
        <w:t xml:space="preserve"> </w:t>
      </w:r>
    </w:p>
    <w:p w14:paraId="54DE5F60" w14:textId="77777777" w:rsidR="00050251" w:rsidRPr="00263E20" w:rsidRDefault="00050251" w:rsidP="00050251">
      <w:pPr>
        <w:ind w:firstLine="720"/>
        <w:rPr>
          <w:rFonts w:ascii="Times New Roman" w:hAnsi="Times New Roman"/>
          <w:bCs/>
          <w:i/>
        </w:rPr>
      </w:pPr>
    </w:p>
    <w:p w14:paraId="71FDD4C4" w14:textId="50743407" w:rsidR="00050251" w:rsidRPr="00263E20" w:rsidRDefault="00050251" w:rsidP="00050251">
      <w:pPr>
        <w:ind w:firstLine="720"/>
        <w:rPr>
          <w:rFonts w:ascii="Times New Roman" w:hAnsi="Times New Roman"/>
          <w:bCs/>
        </w:rPr>
      </w:pPr>
      <w:r w:rsidRPr="00263E20">
        <w:rPr>
          <w:rFonts w:ascii="Times New Roman" w:hAnsi="Times New Roman"/>
          <w:bCs/>
          <w:i/>
        </w:rPr>
        <w:t>Unloaded Wage Rate:</w:t>
      </w:r>
      <w:r w:rsidRPr="00263E20">
        <w:rPr>
          <w:rFonts w:ascii="Times New Roman" w:hAnsi="Times New Roman"/>
          <w:bCs/>
        </w:rPr>
        <w:t xml:space="preserve">  Wages are estimated for labor types (management, technical, and clerical) within applicable sectors. The Agency uses average wage data for the relevant sectors available in the National Industry-Specific Occupational Employment and Wage Estimates from the Bureau of Labor Statistics (BLS) (</w:t>
      </w:r>
      <w:r w:rsidRPr="005C0800">
        <w:rPr>
          <w:rFonts w:ascii="Times New Roman" w:hAnsi="Times New Roman"/>
          <w:bCs/>
        </w:rPr>
        <w:t>see</w:t>
      </w:r>
      <w:r w:rsidR="005C0800" w:rsidRPr="005C0800">
        <w:rPr>
          <w:rFonts w:ascii="Times New Roman" w:hAnsi="Times New Roman"/>
          <w:bCs/>
        </w:rPr>
        <w:t xml:space="preserve"> http://www.bls.gov/oes/current/oes_nat.htm</w:t>
      </w:r>
      <w:r w:rsidR="005C0800" w:rsidRPr="005C0800">
        <w:rPr>
          <w:rStyle w:val="Hyperlink"/>
          <w:rFonts w:ascii="Times New Roman" w:hAnsi="Times New Roman"/>
          <w:bCs/>
          <w:color w:val="auto"/>
          <w:u w:val="none"/>
        </w:rPr>
        <w:t>).</w:t>
      </w:r>
      <w:r w:rsidR="005C0800" w:rsidRPr="005C0800">
        <w:rPr>
          <w:rStyle w:val="Hyperlink"/>
          <w:rFonts w:ascii="Times New Roman" w:hAnsi="Times New Roman"/>
          <w:bCs/>
          <w:i/>
          <w:u w:val="none"/>
        </w:rPr>
        <w:t xml:space="preserve"> </w:t>
      </w:r>
    </w:p>
    <w:p w14:paraId="31D85CD0" w14:textId="77777777" w:rsidR="00050251" w:rsidRPr="00263E20" w:rsidRDefault="00050251" w:rsidP="00050251">
      <w:pPr>
        <w:ind w:firstLine="720"/>
        <w:rPr>
          <w:rFonts w:ascii="Times New Roman" w:hAnsi="Times New Roman"/>
          <w:bCs/>
          <w:i/>
        </w:rPr>
      </w:pPr>
    </w:p>
    <w:p w14:paraId="546D69E8" w14:textId="03560659" w:rsidR="00050251" w:rsidRPr="00263E20" w:rsidRDefault="00050251" w:rsidP="00886C10">
      <w:pPr>
        <w:ind w:firstLine="720"/>
        <w:rPr>
          <w:rFonts w:ascii="Times New Roman" w:hAnsi="Times New Roman"/>
          <w:bCs/>
        </w:rPr>
      </w:pPr>
      <w:r w:rsidRPr="00263E20">
        <w:rPr>
          <w:rFonts w:ascii="Times New Roman" w:hAnsi="Times New Roman"/>
          <w:bCs/>
          <w:i/>
        </w:rPr>
        <w:t>Sectors:</w:t>
      </w:r>
      <w:r w:rsidRPr="00263E20">
        <w:rPr>
          <w:rFonts w:ascii="Times New Roman" w:hAnsi="Times New Roman"/>
          <w:bCs/>
        </w:rPr>
        <w:t xml:space="preserve"> The specific North American Industry Classification System (NAICS) code and website for each sector is included in that sector’s</w:t>
      </w:r>
      <w:r w:rsidR="00886C10">
        <w:rPr>
          <w:rFonts w:ascii="Times New Roman" w:hAnsi="Times New Roman"/>
          <w:bCs/>
        </w:rPr>
        <w:t xml:space="preserve"> wage rate table in Attachment </w:t>
      </w:r>
      <w:r w:rsidR="006D203F">
        <w:rPr>
          <w:rFonts w:ascii="Times New Roman" w:hAnsi="Times New Roman"/>
          <w:bCs/>
        </w:rPr>
        <w:t>G</w:t>
      </w:r>
      <w:r w:rsidRPr="00263E20">
        <w:rPr>
          <w:rFonts w:ascii="Times New Roman" w:hAnsi="Times New Roman"/>
          <w:bCs/>
        </w:rPr>
        <w:t>. Within each sector, the wage data are provided by Standard Occupational Classification (SOC). The SOC system is used by federal statistical agencies to classify workers into occupational categories for the purpose of collecting, calculating, or disseminating data (see</w:t>
      </w:r>
      <w:r w:rsidR="005C0800">
        <w:rPr>
          <w:rFonts w:ascii="Times New Roman" w:hAnsi="Times New Roman"/>
          <w:bCs/>
        </w:rPr>
        <w:t xml:space="preserve"> </w:t>
      </w:r>
      <w:r w:rsidR="005C0800" w:rsidRPr="005C0800">
        <w:rPr>
          <w:rFonts w:ascii="Times New Roman" w:hAnsi="Times New Roman"/>
          <w:bCs/>
        </w:rPr>
        <w:t>http://www.bls.gov/oes/current/oes_stru.htm</w:t>
      </w:r>
      <w:r w:rsidR="005C0800">
        <w:rPr>
          <w:rFonts w:ascii="Times New Roman" w:hAnsi="Times New Roman"/>
          <w:bCs/>
        </w:rPr>
        <w:t>)</w:t>
      </w:r>
      <w:r w:rsidRPr="00263E20">
        <w:rPr>
          <w:rFonts w:ascii="Times New Roman" w:hAnsi="Times New Roman"/>
          <w:bCs/>
        </w:rPr>
        <w:t xml:space="preserve"> </w:t>
      </w:r>
    </w:p>
    <w:p w14:paraId="0484DB07" w14:textId="77777777" w:rsidR="00050251" w:rsidRPr="00263E20" w:rsidRDefault="00050251" w:rsidP="00050251">
      <w:pPr>
        <w:ind w:firstLine="720"/>
        <w:rPr>
          <w:rFonts w:ascii="Times New Roman" w:hAnsi="Times New Roman"/>
          <w:bCs/>
          <w:i/>
        </w:rPr>
      </w:pPr>
    </w:p>
    <w:p w14:paraId="77D344AD" w14:textId="4425AA7D" w:rsidR="00050251" w:rsidRPr="00263E20" w:rsidRDefault="00050251" w:rsidP="00050251">
      <w:pPr>
        <w:ind w:firstLine="720"/>
        <w:rPr>
          <w:rFonts w:ascii="Times New Roman" w:hAnsi="Times New Roman"/>
          <w:bCs/>
        </w:rPr>
      </w:pPr>
      <w:r w:rsidRPr="00263E20">
        <w:rPr>
          <w:rFonts w:ascii="Times New Roman" w:hAnsi="Times New Roman"/>
          <w:bCs/>
          <w:i/>
        </w:rPr>
        <w:t>Loaded Wage Rate</w:t>
      </w:r>
      <w:r w:rsidRPr="00263E20">
        <w:rPr>
          <w:rFonts w:ascii="Times New Roman" w:hAnsi="Times New Roman"/>
          <w:bCs/>
        </w:rPr>
        <w:t>: Unless stated otherwise, all benefits represent 4</w:t>
      </w:r>
      <w:r w:rsidR="00FC4F07" w:rsidRPr="005C0800">
        <w:rPr>
          <w:rFonts w:ascii="Times New Roman" w:hAnsi="Times New Roman"/>
          <w:bCs/>
        </w:rPr>
        <w:t>6</w:t>
      </w:r>
      <w:r w:rsidRPr="00263E20">
        <w:rPr>
          <w:rFonts w:ascii="Times New Roman" w:hAnsi="Times New Roman"/>
          <w:bCs/>
        </w:rPr>
        <w:t>% of unloaded wage rates, based on average rate of benefits for all civilian non-farm workers (see</w:t>
      </w:r>
      <w:r w:rsidR="00934C1C">
        <w:rPr>
          <w:rFonts w:ascii="Times New Roman" w:hAnsi="Times New Roman"/>
          <w:bCs/>
        </w:rPr>
        <w:t xml:space="preserve"> </w:t>
      </w:r>
      <w:r w:rsidR="00934C1C" w:rsidRPr="00934C1C">
        <w:rPr>
          <w:rFonts w:ascii="Times New Roman" w:hAnsi="Times New Roman"/>
          <w:bCs/>
        </w:rPr>
        <w:t>http://www.bls.gov/news.release/ecec.t01.htm</w:t>
      </w:r>
      <w:r w:rsidR="005C0800">
        <w:rPr>
          <w:rFonts w:ascii="Times New Roman" w:hAnsi="Times New Roman"/>
          <w:bCs/>
        </w:rPr>
        <w:t xml:space="preserve">). </w:t>
      </w:r>
    </w:p>
    <w:p w14:paraId="7EFE9655" w14:textId="77777777" w:rsidR="00050251" w:rsidRPr="00263E20" w:rsidRDefault="00050251" w:rsidP="00050251">
      <w:pPr>
        <w:ind w:firstLine="720"/>
        <w:rPr>
          <w:rFonts w:ascii="Times New Roman" w:hAnsi="Times New Roman"/>
          <w:bCs/>
        </w:rPr>
      </w:pPr>
    </w:p>
    <w:p w14:paraId="07DA33E4" w14:textId="163E4047" w:rsidR="00A87F90" w:rsidRPr="00263E20" w:rsidRDefault="00B81F35" w:rsidP="008D2CC7">
      <w:pPr>
        <w:tabs>
          <w:tab w:val="left" w:pos="-1440"/>
          <w:tab w:val="left" w:pos="-720"/>
          <w:tab w:val="decimal" w:pos="0"/>
        </w:tabs>
        <w:rPr>
          <w:rFonts w:ascii="Times New Roman" w:hAnsi="Times New Roman"/>
        </w:rPr>
      </w:pPr>
      <w:r>
        <w:rPr>
          <w:rFonts w:ascii="Times New Roman" w:hAnsi="Times New Roman"/>
          <w:bCs/>
          <w:i/>
        </w:rPr>
        <w:tab/>
      </w:r>
      <w:r w:rsidR="00050251" w:rsidRPr="00263E20">
        <w:rPr>
          <w:rFonts w:ascii="Times New Roman" w:hAnsi="Times New Roman"/>
          <w:bCs/>
          <w:i/>
        </w:rPr>
        <w:t>Fully Loaded Wage Rate:</w:t>
      </w:r>
      <w:r w:rsidR="00050251" w:rsidRPr="00263E20">
        <w:rPr>
          <w:rFonts w:ascii="Times New Roman" w:hAnsi="Times New Roman"/>
          <w:bCs/>
        </w:rPr>
        <w:t xml:space="preserve">  OPP multiplies the loaded wage rate by 50% (EPA guidelines 20-70%) to get overhead costs.</w:t>
      </w:r>
      <w:r w:rsidR="008D2CC7" w:rsidRPr="00263E20">
        <w:rPr>
          <w:rFonts w:ascii="Times New Roman" w:hAnsi="Times New Roman"/>
          <w:bCs/>
        </w:rPr>
        <w:t xml:space="preserve"> </w:t>
      </w:r>
      <w:r w:rsidR="00A87F90" w:rsidRPr="00263E20">
        <w:rPr>
          <w:rFonts w:ascii="Times New Roman" w:hAnsi="Times New Roman"/>
        </w:rPr>
        <w:t xml:space="preserve">Since </w:t>
      </w:r>
      <w:r w:rsidR="00AE1591" w:rsidRPr="00263E20">
        <w:rPr>
          <w:rFonts w:ascii="Times New Roman" w:hAnsi="Times New Roman"/>
        </w:rPr>
        <w:t>the majority</w:t>
      </w:r>
      <w:r w:rsidR="00A87F90" w:rsidRPr="00263E20">
        <w:rPr>
          <w:rFonts w:ascii="Times New Roman" w:hAnsi="Times New Roman"/>
        </w:rPr>
        <w:t xml:space="preserve"> of </w:t>
      </w:r>
      <w:r w:rsidR="00AE1591" w:rsidRPr="00263E20">
        <w:rPr>
          <w:rFonts w:ascii="Times New Roman" w:hAnsi="Times New Roman"/>
        </w:rPr>
        <w:t>NOAs</w:t>
      </w:r>
      <w:r w:rsidR="00A87F90" w:rsidRPr="00263E20">
        <w:rPr>
          <w:rFonts w:ascii="Times New Roman" w:hAnsi="Times New Roman"/>
        </w:rPr>
        <w:t xml:space="preserve"> are submitted by firms in NAICS code 325300 (Pesticide and Other Agricultural Chemical Manufacturing), hourly wage rates for this sector were used to calculate respondent burden. The fully loaded hourly wage rates for management, technical, and clerical occupations for NAICS 32</w:t>
      </w:r>
      <w:r w:rsidR="001D569A" w:rsidRPr="00263E20">
        <w:rPr>
          <w:rFonts w:ascii="Times New Roman" w:hAnsi="Times New Roman"/>
        </w:rPr>
        <w:t>5300</w:t>
      </w:r>
      <w:r w:rsidR="00A87F90" w:rsidRPr="00263E20">
        <w:rPr>
          <w:rFonts w:ascii="Times New Roman" w:hAnsi="Times New Roman"/>
        </w:rPr>
        <w:t xml:space="preserve"> are $12</w:t>
      </w:r>
      <w:r w:rsidR="00B5646A" w:rsidRPr="005C0800">
        <w:rPr>
          <w:rFonts w:ascii="Times New Roman" w:hAnsi="Times New Roman"/>
        </w:rPr>
        <w:t>4</w:t>
      </w:r>
      <w:r w:rsidR="00A87F90" w:rsidRPr="00263E20">
        <w:rPr>
          <w:rFonts w:ascii="Times New Roman" w:hAnsi="Times New Roman"/>
        </w:rPr>
        <w:t>.</w:t>
      </w:r>
      <w:r w:rsidR="00B5646A" w:rsidRPr="005C0800">
        <w:rPr>
          <w:rFonts w:ascii="Times New Roman" w:hAnsi="Times New Roman"/>
        </w:rPr>
        <w:t>0</w:t>
      </w:r>
      <w:r w:rsidR="00A87F90" w:rsidRPr="00263E20">
        <w:rPr>
          <w:rFonts w:ascii="Times New Roman" w:hAnsi="Times New Roman"/>
        </w:rPr>
        <w:t>2, $</w:t>
      </w:r>
      <w:r w:rsidR="00B5646A" w:rsidRPr="005C0800">
        <w:rPr>
          <w:rFonts w:ascii="Times New Roman" w:hAnsi="Times New Roman"/>
        </w:rPr>
        <w:t>73</w:t>
      </w:r>
      <w:r w:rsidR="00A87F90" w:rsidRPr="00263E20">
        <w:rPr>
          <w:rFonts w:ascii="Times New Roman" w:hAnsi="Times New Roman"/>
        </w:rPr>
        <w:t>.</w:t>
      </w:r>
      <w:r w:rsidR="00B5646A" w:rsidRPr="005C0800">
        <w:rPr>
          <w:rFonts w:ascii="Times New Roman" w:hAnsi="Times New Roman"/>
        </w:rPr>
        <w:t>37</w:t>
      </w:r>
      <w:r w:rsidR="00A87F90" w:rsidRPr="00263E20">
        <w:rPr>
          <w:rFonts w:ascii="Times New Roman" w:hAnsi="Times New Roman"/>
        </w:rPr>
        <w:t>, and $</w:t>
      </w:r>
      <w:r w:rsidR="00B5646A" w:rsidRPr="005C0800">
        <w:rPr>
          <w:rFonts w:ascii="Times New Roman" w:hAnsi="Times New Roman"/>
        </w:rPr>
        <w:t>41.70</w:t>
      </w:r>
      <w:r w:rsidR="00A87F90" w:rsidRPr="00263E20">
        <w:rPr>
          <w:rFonts w:ascii="Times New Roman" w:hAnsi="Times New Roman"/>
        </w:rPr>
        <w:t xml:space="preserve">, respectively. See </w:t>
      </w:r>
      <w:r w:rsidR="00BE7FD6" w:rsidRPr="00263E20">
        <w:rPr>
          <w:rFonts w:ascii="Times New Roman" w:hAnsi="Times New Roman"/>
        </w:rPr>
        <w:t xml:space="preserve">Attachment </w:t>
      </w:r>
      <w:r w:rsidR="006D203F">
        <w:rPr>
          <w:rFonts w:ascii="Times New Roman" w:hAnsi="Times New Roman"/>
        </w:rPr>
        <w:t>G</w:t>
      </w:r>
      <w:r w:rsidR="00A87F90" w:rsidRPr="00263E20">
        <w:rPr>
          <w:rFonts w:ascii="Times New Roman" w:hAnsi="Times New Roman"/>
        </w:rPr>
        <w:t xml:space="preserve"> for labor wage calculations.  </w:t>
      </w:r>
    </w:p>
    <w:p w14:paraId="590572CA" w14:textId="77777777" w:rsidR="00EE5D3B" w:rsidRPr="00263E20" w:rsidRDefault="00EE5D3B" w:rsidP="00A87F90">
      <w:pPr>
        <w:tabs>
          <w:tab w:val="left" w:pos="-1440"/>
          <w:tab w:val="left" w:pos="-720"/>
          <w:tab w:val="decimal" w:pos="0"/>
        </w:tabs>
        <w:ind w:firstLine="720"/>
        <w:rPr>
          <w:rFonts w:ascii="Times New Roman" w:hAnsi="Times New Roman"/>
        </w:rPr>
      </w:pPr>
    </w:p>
    <w:p w14:paraId="41119BBB" w14:textId="0AC269A7" w:rsidR="00A87F90" w:rsidRDefault="00A87F90" w:rsidP="00A87F90">
      <w:pPr>
        <w:tabs>
          <w:tab w:val="left" w:pos="-1440"/>
          <w:tab w:val="left" w:pos="-720"/>
          <w:tab w:val="decimal" w:pos="0"/>
        </w:tabs>
        <w:ind w:firstLine="720"/>
        <w:rPr>
          <w:rFonts w:ascii="Times New Roman" w:hAnsi="Times New Roman"/>
        </w:rPr>
      </w:pPr>
      <w:r w:rsidRPr="00263E20">
        <w:rPr>
          <w:rFonts w:ascii="Times New Roman" w:hAnsi="Times New Roman"/>
        </w:rPr>
        <w:t xml:space="preserve">Table </w:t>
      </w:r>
      <w:r w:rsidR="00F84508" w:rsidRPr="00263E20">
        <w:rPr>
          <w:rFonts w:ascii="Times New Roman" w:hAnsi="Times New Roman"/>
        </w:rPr>
        <w:t>2</w:t>
      </w:r>
      <w:r w:rsidRPr="00263E20">
        <w:rPr>
          <w:rFonts w:ascii="Times New Roman" w:hAnsi="Times New Roman"/>
        </w:rPr>
        <w:t xml:space="preserve"> shows</w:t>
      </w:r>
      <w:r w:rsidR="0048769C" w:rsidRPr="00263E20">
        <w:rPr>
          <w:rFonts w:ascii="Times New Roman" w:hAnsi="Times New Roman"/>
        </w:rPr>
        <w:t xml:space="preserve"> the estimated respondent burden and cost</w:t>
      </w:r>
      <w:r w:rsidR="00EE5D3B" w:rsidRPr="00263E20">
        <w:rPr>
          <w:rFonts w:ascii="Times New Roman" w:hAnsi="Times New Roman"/>
        </w:rPr>
        <w:t xml:space="preserve"> for submitting </w:t>
      </w:r>
      <w:r w:rsidR="008A7ADE">
        <w:rPr>
          <w:rFonts w:ascii="Times New Roman" w:hAnsi="Times New Roman"/>
        </w:rPr>
        <w:t>a NOA</w:t>
      </w:r>
      <w:r w:rsidR="007F54C6" w:rsidRPr="00263E20">
        <w:rPr>
          <w:rFonts w:ascii="Times New Roman" w:hAnsi="Times New Roman"/>
        </w:rPr>
        <w:t>, including a label</w:t>
      </w:r>
      <w:r w:rsidR="001E68FF" w:rsidRPr="00263E20">
        <w:rPr>
          <w:rFonts w:ascii="Times New Roman" w:hAnsi="Times New Roman"/>
        </w:rPr>
        <w:t xml:space="preserve"> and </w:t>
      </w:r>
      <w:r w:rsidR="007F54C6" w:rsidRPr="00263E20">
        <w:rPr>
          <w:rFonts w:ascii="Times New Roman" w:hAnsi="Times New Roman"/>
        </w:rPr>
        <w:t xml:space="preserve">other </w:t>
      </w:r>
      <w:r w:rsidR="001E68FF" w:rsidRPr="00263E20">
        <w:rPr>
          <w:rFonts w:ascii="Times New Roman" w:hAnsi="Times New Roman"/>
        </w:rPr>
        <w:t>supporting documents</w:t>
      </w:r>
      <w:r w:rsidR="00CE255F" w:rsidRPr="00263E20">
        <w:rPr>
          <w:rFonts w:ascii="Times New Roman" w:hAnsi="Times New Roman"/>
        </w:rPr>
        <w:t>,</w:t>
      </w:r>
      <w:r w:rsidR="001E68FF" w:rsidRPr="00263E20">
        <w:rPr>
          <w:rFonts w:ascii="Times New Roman" w:hAnsi="Times New Roman"/>
        </w:rPr>
        <w:t xml:space="preserve"> for</w:t>
      </w:r>
      <w:r w:rsidR="00EE5D3B" w:rsidRPr="00263E20">
        <w:rPr>
          <w:rFonts w:ascii="Times New Roman" w:hAnsi="Times New Roman"/>
        </w:rPr>
        <w:t xml:space="preserve"> registered pesticide</w:t>
      </w:r>
      <w:r w:rsidR="00BE73D5" w:rsidRPr="00263E20">
        <w:rPr>
          <w:rFonts w:ascii="Times New Roman" w:hAnsi="Times New Roman"/>
        </w:rPr>
        <w:t xml:space="preserve"> and </w:t>
      </w:r>
      <w:r w:rsidR="001D582F" w:rsidRPr="00263E20">
        <w:rPr>
          <w:rFonts w:ascii="Times New Roman" w:hAnsi="Times New Roman"/>
        </w:rPr>
        <w:t xml:space="preserve">pesticidal </w:t>
      </w:r>
      <w:r w:rsidR="00BE73D5" w:rsidRPr="00263E20">
        <w:rPr>
          <w:rFonts w:ascii="Times New Roman" w:hAnsi="Times New Roman"/>
        </w:rPr>
        <w:t>devices</w:t>
      </w:r>
      <w:r w:rsidR="00EE5D3B" w:rsidRPr="00263E20">
        <w:rPr>
          <w:rFonts w:ascii="Times New Roman" w:hAnsi="Times New Roman"/>
        </w:rPr>
        <w:t>.</w:t>
      </w:r>
      <w:r w:rsidR="006572D6" w:rsidRPr="00263E20">
        <w:rPr>
          <w:rFonts w:ascii="Times New Roman" w:hAnsi="Times New Roman"/>
        </w:rPr>
        <w:t xml:space="preserve"> For</w:t>
      </w:r>
      <w:r w:rsidR="00BE73D5" w:rsidRPr="00263E20">
        <w:rPr>
          <w:rFonts w:ascii="Times New Roman" w:hAnsi="Times New Roman"/>
        </w:rPr>
        <w:t xml:space="preserve"> these products</w:t>
      </w:r>
      <w:r w:rsidR="006572D6" w:rsidRPr="00263E20">
        <w:rPr>
          <w:rFonts w:ascii="Times New Roman" w:hAnsi="Times New Roman"/>
        </w:rPr>
        <w:t>,</w:t>
      </w:r>
      <w:r w:rsidR="00EE5D3B" w:rsidRPr="00263E20">
        <w:rPr>
          <w:rFonts w:ascii="Times New Roman" w:hAnsi="Times New Roman"/>
        </w:rPr>
        <w:t xml:space="preserve"> </w:t>
      </w:r>
      <w:r w:rsidR="001E68FF" w:rsidRPr="00263E20">
        <w:rPr>
          <w:rFonts w:ascii="Times New Roman" w:hAnsi="Times New Roman"/>
        </w:rPr>
        <w:t>EPA estimates the burden per response to be 0.4</w:t>
      </w:r>
      <w:r w:rsidR="00CE255F" w:rsidRPr="00263E20">
        <w:rPr>
          <w:rFonts w:ascii="Times New Roman" w:hAnsi="Times New Roman"/>
        </w:rPr>
        <w:t>0</w:t>
      </w:r>
      <w:r w:rsidR="001E68FF" w:rsidRPr="00263E20">
        <w:rPr>
          <w:rFonts w:ascii="Times New Roman" w:hAnsi="Times New Roman"/>
        </w:rPr>
        <w:t xml:space="preserve"> hours. </w:t>
      </w:r>
    </w:p>
    <w:p w14:paraId="788A4DAA" w14:textId="77777777" w:rsidR="00703253" w:rsidRDefault="00703253" w:rsidP="00A87F90">
      <w:pPr>
        <w:tabs>
          <w:tab w:val="left" w:pos="-1440"/>
          <w:tab w:val="left" w:pos="-720"/>
          <w:tab w:val="decimal" w:pos="0"/>
        </w:tabs>
        <w:ind w:firstLine="720"/>
        <w:rPr>
          <w:rFonts w:ascii="Times New Roman" w:hAnsi="Times New Roman"/>
        </w:rPr>
      </w:pPr>
    </w:p>
    <w:p w14:paraId="435F8A9F" w14:textId="28D9B008" w:rsidR="00C441DD" w:rsidRPr="00263E20" w:rsidRDefault="00A87F90" w:rsidP="00584CB3">
      <w:pPr>
        <w:tabs>
          <w:tab w:val="left" w:pos="-1440"/>
          <w:tab w:val="left" w:pos="-720"/>
          <w:tab w:val="decimal" w:pos="0"/>
        </w:tabs>
        <w:rPr>
          <w:rFonts w:ascii="Times New Roman" w:hAnsi="Times New Roman"/>
          <w:b/>
        </w:rPr>
      </w:pPr>
      <w:r w:rsidRPr="00263E20">
        <w:rPr>
          <w:rFonts w:ascii="Times New Roman" w:hAnsi="Times New Roman"/>
          <w:b/>
        </w:rPr>
        <w:t xml:space="preserve">Table </w:t>
      </w:r>
      <w:r w:rsidR="0048769C" w:rsidRPr="00263E20">
        <w:rPr>
          <w:rFonts w:ascii="Times New Roman" w:hAnsi="Times New Roman"/>
          <w:b/>
        </w:rPr>
        <w:t>2</w:t>
      </w:r>
      <w:r w:rsidRPr="00263E20">
        <w:rPr>
          <w:rFonts w:ascii="Times New Roman" w:hAnsi="Times New Roman"/>
          <w:b/>
        </w:rPr>
        <w:t xml:space="preserve">: </w:t>
      </w:r>
      <w:r w:rsidR="0048769C" w:rsidRPr="00263E20">
        <w:rPr>
          <w:rFonts w:ascii="Times New Roman" w:hAnsi="Times New Roman"/>
          <w:b/>
        </w:rPr>
        <w:t>Respondent Burden and Cost</w:t>
      </w:r>
      <w:r w:rsidR="00320FC8" w:rsidRPr="00263E20">
        <w:rPr>
          <w:rFonts w:ascii="Times New Roman" w:hAnsi="Times New Roman"/>
          <w:b/>
        </w:rPr>
        <w:t xml:space="preserve"> </w:t>
      </w:r>
      <w:r w:rsidR="00DE7075">
        <w:rPr>
          <w:rFonts w:ascii="Times New Roman" w:hAnsi="Times New Roman"/>
          <w:b/>
        </w:rPr>
        <w:t>p</w:t>
      </w:r>
      <w:r w:rsidR="00320FC8" w:rsidRPr="00263E20">
        <w:rPr>
          <w:rFonts w:ascii="Times New Roman" w:hAnsi="Times New Roman"/>
          <w:b/>
        </w:rPr>
        <w:t>er Response</w:t>
      </w:r>
      <w:r w:rsidR="0048769C" w:rsidRPr="00263E20">
        <w:rPr>
          <w:rFonts w:ascii="Times New Roman" w:hAnsi="Times New Roman"/>
          <w:b/>
        </w:rPr>
        <w:t>: Registered Pesticides</w:t>
      </w:r>
      <w:r w:rsidR="00BE73D5" w:rsidRPr="00263E20">
        <w:rPr>
          <w:rFonts w:ascii="Times New Roman" w:hAnsi="Times New Roman"/>
          <w:b/>
        </w:rPr>
        <w:t xml:space="preserve"> and </w:t>
      </w:r>
      <w:r w:rsidR="001D582F" w:rsidRPr="00263E20">
        <w:rPr>
          <w:rFonts w:ascii="Times New Roman" w:hAnsi="Times New Roman"/>
          <w:b/>
        </w:rPr>
        <w:t xml:space="preserve">Pesticidal </w:t>
      </w:r>
      <w:r w:rsidR="00BE73D5" w:rsidRPr="00263E20">
        <w:rPr>
          <w:rFonts w:ascii="Times New Roman" w:hAnsi="Times New Roman"/>
          <w:b/>
        </w:rPr>
        <w:t>Devices</w:t>
      </w:r>
    </w:p>
    <w:tbl>
      <w:tblPr>
        <w:tblW w:w="9360" w:type="dxa"/>
        <w:tblInd w:w="10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000000" w:fill="FFFFFF" w:themeFill="background1"/>
        <w:tblLayout w:type="fixed"/>
        <w:tblLook w:val="04A0" w:firstRow="1" w:lastRow="0" w:firstColumn="1" w:lastColumn="0" w:noHBand="0" w:noVBand="1"/>
      </w:tblPr>
      <w:tblGrid>
        <w:gridCol w:w="3572"/>
        <w:gridCol w:w="1396"/>
        <w:gridCol w:w="1080"/>
        <w:gridCol w:w="1080"/>
        <w:gridCol w:w="1008"/>
        <w:gridCol w:w="869"/>
        <w:gridCol w:w="355"/>
      </w:tblGrid>
      <w:tr w:rsidR="00DE7075" w:rsidRPr="00263E20" w14:paraId="5B901758" w14:textId="77777777" w:rsidTr="00DE7075">
        <w:trPr>
          <w:trHeight w:val="461"/>
        </w:trPr>
        <w:tc>
          <w:tcPr>
            <w:tcW w:w="3572" w:type="dxa"/>
            <w:vMerge w:val="restart"/>
            <w:shd w:val="clear" w:color="000000" w:fill="FFFFFF" w:themeFill="background1"/>
            <w:vAlign w:val="bottom"/>
            <w:hideMark/>
          </w:tcPr>
          <w:p w14:paraId="1EFF5F44" w14:textId="77777777" w:rsidR="00DE7075" w:rsidRPr="00914DD2" w:rsidRDefault="00DE7075" w:rsidP="00620D55">
            <w:pPr>
              <w:widowControl/>
              <w:autoSpaceDE/>
              <w:autoSpaceDN/>
              <w:adjustRightInd/>
              <w:rPr>
                <w:rFonts w:ascii="Times New Roman" w:hAnsi="Times New Roman"/>
                <w:b/>
                <w:bCs/>
                <w:sz w:val="22"/>
                <w:szCs w:val="22"/>
              </w:rPr>
            </w:pPr>
            <w:r w:rsidRPr="00914DD2">
              <w:rPr>
                <w:rFonts w:ascii="Times New Roman" w:hAnsi="Times New Roman"/>
                <w:b/>
                <w:bCs/>
                <w:sz w:val="22"/>
                <w:szCs w:val="22"/>
              </w:rPr>
              <w:t>Collection Activities</w:t>
            </w:r>
          </w:p>
          <w:p w14:paraId="4355D3CC" w14:textId="45F676EA" w:rsidR="00DE7075" w:rsidRPr="00914DD2" w:rsidRDefault="00DE7075" w:rsidP="007D30A8">
            <w:pPr>
              <w:rPr>
                <w:rFonts w:ascii="Times New Roman" w:hAnsi="Times New Roman"/>
                <w:b/>
                <w:bCs/>
                <w:sz w:val="22"/>
                <w:szCs w:val="22"/>
              </w:rPr>
            </w:pPr>
            <w:r w:rsidRPr="00914DD2">
              <w:rPr>
                <w:rFonts w:ascii="Times New Roman" w:hAnsi="Times New Roman"/>
                <w:b/>
                <w:bCs/>
                <w:sz w:val="22"/>
                <w:szCs w:val="22"/>
              </w:rPr>
              <w:t> </w:t>
            </w:r>
          </w:p>
        </w:tc>
        <w:tc>
          <w:tcPr>
            <w:tcW w:w="1396" w:type="dxa"/>
            <w:shd w:val="clear" w:color="000000" w:fill="FFFFFF" w:themeFill="background1"/>
            <w:vAlign w:val="bottom"/>
            <w:hideMark/>
          </w:tcPr>
          <w:p w14:paraId="4EAB1160" w14:textId="77777777" w:rsidR="00DE7075" w:rsidRPr="00263E20" w:rsidRDefault="00DE7075" w:rsidP="00620D55">
            <w:pPr>
              <w:widowControl/>
              <w:autoSpaceDE/>
              <w:autoSpaceDN/>
              <w:adjustRightInd/>
              <w:jc w:val="center"/>
              <w:rPr>
                <w:rFonts w:ascii="Times New Roman" w:hAnsi="Times New Roman"/>
                <w:b/>
                <w:bCs/>
                <w:sz w:val="20"/>
                <w:szCs w:val="20"/>
              </w:rPr>
            </w:pPr>
            <w:r w:rsidRPr="00263E20">
              <w:rPr>
                <w:rFonts w:ascii="Times New Roman" w:hAnsi="Times New Roman"/>
                <w:b/>
                <w:bCs/>
                <w:sz w:val="20"/>
                <w:szCs w:val="20"/>
              </w:rPr>
              <w:t>Management</w:t>
            </w:r>
          </w:p>
          <w:p w14:paraId="13C668AB" w14:textId="61854393" w:rsidR="00DE7075" w:rsidRPr="00263E20" w:rsidRDefault="00DE7075" w:rsidP="00620D55">
            <w:pPr>
              <w:widowControl/>
              <w:autoSpaceDE/>
              <w:autoSpaceDN/>
              <w:adjustRightInd/>
              <w:jc w:val="center"/>
              <w:rPr>
                <w:rFonts w:ascii="Times New Roman" w:hAnsi="Times New Roman"/>
                <w:b/>
                <w:bCs/>
                <w:sz w:val="20"/>
                <w:szCs w:val="20"/>
              </w:rPr>
            </w:pPr>
            <w:r w:rsidRPr="00263E20">
              <w:rPr>
                <w:rFonts w:ascii="Times New Roman" w:hAnsi="Times New Roman"/>
                <w:b/>
                <w:bCs/>
                <w:sz w:val="20"/>
                <w:szCs w:val="20"/>
              </w:rPr>
              <w:t>(hours)</w:t>
            </w:r>
            <w:r>
              <w:rPr>
                <w:rFonts w:ascii="Times New Roman" w:hAnsi="Times New Roman"/>
                <w:b/>
                <w:bCs/>
                <w:sz w:val="20"/>
                <w:szCs w:val="20"/>
                <w:vertAlign w:val="superscript"/>
              </w:rPr>
              <w:t>1</w:t>
            </w:r>
            <w:r w:rsidRPr="00263E20">
              <w:rPr>
                <w:rFonts w:ascii="Times New Roman" w:hAnsi="Times New Roman"/>
                <w:b/>
                <w:bCs/>
                <w:sz w:val="20"/>
                <w:szCs w:val="20"/>
              </w:rPr>
              <w:t xml:space="preserve"> </w:t>
            </w:r>
          </w:p>
        </w:tc>
        <w:tc>
          <w:tcPr>
            <w:tcW w:w="1080" w:type="dxa"/>
            <w:shd w:val="clear" w:color="000000" w:fill="FFFFFF" w:themeFill="background1"/>
            <w:vAlign w:val="bottom"/>
            <w:hideMark/>
          </w:tcPr>
          <w:p w14:paraId="3DAA24F7" w14:textId="77777777" w:rsidR="00DE7075" w:rsidRPr="00263E20" w:rsidRDefault="00DE7075" w:rsidP="00620D55">
            <w:pPr>
              <w:widowControl/>
              <w:autoSpaceDE/>
              <w:autoSpaceDN/>
              <w:adjustRightInd/>
              <w:jc w:val="center"/>
              <w:rPr>
                <w:rFonts w:ascii="Times New Roman" w:hAnsi="Times New Roman"/>
                <w:b/>
                <w:bCs/>
                <w:sz w:val="20"/>
                <w:szCs w:val="20"/>
              </w:rPr>
            </w:pPr>
            <w:r w:rsidRPr="00263E20">
              <w:rPr>
                <w:rFonts w:ascii="Times New Roman" w:hAnsi="Times New Roman"/>
                <w:b/>
                <w:bCs/>
                <w:sz w:val="20"/>
                <w:szCs w:val="20"/>
              </w:rPr>
              <w:t xml:space="preserve">Technical </w:t>
            </w:r>
          </w:p>
          <w:p w14:paraId="4358DE17" w14:textId="507E3DB6" w:rsidR="00DE7075" w:rsidRPr="00914DD2" w:rsidRDefault="00DE7075" w:rsidP="00620D55">
            <w:pPr>
              <w:widowControl/>
              <w:autoSpaceDE/>
              <w:autoSpaceDN/>
              <w:adjustRightInd/>
              <w:jc w:val="center"/>
              <w:rPr>
                <w:rFonts w:ascii="Times New Roman" w:hAnsi="Times New Roman"/>
                <w:b/>
                <w:bCs/>
                <w:sz w:val="20"/>
                <w:szCs w:val="20"/>
                <w:vertAlign w:val="superscript"/>
              </w:rPr>
            </w:pPr>
            <w:r w:rsidRPr="00263E20">
              <w:rPr>
                <w:rFonts w:ascii="Times New Roman" w:hAnsi="Times New Roman"/>
                <w:b/>
                <w:bCs/>
                <w:sz w:val="20"/>
                <w:szCs w:val="20"/>
              </w:rPr>
              <w:t>(hours)</w:t>
            </w:r>
            <w:r>
              <w:rPr>
                <w:rFonts w:ascii="Times New Roman" w:hAnsi="Times New Roman"/>
                <w:b/>
                <w:bCs/>
                <w:sz w:val="20"/>
                <w:szCs w:val="20"/>
                <w:vertAlign w:val="superscript"/>
              </w:rPr>
              <w:t>1</w:t>
            </w:r>
          </w:p>
        </w:tc>
        <w:tc>
          <w:tcPr>
            <w:tcW w:w="1080" w:type="dxa"/>
            <w:shd w:val="clear" w:color="000000" w:fill="FFFFFF" w:themeFill="background1"/>
            <w:vAlign w:val="bottom"/>
            <w:hideMark/>
          </w:tcPr>
          <w:p w14:paraId="434CE156" w14:textId="77777777" w:rsidR="00DE7075" w:rsidRPr="00263E20" w:rsidRDefault="00DE7075" w:rsidP="00B54B81">
            <w:pPr>
              <w:widowControl/>
              <w:autoSpaceDE/>
              <w:autoSpaceDN/>
              <w:adjustRightInd/>
              <w:ind w:left="-23"/>
              <w:jc w:val="center"/>
              <w:rPr>
                <w:rFonts w:ascii="Times New Roman" w:hAnsi="Times New Roman"/>
                <w:b/>
                <w:bCs/>
                <w:sz w:val="20"/>
                <w:szCs w:val="20"/>
              </w:rPr>
            </w:pPr>
            <w:r w:rsidRPr="00263E20">
              <w:rPr>
                <w:rFonts w:ascii="Times New Roman" w:hAnsi="Times New Roman"/>
                <w:b/>
                <w:bCs/>
                <w:sz w:val="20"/>
                <w:szCs w:val="20"/>
              </w:rPr>
              <w:t xml:space="preserve">Clerical </w:t>
            </w:r>
          </w:p>
          <w:p w14:paraId="776D76EE" w14:textId="16124AC2" w:rsidR="00DE7075" w:rsidRPr="00914DD2" w:rsidRDefault="00DE7075" w:rsidP="00B54B81">
            <w:pPr>
              <w:widowControl/>
              <w:autoSpaceDE/>
              <w:autoSpaceDN/>
              <w:adjustRightInd/>
              <w:ind w:left="-23"/>
              <w:jc w:val="center"/>
              <w:rPr>
                <w:rFonts w:ascii="Times New Roman" w:hAnsi="Times New Roman"/>
                <w:b/>
                <w:bCs/>
                <w:sz w:val="20"/>
                <w:szCs w:val="20"/>
                <w:vertAlign w:val="superscript"/>
              </w:rPr>
            </w:pPr>
            <w:r w:rsidRPr="00263E20">
              <w:rPr>
                <w:rFonts w:ascii="Times New Roman" w:hAnsi="Times New Roman"/>
                <w:b/>
                <w:bCs/>
                <w:sz w:val="20"/>
                <w:szCs w:val="20"/>
              </w:rPr>
              <w:t>(hours)</w:t>
            </w:r>
            <w:r>
              <w:rPr>
                <w:rFonts w:ascii="Times New Roman" w:hAnsi="Times New Roman"/>
                <w:b/>
                <w:bCs/>
                <w:sz w:val="20"/>
                <w:szCs w:val="20"/>
                <w:vertAlign w:val="superscript"/>
              </w:rPr>
              <w:t>1</w:t>
            </w:r>
          </w:p>
        </w:tc>
        <w:tc>
          <w:tcPr>
            <w:tcW w:w="1008" w:type="dxa"/>
            <w:vMerge w:val="restart"/>
            <w:shd w:val="clear" w:color="000000" w:fill="FFFFFF" w:themeFill="background1"/>
            <w:vAlign w:val="bottom"/>
            <w:hideMark/>
          </w:tcPr>
          <w:p w14:paraId="0B043025" w14:textId="77777777" w:rsidR="00DE7075" w:rsidRPr="00263E20" w:rsidRDefault="00DE7075" w:rsidP="00620D55">
            <w:pPr>
              <w:widowControl/>
              <w:autoSpaceDE/>
              <w:autoSpaceDN/>
              <w:adjustRightInd/>
              <w:jc w:val="center"/>
              <w:rPr>
                <w:rFonts w:ascii="Times New Roman" w:hAnsi="Times New Roman"/>
                <w:b/>
                <w:bCs/>
                <w:sz w:val="20"/>
                <w:szCs w:val="20"/>
              </w:rPr>
            </w:pPr>
            <w:r w:rsidRPr="00263E20">
              <w:rPr>
                <w:rFonts w:ascii="Times New Roman" w:hAnsi="Times New Roman"/>
                <w:b/>
                <w:bCs/>
                <w:sz w:val="20"/>
                <w:szCs w:val="20"/>
              </w:rPr>
              <w:t>Total (hours)</w:t>
            </w:r>
          </w:p>
          <w:p w14:paraId="3D788EBC" w14:textId="3AB7BB22" w:rsidR="00DE7075" w:rsidRPr="00263E20" w:rsidRDefault="00DE7075" w:rsidP="007D30A8">
            <w:pPr>
              <w:jc w:val="center"/>
              <w:rPr>
                <w:rFonts w:ascii="Times New Roman" w:hAnsi="Times New Roman"/>
                <w:b/>
                <w:bCs/>
                <w:sz w:val="20"/>
                <w:szCs w:val="20"/>
              </w:rPr>
            </w:pPr>
            <w:r w:rsidRPr="00914DD2">
              <w:rPr>
                <w:rFonts w:ascii="Times New Roman" w:hAnsi="Times New Roman"/>
                <w:bCs/>
                <w:sz w:val="22"/>
                <w:szCs w:val="22"/>
              </w:rPr>
              <w:t> </w:t>
            </w:r>
          </w:p>
        </w:tc>
        <w:tc>
          <w:tcPr>
            <w:tcW w:w="1224" w:type="dxa"/>
            <w:gridSpan w:val="2"/>
            <w:vMerge w:val="restart"/>
            <w:shd w:val="clear" w:color="000000" w:fill="FFFFFF" w:themeFill="background1"/>
            <w:vAlign w:val="bottom"/>
            <w:hideMark/>
          </w:tcPr>
          <w:p w14:paraId="550888F4" w14:textId="77777777" w:rsidR="00DE7075" w:rsidRPr="00263E20" w:rsidRDefault="00DE7075" w:rsidP="00620D55">
            <w:pPr>
              <w:widowControl/>
              <w:autoSpaceDE/>
              <w:autoSpaceDN/>
              <w:adjustRightInd/>
              <w:jc w:val="center"/>
              <w:rPr>
                <w:rFonts w:ascii="Times New Roman" w:hAnsi="Times New Roman"/>
                <w:b/>
                <w:bCs/>
                <w:sz w:val="20"/>
                <w:szCs w:val="20"/>
              </w:rPr>
            </w:pPr>
            <w:r w:rsidRPr="00263E20">
              <w:rPr>
                <w:rFonts w:ascii="Times New Roman" w:hAnsi="Times New Roman"/>
                <w:b/>
                <w:bCs/>
                <w:sz w:val="20"/>
                <w:szCs w:val="20"/>
              </w:rPr>
              <w:t>Cost</w:t>
            </w:r>
          </w:p>
          <w:p w14:paraId="42A5FD20" w14:textId="77777777" w:rsidR="00DE7075" w:rsidRPr="00263E20" w:rsidRDefault="00DE7075" w:rsidP="00620D55">
            <w:pPr>
              <w:widowControl/>
              <w:autoSpaceDE/>
              <w:autoSpaceDN/>
              <w:adjustRightInd/>
              <w:jc w:val="center"/>
              <w:rPr>
                <w:rFonts w:ascii="Times New Roman" w:hAnsi="Times New Roman"/>
                <w:b/>
                <w:bCs/>
                <w:sz w:val="20"/>
                <w:szCs w:val="20"/>
              </w:rPr>
            </w:pPr>
            <w:r w:rsidRPr="00263E20">
              <w:rPr>
                <w:rFonts w:ascii="Times New Roman" w:hAnsi="Times New Roman"/>
                <w:b/>
                <w:bCs/>
                <w:sz w:val="20"/>
                <w:szCs w:val="20"/>
              </w:rPr>
              <w:t>($)</w:t>
            </w:r>
          </w:p>
          <w:p w14:paraId="437ADD7F" w14:textId="74EC7C67" w:rsidR="00DE7075" w:rsidRPr="00263E20" w:rsidRDefault="00DE7075" w:rsidP="007D30A8">
            <w:pPr>
              <w:jc w:val="center"/>
              <w:rPr>
                <w:rFonts w:ascii="Times New Roman" w:hAnsi="Times New Roman"/>
                <w:b/>
                <w:bCs/>
                <w:sz w:val="20"/>
                <w:szCs w:val="20"/>
              </w:rPr>
            </w:pPr>
            <w:r w:rsidRPr="00914DD2">
              <w:rPr>
                <w:rFonts w:ascii="Times New Roman" w:hAnsi="Times New Roman"/>
                <w:bCs/>
                <w:sz w:val="22"/>
                <w:szCs w:val="22"/>
              </w:rPr>
              <w:t> </w:t>
            </w:r>
          </w:p>
        </w:tc>
      </w:tr>
      <w:tr w:rsidR="00DE7075" w:rsidRPr="00263E20" w14:paraId="0EFBE010" w14:textId="77777777" w:rsidTr="00DE7075">
        <w:trPr>
          <w:trHeight w:val="282"/>
        </w:trPr>
        <w:tc>
          <w:tcPr>
            <w:tcW w:w="3572" w:type="dxa"/>
            <w:vMerge/>
            <w:shd w:val="clear" w:color="000000" w:fill="FFFFFF" w:themeFill="background1"/>
            <w:noWrap/>
            <w:vAlign w:val="bottom"/>
            <w:hideMark/>
          </w:tcPr>
          <w:p w14:paraId="41DC6C60" w14:textId="3D772626" w:rsidR="00DE7075" w:rsidRPr="00914DD2" w:rsidRDefault="00DE7075" w:rsidP="007D30A8">
            <w:pPr>
              <w:widowControl/>
              <w:autoSpaceDE/>
              <w:autoSpaceDN/>
              <w:adjustRightInd/>
              <w:rPr>
                <w:rFonts w:ascii="Times New Roman" w:hAnsi="Times New Roman"/>
                <w:b/>
                <w:bCs/>
                <w:sz w:val="22"/>
                <w:szCs w:val="22"/>
              </w:rPr>
            </w:pPr>
          </w:p>
        </w:tc>
        <w:tc>
          <w:tcPr>
            <w:tcW w:w="1396" w:type="dxa"/>
            <w:shd w:val="clear" w:color="000000" w:fill="FFFFFF" w:themeFill="background1"/>
            <w:noWrap/>
            <w:hideMark/>
          </w:tcPr>
          <w:p w14:paraId="40367DCF" w14:textId="3E9267D9" w:rsidR="00DE7075" w:rsidRPr="00914DD2" w:rsidRDefault="00DE7075" w:rsidP="00DE7075">
            <w:pPr>
              <w:widowControl/>
              <w:autoSpaceDE/>
              <w:autoSpaceDN/>
              <w:adjustRightInd/>
              <w:jc w:val="center"/>
              <w:rPr>
                <w:rFonts w:ascii="Times New Roman" w:hAnsi="Times New Roman"/>
                <w:bCs/>
                <w:i/>
                <w:sz w:val="22"/>
                <w:szCs w:val="22"/>
              </w:rPr>
            </w:pPr>
            <w:r w:rsidRPr="00914DD2">
              <w:rPr>
                <w:rFonts w:ascii="Times New Roman" w:hAnsi="Times New Roman"/>
                <w:bCs/>
                <w:i/>
                <w:sz w:val="22"/>
                <w:szCs w:val="22"/>
              </w:rPr>
              <w:t>$124.02</w:t>
            </w:r>
            <w:r>
              <w:rPr>
                <w:rFonts w:ascii="Times New Roman" w:hAnsi="Times New Roman"/>
                <w:bCs/>
                <w:i/>
                <w:sz w:val="22"/>
                <w:szCs w:val="22"/>
              </w:rPr>
              <w:t>/hr</w:t>
            </w:r>
          </w:p>
        </w:tc>
        <w:tc>
          <w:tcPr>
            <w:tcW w:w="1080" w:type="dxa"/>
            <w:shd w:val="clear" w:color="000000" w:fill="FFFFFF" w:themeFill="background1"/>
            <w:noWrap/>
            <w:hideMark/>
          </w:tcPr>
          <w:p w14:paraId="05854D5D" w14:textId="52E46B7F" w:rsidR="00DE7075" w:rsidRPr="00914DD2" w:rsidRDefault="00DE7075" w:rsidP="007D30A8">
            <w:pPr>
              <w:widowControl/>
              <w:autoSpaceDE/>
              <w:autoSpaceDN/>
              <w:adjustRightInd/>
              <w:jc w:val="center"/>
              <w:rPr>
                <w:rFonts w:ascii="Times New Roman" w:hAnsi="Times New Roman"/>
                <w:bCs/>
                <w:i/>
                <w:sz w:val="22"/>
                <w:szCs w:val="22"/>
              </w:rPr>
            </w:pPr>
            <w:r w:rsidRPr="00914DD2">
              <w:rPr>
                <w:rFonts w:ascii="Times New Roman" w:hAnsi="Times New Roman"/>
                <w:bCs/>
                <w:i/>
                <w:sz w:val="22"/>
                <w:szCs w:val="22"/>
              </w:rPr>
              <w:t>$73.37</w:t>
            </w:r>
            <w:r>
              <w:rPr>
                <w:rFonts w:ascii="Times New Roman" w:hAnsi="Times New Roman"/>
                <w:bCs/>
                <w:i/>
                <w:sz w:val="22"/>
                <w:szCs w:val="22"/>
              </w:rPr>
              <w:t>/hr</w:t>
            </w:r>
          </w:p>
        </w:tc>
        <w:tc>
          <w:tcPr>
            <w:tcW w:w="1080" w:type="dxa"/>
            <w:shd w:val="clear" w:color="000000" w:fill="FFFFFF" w:themeFill="background1"/>
            <w:noWrap/>
            <w:hideMark/>
          </w:tcPr>
          <w:p w14:paraId="65F5901F" w14:textId="11A6B49F" w:rsidR="00DE7075" w:rsidRPr="00914DD2" w:rsidRDefault="00DE7075" w:rsidP="007D30A8">
            <w:pPr>
              <w:widowControl/>
              <w:autoSpaceDE/>
              <w:autoSpaceDN/>
              <w:adjustRightInd/>
              <w:jc w:val="center"/>
              <w:rPr>
                <w:rFonts w:ascii="Times New Roman" w:hAnsi="Times New Roman"/>
                <w:bCs/>
                <w:i/>
                <w:sz w:val="22"/>
                <w:szCs w:val="22"/>
              </w:rPr>
            </w:pPr>
            <w:r w:rsidRPr="00914DD2">
              <w:rPr>
                <w:rFonts w:ascii="Times New Roman" w:hAnsi="Times New Roman"/>
                <w:bCs/>
                <w:i/>
                <w:sz w:val="22"/>
                <w:szCs w:val="22"/>
              </w:rPr>
              <w:t>$41.70</w:t>
            </w:r>
            <w:r>
              <w:rPr>
                <w:rFonts w:ascii="Times New Roman" w:hAnsi="Times New Roman"/>
                <w:bCs/>
                <w:i/>
                <w:sz w:val="22"/>
                <w:szCs w:val="22"/>
              </w:rPr>
              <w:t>/hr</w:t>
            </w:r>
          </w:p>
        </w:tc>
        <w:tc>
          <w:tcPr>
            <w:tcW w:w="1008" w:type="dxa"/>
            <w:vMerge/>
            <w:shd w:val="clear" w:color="000000" w:fill="FFFFFF" w:themeFill="background1"/>
            <w:noWrap/>
            <w:vAlign w:val="bottom"/>
            <w:hideMark/>
          </w:tcPr>
          <w:p w14:paraId="18A6DCF7" w14:textId="5A730E9B" w:rsidR="00DE7075" w:rsidRPr="00914DD2" w:rsidRDefault="00DE7075" w:rsidP="007D30A8">
            <w:pPr>
              <w:widowControl/>
              <w:autoSpaceDE/>
              <w:autoSpaceDN/>
              <w:adjustRightInd/>
              <w:jc w:val="center"/>
              <w:rPr>
                <w:rFonts w:ascii="Times New Roman" w:hAnsi="Times New Roman"/>
                <w:bCs/>
                <w:sz w:val="22"/>
                <w:szCs w:val="22"/>
              </w:rPr>
            </w:pPr>
          </w:p>
        </w:tc>
        <w:tc>
          <w:tcPr>
            <w:tcW w:w="1224" w:type="dxa"/>
            <w:gridSpan w:val="2"/>
            <w:vMerge/>
            <w:shd w:val="clear" w:color="000000" w:fill="FFFFFF" w:themeFill="background1"/>
            <w:noWrap/>
            <w:vAlign w:val="bottom"/>
            <w:hideMark/>
          </w:tcPr>
          <w:p w14:paraId="5477B231" w14:textId="258D8EA4" w:rsidR="00DE7075" w:rsidRPr="00914DD2" w:rsidRDefault="00DE7075" w:rsidP="007D30A8">
            <w:pPr>
              <w:widowControl/>
              <w:autoSpaceDE/>
              <w:autoSpaceDN/>
              <w:adjustRightInd/>
              <w:jc w:val="center"/>
              <w:rPr>
                <w:rFonts w:ascii="Times New Roman" w:hAnsi="Times New Roman"/>
                <w:bCs/>
                <w:sz w:val="22"/>
                <w:szCs w:val="22"/>
              </w:rPr>
            </w:pPr>
          </w:p>
        </w:tc>
      </w:tr>
      <w:tr w:rsidR="007D30A8" w:rsidRPr="00263E20" w14:paraId="2FFDA853" w14:textId="77777777" w:rsidTr="00934C1C">
        <w:trPr>
          <w:trHeight w:val="461"/>
        </w:trPr>
        <w:tc>
          <w:tcPr>
            <w:tcW w:w="3572" w:type="dxa"/>
            <w:shd w:val="clear" w:color="000000" w:fill="FFFFFF" w:themeFill="background1"/>
            <w:vAlign w:val="bottom"/>
            <w:hideMark/>
          </w:tcPr>
          <w:p w14:paraId="6FCF8C9E" w14:textId="77777777" w:rsidR="007D30A8" w:rsidRPr="00914DD2" w:rsidRDefault="007D30A8" w:rsidP="007D30A8">
            <w:pPr>
              <w:widowControl/>
              <w:autoSpaceDE/>
              <w:autoSpaceDN/>
              <w:adjustRightInd/>
              <w:rPr>
                <w:rFonts w:ascii="Times New Roman" w:hAnsi="Times New Roman"/>
                <w:bCs/>
                <w:sz w:val="22"/>
                <w:szCs w:val="22"/>
              </w:rPr>
            </w:pPr>
            <w:r w:rsidRPr="00914DD2">
              <w:rPr>
                <w:rFonts w:ascii="Times New Roman" w:hAnsi="Times New Roman"/>
                <w:bCs/>
                <w:sz w:val="22"/>
                <w:szCs w:val="22"/>
              </w:rPr>
              <w:t>Read or hear any instructions</w:t>
            </w:r>
          </w:p>
        </w:tc>
        <w:tc>
          <w:tcPr>
            <w:tcW w:w="1396" w:type="dxa"/>
            <w:shd w:val="clear" w:color="000000" w:fill="FFFFFF" w:themeFill="background1"/>
            <w:vAlign w:val="bottom"/>
            <w:hideMark/>
          </w:tcPr>
          <w:p w14:paraId="08527C31" w14:textId="77777777" w:rsidR="007D30A8" w:rsidRPr="00914DD2" w:rsidRDefault="007D30A8" w:rsidP="007D30A8">
            <w:pPr>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0.01</w:t>
            </w:r>
          </w:p>
        </w:tc>
        <w:tc>
          <w:tcPr>
            <w:tcW w:w="1080" w:type="dxa"/>
            <w:shd w:val="clear" w:color="000000" w:fill="FFFFFF" w:themeFill="background1"/>
            <w:vAlign w:val="bottom"/>
            <w:hideMark/>
          </w:tcPr>
          <w:p w14:paraId="5F7321C4" w14:textId="77777777" w:rsidR="007D30A8" w:rsidRPr="00914DD2" w:rsidRDefault="007D30A8" w:rsidP="007D30A8">
            <w:pPr>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0.05</w:t>
            </w:r>
          </w:p>
        </w:tc>
        <w:tc>
          <w:tcPr>
            <w:tcW w:w="1080" w:type="dxa"/>
            <w:shd w:val="clear" w:color="000000" w:fill="FFFFFF" w:themeFill="background1"/>
            <w:vAlign w:val="bottom"/>
            <w:hideMark/>
          </w:tcPr>
          <w:p w14:paraId="5EE33E5C" w14:textId="77777777" w:rsidR="007D30A8" w:rsidRPr="00914DD2" w:rsidRDefault="007D30A8" w:rsidP="007D30A8">
            <w:pPr>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w:t>
            </w:r>
          </w:p>
        </w:tc>
        <w:tc>
          <w:tcPr>
            <w:tcW w:w="1008" w:type="dxa"/>
            <w:shd w:val="clear" w:color="000000" w:fill="FFFFFF" w:themeFill="background1"/>
            <w:vAlign w:val="bottom"/>
            <w:hideMark/>
          </w:tcPr>
          <w:p w14:paraId="4EDC2750" w14:textId="77777777" w:rsidR="007D30A8" w:rsidRPr="00914DD2" w:rsidRDefault="007D30A8" w:rsidP="007D30A8">
            <w:pPr>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0.06</w:t>
            </w:r>
          </w:p>
        </w:tc>
        <w:tc>
          <w:tcPr>
            <w:tcW w:w="1224" w:type="dxa"/>
            <w:gridSpan w:val="2"/>
            <w:shd w:val="clear" w:color="000000" w:fill="FFFFFF" w:themeFill="background1"/>
            <w:noWrap/>
            <w:vAlign w:val="bottom"/>
            <w:hideMark/>
          </w:tcPr>
          <w:p w14:paraId="6EDD045F" w14:textId="221A5DC6" w:rsidR="007D30A8" w:rsidRPr="00914DD2" w:rsidRDefault="007D30A8" w:rsidP="007D30A8">
            <w:pPr>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4.91</w:t>
            </w:r>
          </w:p>
        </w:tc>
      </w:tr>
      <w:tr w:rsidR="007D30A8" w:rsidRPr="00263E20" w14:paraId="654D8E63" w14:textId="77777777" w:rsidTr="00934C1C">
        <w:trPr>
          <w:trHeight w:val="461"/>
        </w:trPr>
        <w:tc>
          <w:tcPr>
            <w:tcW w:w="3572" w:type="dxa"/>
            <w:shd w:val="clear" w:color="000000" w:fill="FFFFFF" w:themeFill="background1"/>
            <w:vAlign w:val="bottom"/>
            <w:hideMark/>
          </w:tcPr>
          <w:p w14:paraId="312F3CB7" w14:textId="77777777" w:rsidR="007D30A8" w:rsidRPr="00914DD2" w:rsidRDefault="007D30A8" w:rsidP="007D30A8">
            <w:pPr>
              <w:widowControl/>
              <w:autoSpaceDE/>
              <w:autoSpaceDN/>
              <w:adjustRightInd/>
              <w:rPr>
                <w:rFonts w:ascii="Times New Roman" w:hAnsi="Times New Roman"/>
                <w:bCs/>
                <w:sz w:val="22"/>
                <w:szCs w:val="22"/>
              </w:rPr>
            </w:pPr>
            <w:r w:rsidRPr="00914DD2">
              <w:rPr>
                <w:rFonts w:ascii="Times New Roman" w:hAnsi="Times New Roman"/>
                <w:bCs/>
                <w:sz w:val="22"/>
                <w:szCs w:val="22"/>
              </w:rPr>
              <w:t>Plan activities</w:t>
            </w:r>
          </w:p>
        </w:tc>
        <w:tc>
          <w:tcPr>
            <w:tcW w:w="1396" w:type="dxa"/>
            <w:shd w:val="clear" w:color="000000" w:fill="FFFFFF" w:themeFill="background1"/>
            <w:vAlign w:val="bottom"/>
            <w:hideMark/>
          </w:tcPr>
          <w:p w14:paraId="7C38F3AC" w14:textId="77777777" w:rsidR="007D30A8" w:rsidRPr="00914DD2" w:rsidRDefault="007D30A8" w:rsidP="007D30A8">
            <w:pPr>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w:t>
            </w:r>
          </w:p>
        </w:tc>
        <w:tc>
          <w:tcPr>
            <w:tcW w:w="1080" w:type="dxa"/>
            <w:shd w:val="clear" w:color="000000" w:fill="FFFFFF" w:themeFill="background1"/>
            <w:vAlign w:val="bottom"/>
            <w:hideMark/>
          </w:tcPr>
          <w:p w14:paraId="2FE8FA5B" w14:textId="77777777" w:rsidR="007D30A8" w:rsidRPr="00914DD2" w:rsidRDefault="007D30A8" w:rsidP="007D30A8">
            <w:pPr>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w:t>
            </w:r>
          </w:p>
        </w:tc>
        <w:tc>
          <w:tcPr>
            <w:tcW w:w="1080" w:type="dxa"/>
            <w:shd w:val="clear" w:color="000000" w:fill="FFFFFF" w:themeFill="background1"/>
            <w:vAlign w:val="bottom"/>
            <w:hideMark/>
          </w:tcPr>
          <w:p w14:paraId="17D94C0E" w14:textId="77777777" w:rsidR="007D30A8" w:rsidRPr="00914DD2" w:rsidRDefault="007D30A8" w:rsidP="007D30A8">
            <w:pPr>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w:t>
            </w:r>
          </w:p>
        </w:tc>
        <w:tc>
          <w:tcPr>
            <w:tcW w:w="1008" w:type="dxa"/>
            <w:shd w:val="clear" w:color="000000" w:fill="FFFFFF" w:themeFill="background1"/>
            <w:vAlign w:val="bottom"/>
            <w:hideMark/>
          </w:tcPr>
          <w:p w14:paraId="06476425" w14:textId="77777777" w:rsidR="007D30A8" w:rsidRPr="00914DD2" w:rsidRDefault="007D30A8" w:rsidP="007D30A8">
            <w:pPr>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w:t>
            </w:r>
          </w:p>
        </w:tc>
        <w:tc>
          <w:tcPr>
            <w:tcW w:w="1224" w:type="dxa"/>
            <w:gridSpan w:val="2"/>
            <w:shd w:val="clear" w:color="000000" w:fill="FFFFFF" w:themeFill="background1"/>
            <w:noWrap/>
            <w:vAlign w:val="bottom"/>
            <w:hideMark/>
          </w:tcPr>
          <w:p w14:paraId="7BD9959C" w14:textId="688C3DFC" w:rsidR="007D30A8" w:rsidRPr="00914DD2" w:rsidRDefault="007D30A8" w:rsidP="007D30A8">
            <w:pPr>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0.00</w:t>
            </w:r>
          </w:p>
        </w:tc>
      </w:tr>
      <w:tr w:rsidR="007D30A8" w:rsidRPr="00263E20" w14:paraId="3B91C5C5" w14:textId="77777777" w:rsidTr="00934C1C">
        <w:trPr>
          <w:trHeight w:val="461"/>
        </w:trPr>
        <w:tc>
          <w:tcPr>
            <w:tcW w:w="3572" w:type="dxa"/>
            <w:shd w:val="clear" w:color="000000" w:fill="FFFFFF" w:themeFill="background1"/>
            <w:vAlign w:val="bottom"/>
            <w:hideMark/>
          </w:tcPr>
          <w:p w14:paraId="6B5C4A99" w14:textId="77777777" w:rsidR="007D30A8" w:rsidRPr="00914DD2" w:rsidRDefault="007D30A8" w:rsidP="007D30A8">
            <w:pPr>
              <w:widowControl/>
              <w:autoSpaceDE/>
              <w:autoSpaceDN/>
              <w:adjustRightInd/>
              <w:rPr>
                <w:rFonts w:ascii="Times New Roman" w:hAnsi="Times New Roman"/>
                <w:bCs/>
                <w:sz w:val="22"/>
                <w:szCs w:val="22"/>
              </w:rPr>
            </w:pPr>
            <w:r w:rsidRPr="00914DD2">
              <w:rPr>
                <w:rFonts w:ascii="Times New Roman" w:hAnsi="Times New Roman"/>
                <w:bCs/>
                <w:sz w:val="22"/>
                <w:szCs w:val="22"/>
              </w:rPr>
              <w:t>Create information</w:t>
            </w:r>
          </w:p>
        </w:tc>
        <w:tc>
          <w:tcPr>
            <w:tcW w:w="1396" w:type="dxa"/>
            <w:shd w:val="clear" w:color="000000" w:fill="FFFFFF" w:themeFill="background1"/>
            <w:vAlign w:val="bottom"/>
            <w:hideMark/>
          </w:tcPr>
          <w:p w14:paraId="4EA6B93B" w14:textId="77777777" w:rsidR="007D30A8" w:rsidRPr="00914DD2" w:rsidRDefault="007D30A8" w:rsidP="007D30A8">
            <w:pPr>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w:t>
            </w:r>
          </w:p>
        </w:tc>
        <w:tc>
          <w:tcPr>
            <w:tcW w:w="1080" w:type="dxa"/>
            <w:shd w:val="clear" w:color="000000" w:fill="FFFFFF" w:themeFill="background1"/>
            <w:vAlign w:val="bottom"/>
            <w:hideMark/>
          </w:tcPr>
          <w:p w14:paraId="6D1CEAC4" w14:textId="77777777" w:rsidR="007D30A8" w:rsidRPr="00914DD2" w:rsidRDefault="007D30A8" w:rsidP="007D30A8">
            <w:pPr>
              <w:widowControl/>
              <w:autoSpaceDE/>
              <w:autoSpaceDN/>
              <w:adjustRightInd/>
              <w:ind w:left="-6" w:firstLine="6"/>
              <w:jc w:val="center"/>
              <w:rPr>
                <w:rFonts w:ascii="Times New Roman" w:hAnsi="Times New Roman"/>
                <w:bCs/>
                <w:sz w:val="22"/>
                <w:szCs w:val="22"/>
              </w:rPr>
            </w:pPr>
            <w:r w:rsidRPr="00914DD2">
              <w:rPr>
                <w:rFonts w:ascii="Times New Roman" w:hAnsi="Times New Roman"/>
                <w:bCs/>
                <w:sz w:val="22"/>
                <w:szCs w:val="22"/>
              </w:rPr>
              <w:t>-</w:t>
            </w:r>
          </w:p>
        </w:tc>
        <w:tc>
          <w:tcPr>
            <w:tcW w:w="1080" w:type="dxa"/>
            <w:shd w:val="clear" w:color="000000" w:fill="FFFFFF" w:themeFill="background1"/>
            <w:vAlign w:val="bottom"/>
            <w:hideMark/>
          </w:tcPr>
          <w:p w14:paraId="09675558" w14:textId="77777777" w:rsidR="007D30A8" w:rsidRPr="00914DD2" w:rsidRDefault="007D30A8" w:rsidP="007D30A8">
            <w:pPr>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w:t>
            </w:r>
          </w:p>
        </w:tc>
        <w:tc>
          <w:tcPr>
            <w:tcW w:w="1008" w:type="dxa"/>
            <w:shd w:val="clear" w:color="000000" w:fill="FFFFFF" w:themeFill="background1"/>
            <w:vAlign w:val="bottom"/>
            <w:hideMark/>
          </w:tcPr>
          <w:p w14:paraId="5C41D96C" w14:textId="77777777" w:rsidR="007D30A8" w:rsidRPr="00914DD2" w:rsidRDefault="007D30A8" w:rsidP="007D30A8">
            <w:pPr>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w:t>
            </w:r>
          </w:p>
        </w:tc>
        <w:tc>
          <w:tcPr>
            <w:tcW w:w="1224" w:type="dxa"/>
            <w:gridSpan w:val="2"/>
            <w:shd w:val="clear" w:color="000000" w:fill="FFFFFF" w:themeFill="background1"/>
            <w:noWrap/>
            <w:vAlign w:val="bottom"/>
            <w:hideMark/>
          </w:tcPr>
          <w:p w14:paraId="653EF6DF" w14:textId="6732CA35" w:rsidR="007D30A8" w:rsidRPr="00914DD2" w:rsidRDefault="007D30A8" w:rsidP="007D30A8">
            <w:pPr>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0.00</w:t>
            </w:r>
          </w:p>
        </w:tc>
      </w:tr>
      <w:tr w:rsidR="007D30A8" w:rsidRPr="00263E20" w14:paraId="27AC9575" w14:textId="77777777" w:rsidTr="00934C1C">
        <w:trPr>
          <w:trHeight w:val="461"/>
        </w:trPr>
        <w:tc>
          <w:tcPr>
            <w:tcW w:w="3572" w:type="dxa"/>
            <w:shd w:val="clear" w:color="000000" w:fill="FFFFFF" w:themeFill="background1"/>
            <w:vAlign w:val="bottom"/>
            <w:hideMark/>
          </w:tcPr>
          <w:p w14:paraId="625CDA99" w14:textId="418AF7F1" w:rsidR="007D30A8" w:rsidRPr="00914DD2" w:rsidRDefault="007D30A8" w:rsidP="00D31F92">
            <w:pPr>
              <w:widowControl/>
              <w:autoSpaceDE/>
              <w:autoSpaceDN/>
              <w:adjustRightInd/>
              <w:rPr>
                <w:rFonts w:ascii="Times New Roman" w:hAnsi="Times New Roman"/>
                <w:bCs/>
                <w:sz w:val="22"/>
                <w:szCs w:val="22"/>
              </w:rPr>
            </w:pPr>
            <w:r w:rsidRPr="00914DD2">
              <w:rPr>
                <w:rFonts w:ascii="Times New Roman" w:hAnsi="Times New Roman"/>
                <w:bCs/>
                <w:sz w:val="22"/>
                <w:szCs w:val="22"/>
              </w:rPr>
              <w:t>Gather information, including label and supporting information</w:t>
            </w:r>
            <w:r w:rsidR="00D31F92">
              <w:rPr>
                <w:rFonts w:ascii="Times New Roman" w:hAnsi="Times New Roman"/>
                <w:bCs/>
                <w:sz w:val="22"/>
                <w:szCs w:val="22"/>
              </w:rPr>
              <w:t xml:space="preserve"> (both mandatory and recommended</w:t>
            </w:r>
            <w:r w:rsidR="00565ADC">
              <w:rPr>
                <w:rFonts w:ascii="Times New Roman" w:hAnsi="Times New Roman"/>
                <w:bCs/>
                <w:sz w:val="22"/>
                <w:szCs w:val="22"/>
              </w:rPr>
              <w:t>/voluntary</w:t>
            </w:r>
            <w:r w:rsidR="00D31F92">
              <w:rPr>
                <w:rFonts w:ascii="Times New Roman" w:hAnsi="Times New Roman"/>
                <w:bCs/>
                <w:sz w:val="22"/>
                <w:szCs w:val="22"/>
              </w:rPr>
              <w:t xml:space="preserve"> information)</w:t>
            </w:r>
          </w:p>
        </w:tc>
        <w:tc>
          <w:tcPr>
            <w:tcW w:w="1396" w:type="dxa"/>
            <w:shd w:val="clear" w:color="000000" w:fill="FFFFFF" w:themeFill="background1"/>
            <w:vAlign w:val="bottom"/>
            <w:hideMark/>
          </w:tcPr>
          <w:p w14:paraId="1F3B1D17" w14:textId="77777777" w:rsidR="007D30A8" w:rsidRPr="00914DD2" w:rsidRDefault="007D30A8" w:rsidP="007D30A8">
            <w:pPr>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w:t>
            </w:r>
          </w:p>
        </w:tc>
        <w:tc>
          <w:tcPr>
            <w:tcW w:w="1080" w:type="dxa"/>
            <w:shd w:val="clear" w:color="000000" w:fill="FFFFFF" w:themeFill="background1"/>
            <w:vAlign w:val="bottom"/>
            <w:hideMark/>
          </w:tcPr>
          <w:p w14:paraId="39D7B859" w14:textId="77777777" w:rsidR="007D30A8" w:rsidRPr="00914DD2" w:rsidRDefault="007D30A8" w:rsidP="007D30A8">
            <w:pPr>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0.02</w:t>
            </w:r>
          </w:p>
        </w:tc>
        <w:tc>
          <w:tcPr>
            <w:tcW w:w="1080" w:type="dxa"/>
            <w:shd w:val="clear" w:color="000000" w:fill="FFFFFF" w:themeFill="background1"/>
            <w:vAlign w:val="bottom"/>
            <w:hideMark/>
          </w:tcPr>
          <w:p w14:paraId="23C802A1" w14:textId="77777777" w:rsidR="007D30A8" w:rsidRPr="00914DD2" w:rsidRDefault="007D30A8" w:rsidP="007D30A8">
            <w:pPr>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0.03</w:t>
            </w:r>
          </w:p>
        </w:tc>
        <w:tc>
          <w:tcPr>
            <w:tcW w:w="1008" w:type="dxa"/>
            <w:shd w:val="clear" w:color="000000" w:fill="FFFFFF" w:themeFill="background1"/>
            <w:vAlign w:val="bottom"/>
            <w:hideMark/>
          </w:tcPr>
          <w:p w14:paraId="4B199B3A" w14:textId="77777777" w:rsidR="007D30A8" w:rsidRPr="00914DD2" w:rsidRDefault="007D30A8" w:rsidP="007D30A8">
            <w:pPr>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0.05</w:t>
            </w:r>
          </w:p>
        </w:tc>
        <w:tc>
          <w:tcPr>
            <w:tcW w:w="1224" w:type="dxa"/>
            <w:gridSpan w:val="2"/>
            <w:shd w:val="clear" w:color="000000" w:fill="FFFFFF" w:themeFill="background1"/>
            <w:noWrap/>
            <w:vAlign w:val="bottom"/>
            <w:hideMark/>
          </w:tcPr>
          <w:p w14:paraId="3064D783" w14:textId="22842F0B" w:rsidR="007D30A8" w:rsidRPr="00914DD2" w:rsidRDefault="007D30A8" w:rsidP="007D30A8">
            <w:pPr>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2.72</w:t>
            </w:r>
          </w:p>
        </w:tc>
      </w:tr>
      <w:tr w:rsidR="007D30A8" w:rsidRPr="00263E20" w14:paraId="3F486215" w14:textId="77777777" w:rsidTr="00934C1C">
        <w:trPr>
          <w:trHeight w:val="461"/>
        </w:trPr>
        <w:tc>
          <w:tcPr>
            <w:tcW w:w="3572" w:type="dxa"/>
            <w:shd w:val="clear" w:color="000000" w:fill="FFFFFF" w:themeFill="background1"/>
            <w:vAlign w:val="bottom"/>
            <w:hideMark/>
          </w:tcPr>
          <w:p w14:paraId="22EE6D51" w14:textId="77777777" w:rsidR="007D30A8" w:rsidRPr="00914DD2" w:rsidRDefault="007D30A8" w:rsidP="007D30A8">
            <w:pPr>
              <w:widowControl/>
              <w:autoSpaceDE/>
              <w:autoSpaceDN/>
              <w:adjustRightInd/>
              <w:rPr>
                <w:rFonts w:ascii="Times New Roman" w:hAnsi="Times New Roman"/>
                <w:bCs/>
                <w:sz w:val="22"/>
                <w:szCs w:val="22"/>
              </w:rPr>
            </w:pPr>
            <w:r w:rsidRPr="00914DD2">
              <w:rPr>
                <w:rFonts w:ascii="Times New Roman" w:hAnsi="Times New Roman"/>
                <w:bCs/>
                <w:sz w:val="22"/>
                <w:szCs w:val="22"/>
              </w:rPr>
              <w:t>Process, compile, review information for accuracy</w:t>
            </w:r>
          </w:p>
        </w:tc>
        <w:tc>
          <w:tcPr>
            <w:tcW w:w="1396" w:type="dxa"/>
            <w:shd w:val="clear" w:color="000000" w:fill="FFFFFF" w:themeFill="background1"/>
            <w:vAlign w:val="bottom"/>
            <w:hideMark/>
          </w:tcPr>
          <w:p w14:paraId="2FE47EAA" w14:textId="77777777" w:rsidR="007D30A8" w:rsidRPr="00914DD2" w:rsidRDefault="007D30A8" w:rsidP="007D30A8">
            <w:pPr>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0.02</w:t>
            </w:r>
          </w:p>
        </w:tc>
        <w:tc>
          <w:tcPr>
            <w:tcW w:w="1080" w:type="dxa"/>
            <w:shd w:val="clear" w:color="000000" w:fill="FFFFFF" w:themeFill="background1"/>
            <w:vAlign w:val="bottom"/>
            <w:hideMark/>
          </w:tcPr>
          <w:p w14:paraId="6BDC091C" w14:textId="77777777" w:rsidR="007D30A8" w:rsidRPr="00914DD2" w:rsidRDefault="007D30A8" w:rsidP="007D30A8">
            <w:pPr>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0.05</w:t>
            </w:r>
          </w:p>
        </w:tc>
        <w:tc>
          <w:tcPr>
            <w:tcW w:w="1080" w:type="dxa"/>
            <w:shd w:val="clear" w:color="000000" w:fill="FFFFFF" w:themeFill="background1"/>
            <w:vAlign w:val="bottom"/>
            <w:hideMark/>
          </w:tcPr>
          <w:p w14:paraId="735670B4" w14:textId="77777777" w:rsidR="007D30A8" w:rsidRPr="00914DD2" w:rsidRDefault="007D30A8" w:rsidP="007D30A8">
            <w:pPr>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w:t>
            </w:r>
          </w:p>
        </w:tc>
        <w:tc>
          <w:tcPr>
            <w:tcW w:w="1008" w:type="dxa"/>
            <w:shd w:val="clear" w:color="000000" w:fill="FFFFFF" w:themeFill="background1"/>
            <w:vAlign w:val="bottom"/>
            <w:hideMark/>
          </w:tcPr>
          <w:p w14:paraId="562E9B35" w14:textId="77777777" w:rsidR="007D30A8" w:rsidRPr="00914DD2" w:rsidRDefault="007D30A8" w:rsidP="007D30A8">
            <w:pPr>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0.07</w:t>
            </w:r>
          </w:p>
        </w:tc>
        <w:tc>
          <w:tcPr>
            <w:tcW w:w="1224" w:type="dxa"/>
            <w:gridSpan w:val="2"/>
            <w:shd w:val="clear" w:color="000000" w:fill="FFFFFF" w:themeFill="background1"/>
            <w:noWrap/>
            <w:vAlign w:val="bottom"/>
            <w:hideMark/>
          </w:tcPr>
          <w:p w14:paraId="550516CC" w14:textId="440D8007" w:rsidR="007D30A8" w:rsidRPr="00914DD2" w:rsidRDefault="007D30A8" w:rsidP="007D30A8">
            <w:pPr>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6.15</w:t>
            </w:r>
          </w:p>
        </w:tc>
      </w:tr>
      <w:tr w:rsidR="007D30A8" w:rsidRPr="00263E20" w14:paraId="021766B7" w14:textId="77777777" w:rsidTr="00934C1C">
        <w:trPr>
          <w:trHeight w:val="461"/>
        </w:trPr>
        <w:tc>
          <w:tcPr>
            <w:tcW w:w="3572" w:type="dxa"/>
            <w:shd w:val="clear" w:color="000000" w:fill="FFFFFF" w:themeFill="background1"/>
            <w:vAlign w:val="bottom"/>
            <w:hideMark/>
          </w:tcPr>
          <w:p w14:paraId="56E78E87" w14:textId="77777777" w:rsidR="007D30A8" w:rsidRPr="00B738E1" w:rsidRDefault="007D30A8" w:rsidP="007D30A8">
            <w:pPr>
              <w:widowControl/>
              <w:autoSpaceDE/>
              <w:autoSpaceDN/>
              <w:adjustRightInd/>
              <w:rPr>
                <w:rFonts w:ascii="Times New Roman" w:hAnsi="Times New Roman"/>
                <w:bCs/>
                <w:sz w:val="22"/>
                <w:szCs w:val="22"/>
              </w:rPr>
            </w:pPr>
            <w:r w:rsidRPr="00B738E1">
              <w:rPr>
                <w:rFonts w:ascii="Times New Roman" w:hAnsi="Times New Roman"/>
                <w:bCs/>
                <w:sz w:val="22"/>
                <w:szCs w:val="22"/>
              </w:rPr>
              <w:t>Complete written forms</w:t>
            </w:r>
          </w:p>
        </w:tc>
        <w:tc>
          <w:tcPr>
            <w:tcW w:w="1396" w:type="dxa"/>
            <w:shd w:val="clear" w:color="000000" w:fill="FFFFFF" w:themeFill="background1"/>
            <w:vAlign w:val="bottom"/>
            <w:hideMark/>
          </w:tcPr>
          <w:p w14:paraId="0C53B527" w14:textId="77777777" w:rsidR="007D30A8" w:rsidRPr="00B738E1" w:rsidRDefault="007D30A8" w:rsidP="007D30A8">
            <w:pPr>
              <w:widowControl/>
              <w:autoSpaceDE/>
              <w:autoSpaceDN/>
              <w:adjustRightInd/>
              <w:jc w:val="center"/>
              <w:rPr>
                <w:rFonts w:ascii="Times New Roman" w:hAnsi="Times New Roman"/>
                <w:bCs/>
                <w:sz w:val="22"/>
                <w:szCs w:val="22"/>
              </w:rPr>
            </w:pPr>
            <w:r w:rsidRPr="00B738E1">
              <w:rPr>
                <w:rFonts w:ascii="Times New Roman" w:hAnsi="Times New Roman"/>
                <w:bCs/>
                <w:sz w:val="22"/>
                <w:szCs w:val="22"/>
              </w:rPr>
              <w:t>-</w:t>
            </w:r>
          </w:p>
        </w:tc>
        <w:tc>
          <w:tcPr>
            <w:tcW w:w="1080" w:type="dxa"/>
            <w:shd w:val="clear" w:color="000000" w:fill="FFFFFF" w:themeFill="background1"/>
            <w:vAlign w:val="bottom"/>
            <w:hideMark/>
          </w:tcPr>
          <w:p w14:paraId="0259400F" w14:textId="77777777" w:rsidR="007D30A8" w:rsidRPr="00B738E1" w:rsidRDefault="007D30A8" w:rsidP="007D30A8">
            <w:pPr>
              <w:widowControl/>
              <w:autoSpaceDE/>
              <w:autoSpaceDN/>
              <w:adjustRightInd/>
              <w:jc w:val="center"/>
              <w:rPr>
                <w:rFonts w:ascii="Times New Roman" w:hAnsi="Times New Roman"/>
                <w:bCs/>
                <w:sz w:val="22"/>
                <w:szCs w:val="22"/>
              </w:rPr>
            </w:pPr>
            <w:r w:rsidRPr="00B738E1">
              <w:rPr>
                <w:rFonts w:ascii="Times New Roman" w:hAnsi="Times New Roman"/>
                <w:bCs/>
                <w:sz w:val="22"/>
                <w:szCs w:val="22"/>
              </w:rPr>
              <w:t>0.04</w:t>
            </w:r>
          </w:p>
        </w:tc>
        <w:tc>
          <w:tcPr>
            <w:tcW w:w="1080" w:type="dxa"/>
            <w:shd w:val="clear" w:color="000000" w:fill="FFFFFF" w:themeFill="background1"/>
            <w:vAlign w:val="bottom"/>
            <w:hideMark/>
          </w:tcPr>
          <w:p w14:paraId="34FB3D57" w14:textId="77777777" w:rsidR="007D30A8" w:rsidRPr="00B738E1" w:rsidRDefault="007D30A8" w:rsidP="007D30A8">
            <w:pPr>
              <w:widowControl/>
              <w:autoSpaceDE/>
              <w:autoSpaceDN/>
              <w:adjustRightInd/>
              <w:jc w:val="center"/>
              <w:rPr>
                <w:rFonts w:ascii="Times New Roman" w:hAnsi="Times New Roman"/>
                <w:bCs/>
                <w:sz w:val="22"/>
                <w:szCs w:val="22"/>
              </w:rPr>
            </w:pPr>
            <w:r w:rsidRPr="00B738E1">
              <w:rPr>
                <w:rFonts w:ascii="Times New Roman" w:hAnsi="Times New Roman"/>
                <w:bCs/>
                <w:sz w:val="22"/>
                <w:szCs w:val="22"/>
              </w:rPr>
              <w:t>0.04</w:t>
            </w:r>
          </w:p>
        </w:tc>
        <w:tc>
          <w:tcPr>
            <w:tcW w:w="1008" w:type="dxa"/>
            <w:shd w:val="clear" w:color="000000" w:fill="FFFFFF" w:themeFill="background1"/>
            <w:vAlign w:val="bottom"/>
            <w:hideMark/>
          </w:tcPr>
          <w:p w14:paraId="256D0DCC" w14:textId="77777777" w:rsidR="007D30A8" w:rsidRPr="00B738E1" w:rsidRDefault="007D30A8" w:rsidP="007D30A8">
            <w:pPr>
              <w:widowControl/>
              <w:autoSpaceDE/>
              <w:autoSpaceDN/>
              <w:adjustRightInd/>
              <w:jc w:val="center"/>
              <w:rPr>
                <w:rFonts w:ascii="Times New Roman" w:hAnsi="Times New Roman"/>
                <w:bCs/>
                <w:sz w:val="22"/>
                <w:szCs w:val="22"/>
              </w:rPr>
            </w:pPr>
            <w:r w:rsidRPr="00B738E1">
              <w:rPr>
                <w:rFonts w:ascii="Times New Roman" w:hAnsi="Times New Roman"/>
                <w:bCs/>
                <w:sz w:val="22"/>
                <w:szCs w:val="22"/>
              </w:rPr>
              <w:t>0.08</w:t>
            </w:r>
          </w:p>
        </w:tc>
        <w:tc>
          <w:tcPr>
            <w:tcW w:w="1224" w:type="dxa"/>
            <w:gridSpan w:val="2"/>
            <w:shd w:val="clear" w:color="000000" w:fill="FFFFFF" w:themeFill="background1"/>
            <w:noWrap/>
            <w:vAlign w:val="bottom"/>
            <w:hideMark/>
          </w:tcPr>
          <w:p w14:paraId="63B717C2" w14:textId="62EEEF7B" w:rsidR="007D30A8" w:rsidRPr="00B738E1" w:rsidRDefault="007D30A8" w:rsidP="007D30A8">
            <w:pPr>
              <w:widowControl/>
              <w:autoSpaceDE/>
              <w:autoSpaceDN/>
              <w:adjustRightInd/>
              <w:jc w:val="center"/>
              <w:rPr>
                <w:rFonts w:ascii="Times New Roman" w:hAnsi="Times New Roman"/>
                <w:bCs/>
                <w:sz w:val="22"/>
                <w:szCs w:val="22"/>
              </w:rPr>
            </w:pPr>
            <w:r w:rsidRPr="00B738E1">
              <w:rPr>
                <w:rFonts w:ascii="Times New Roman" w:hAnsi="Times New Roman"/>
                <w:bCs/>
                <w:sz w:val="22"/>
                <w:szCs w:val="22"/>
              </w:rPr>
              <w:t>4.60</w:t>
            </w:r>
          </w:p>
        </w:tc>
      </w:tr>
      <w:tr w:rsidR="007D30A8" w:rsidRPr="00263E20" w14:paraId="2A7DF385" w14:textId="77777777" w:rsidTr="00934C1C">
        <w:trPr>
          <w:trHeight w:val="461"/>
        </w:trPr>
        <w:tc>
          <w:tcPr>
            <w:tcW w:w="3572" w:type="dxa"/>
            <w:shd w:val="clear" w:color="000000" w:fill="FFFFFF" w:themeFill="background1"/>
            <w:vAlign w:val="bottom"/>
            <w:hideMark/>
          </w:tcPr>
          <w:p w14:paraId="56CC29E9" w14:textId="77777777" w:rsidR="007D30A8" w:rsidRPr="00B738E1" w:rsidRDefault="007D30A8" w:rsidP="007D30A8">
            <w:pPr>
              <w:widowControl/>
              <w:autoSpaceDE/>
              <w:autoSpaceDN/>
              <w:adjustRightInd/>
              <w:rPr>
                <w:rFonts w:ascii="Times New Roman" w:hAnsi="Times New Roman"/>
                <w:bCs/>
                <w:sz w:val="22"/>
                <w:szCs w:val="22"/>
              </w:rPr>
            </w:pPr>
            <w:r w:rsidRPr="00B738E1">
              <w:rPr>
                <w:rFonts w:ascii="Times New Roman" w:hAnsi="Times New Roman"/>
                <w:bCs/>
                <w:sz w:val="22"/>
                <w:szCs w:val="22"/>
              </w:rPr>
              <w:t>Record, disclose, or display information</w:t>
            </w:r>
          </w:p>
        </w:tc>
        <w:tc>
          <w:tcPr>
            <w:tcW w:w="1396" w:type="dxa"/>
            <w:shd w:val="clear" w:color="000000" w:fill="FFFFFF" w:themeFill="background1"/>
            <w:vAlign w:val="bottom"/>
            <w:hideMark/>
          </w:tcPr>
          <w:p w14:paraId="7170A8A9" w14:textId="77777777" w:rsidR="007D30A8" w:rsidRPr="00B738E1" w:rsidRDefault="007D30A8" w:rsidP="007D30A8">
            <w:pPr>
              <w:widowControl/>
              <w:autoSpaceDE/>
              <w:autoSpaceDN/>
              <w:adjustRightInd/>
              <w:jc w:val="center"/>
              <w:rPr>
                <w:rFonts w:ascii="Times New Roman" w:hAnsi="Times New Roman"/>
                <w:bCs/>
                <w:sz w:val="22"/>
                <w:szCs w:val="22"/>
              </w:rPr>
            </w:pPr>
            <w:r w:rsidRPr="00B738E1">
              <w:rPr>
                <w:rFonts w:ascii="Times New Roman" w:hAnsi="Times New Roman"/>
                <w:bCs/>
                <w:sz w:val="22"/>
                <w:szCs w:val="22"/>
              </w:rPr>
              <w:t>-</w:t>
            </w:r>
          </w:p>
        </w:tc>
        <w:tc>
          <w:tcPr>
            <w:tcW w:w="1080" w:type="dxa"/>
            <w:shd w:val="clear" w:color="000000" w:fill="FFFFFF" w:themeFill="background1"/>
            <w:vAlign w:val="bottom"/>
            <w:hideMark/>
          </w:tcPr>
          <w:p w14:paraId="0A034426" w14:textId="77777777" w:rsidR="007D30A8" w:rsidRPr="00B738E1" w:rsidRDefault="007D30A8" w:rsidP="007D30A8">
            <w:pPr>
              <w:widowControl/>
              <w:autoSpaceDE/>
              <w:autoSpaceDN/>
              <w:adjustRightInd/>
              <w:jc w:val="center"/>
              <w:rPr>
                <w:rFonts w:ascii="Times New Roman" w:hAnsi="Times New Roman"/>
                <w:bCs/>
                <w:sz w:val="22"/>
                <w:szCs w:val="22"/>
              </w:rPr>
            </w:pPr>
            <w:r w:rsidRPr="00B738E1">
              <w:rPr>
                <w:rFonts w:ascii="Times New Roman" w:hAnsi="Times New Roman"/>
                <w:bCs/>
                <w:sz w:val="22"/>
                <w:szCs w:val="22"/>
              </w:rPr>
              <w:t>-</w:t>
            </w:r>
          </w:p>
        </w:tc>
        <w:tc>
          <w:tcPr>
            <w:tcW w:w="1080" w:type="dxa"/>
            <w:shd w:val="clear" w:color="000000" w:fill="FFFFFF" w:themeFill="background1"/>
            <w:vAlign w:val="bottom"/>
            <w:hideMark/>
          </w:tcPr>
          <w:p w14:paraId="3A5A16E2" w14:textId="77777777" w:rsidR="007D30A8" w:rsidRPr="00B738E1" w:rsidRDefault="007D30A8" w:rsidP="007D30A8">
            <w:pPr>
              <w:widowControl/>
              <w:autoSpaceDE/>
              <w:autoSpaceDN/>
              <w:adjustRightInd/>
              <w:jc w:val="center"/>
              <w:rPr>
                <w:rFonts w:ascii="Times New Roman" w:hAnsi="Times New Roman"/>
                <w:bCs/>
                <w:sz w:val="22"/>
                <w:szCs w:val="22"/>
              </w:rPr>
            </w:pPr>
            <w:r w:rsidRPr="00B738E1">
              <w:rPr>
                <w:rFonts w:ascii="Times New Roman" w:hAnsi="Times New Roman"/>
                <w:bCs/>
                <w:sz w:val="22"/>
                <w:szCs w:val="22"/>
              </w:rPr>
              <w:t>0.07</w:t>
            </w:r>
          </w:p>
        </w:tc>
        <w:tc>
          <w:tcPr>
            <w:tcW w:w="1008" w:type="dxa"/>
            <w:shd w:val="clear" w:color="000000" w:fill="FFFFFF" w:themeFill="background1"/>
            <w:vAlign w:val="bottom"/>
            <w:hideMark/>
          </w:tcPr>
          <w:p w14:paraId="2D2CB4F8" w14:textId="77777777" w:rsidR="007D30A8" w:rsidRPr="00B738E1" w:rsidRDefault="007D30A8" w:rsidP="007D30A8">
            <w:pPr>
              <w:widowControl/>
              <w:autoSpaceDE/>
              <w:autoSpaceDN/>
              <w:adjustRightInd/>
              <w:jc w:val="center"/>
              <w:rPr>
                <w:rFonts w:ascii="Times New Roman" w:hAnsi="Times New Roman"/>
                <w:bCs/>
                <w:sz w:val="22"/>
                <w:szCs w:val="22"/>
              </w:rPr>
            </w:pPr>
            <w:r w:rsidRPr="00B738E1">
              <w:rPr>
                <w:rFonts w:ascii="Times New Roman" w:hAnsi="Times New Roman"/>
                <w:bCs/>
                <w:sz w:val="22"/>
                <w:szCs w:val="22"/>
              </w:rPr>
              <w:t>0.07</w:t>
            </w:r>
          </w:p>
        </w:tc>
        <w:tc>
          <w:tcPr>
            <w:tcW w:w="1224" w:type="dxa"/>
            <w:gridSpan w:val="2"/>
            <w:shd w:val="clear" w:color="000000" w:fill="FFFFFF" w:themeFill="background1"/>
            <w:noWrap/>
            <w:vAlign w:val="bottom"/>
            <w:hideMark/>
          </w:tcPr>
          <w:p w14:paraId="272751E8" w14:textId="03663108" w:rsidR="007D30A8" w:rsidRPr="00B738E1" w:rsidRDefault="007D30A8" w:rsidP="007D30A8">
            <w:pPr>
              <w:widowControl/>
              <w:autoSpaceDE/>
              <w:autoSpaceDN/>
              <w:adjustRightInd/>
              <w:jc w:val="center"/>
              <w:rPr>
                <w:rFonts w:ascii="Times New Roman" w:hAnsi="Times New Roman"/>
                <w:bCs/>
                <w:sz w:val="22"/>
                <w:szCs w:val="22"/>
              </w:rPr>
            </w:pPr>
            <w:r w:rsidRPr="00B738E1">
              <w:rPr>
                <w:rFonts w:ascii="Times New Roman" w:hAnsi="Times New Roman"/>
                <w:bCs/>
                <w:sz w:val="22"/>
                <w:szCs w:val="22"/>
              </w:rPr>
              <w:t>2.92</w:t>
            </w:r>
          </w:p>
        </w:tc>
      </w:tr>
      <w:tr w:rsidR="007D30A8" w:rsidRPr="00263E20" w14:paraId="6938315F" w14:textId="77777777" w:rsidTr="00934C1C">
        <w:trPr>
          <w:trHeight w:val="461"/>
        </w:trPr>
        <w:tc>
          <w:tcPr>
            <w:tcW w:w="3572" w:type="dxa"/>
            <w:shd w:val="clear" w:color="000000" w:fill="FFFFFF" w:themeFill="background1"/>
            <w:vAlign w:val="bottom"/>
            <w:hideMark/>
          </w:tcPr>
          <w:p w14:paraId="3CF3FEAC" w14:textId="77777777" w:rsidR="007D30A8" w:rsidRPr="00B738E1" w:rsidRDefault="007D30A8" w:rsidP="007D30A8">
            <w:pPr>
              <w:widowControl/>
              <w:autoSpaceDE/>
              <w:autoSpaceDN/>
              <w:adjustRightInd/>
              <w:rPr>
                <w:rFonts w:ascii="Times New Roman" w:hAnsi="Times New Roman"/>
                <w:bCs/>
                <w:sz w:val="22"/>
                <w:szCs w:val="22"/>
              </w:rPr>
            </w:pPr>
            <w:r w:rsidRPr="00B738E1">
              <w:rPr>
                <w:rFonts w:ascii="Times New Roman" w:hAnsi="Times New Roman"/>
                <w:bCs/>
                <w:sz w:val="22"/>
                <w:szCs w:val="22"/>
              </w:rPr>
              <w:t>Store, file, or maintain information</w:t>
            </w:r>
          </w:p>
        </w:tc>
        <w:tc>
          <w:tcPr>
            <w:tcW w:w="1396" w:type="dxa"/>
            <w:shd w:val="clear" w:color="000000" w:fill="FFFFFF" w:themeFill="background1"/>
            <w:vAlign w:val="bottom"/>
            <w:hideMark/>
          </w:tcPr>
          <w:p w14:paraId="777DDFA7" w14:textId="77777777" w:rsidR="007D30A8" w:rsidRPr="00B738E1" w:rsidRDefault="007D30A8" w:rsidP="007D30A8">
            <w:pPr>
              <w:widowControl/>
              <w:autoSpaceDE/>
              <w:autoSpaceDN/>
              <w:adjustRightInd/>
              <w:jc w:val="center"/>
              <w:rPr>
                <w:rFonts w:ascii="Times New Roman" w:hAnsi="Times New Roman"/>
                <w:bCs/>
                <w:sz w:val="22"/>
                <w:szCs w:val="22"/>
              </w:rPr>
            </w:pPr>
            <w:r w:rsidRPr="00B738E1">
              <w:rPr>
                <w:rFonts w:ascii="Times New Roman" w:hAnsi="Times New Roman"/>
                <w:bCs/>
                <w:sz w:val="22"/>
                <w:szCs w:val="22"/>
              </w:rPr>
              <w:t>-</w:t>
            </w:r>
          </w:p>
        </w:tc>
        <w:tc>
          <w:tcPr>
            <w:tcW w:w="1080" w:type="dxa"/>
            <w:shd w:val="clear" w:color="000000" w:fill="FFFFFF" w:themeFill="background1"/>
            <w:vAlign w:val="bottom"/>
            <w:hideMark/>
          </w:tcPr>
          <w:p w14:paraId="32F9FB56" w14:textId="77777777" w:rsidR="007D30A8" w:rsidRPr="00B738E1" w:rsidRDefault="007D30A8" w:rsidP="007D30A8">
            <w:pPr>
              <w:widowControl/>
              <w:autoSpaceDE/>
              <w:autoSpaceDN/>
              <w:adjustRightInd/>
              <w:jc w:val="center"/>
              <w:rPr>
                <w:rFonts w:ascii="Times New Roman" w:hAnsi="Times New Roman"/>
                <w:bCs/>
                <w:sz w:val="22"/>
                <w:szCs w:val="22"/>
              </w:rPr>
            </w:pPr>
            <w:r w:rsidRPr="00B738E1">
              <w:rPr>
                <w:rFonts w:ascii="Times New Roman" w:hAnsi="Times New Roman"/>
                <w:bCs/>
                <w:sz w:val="22"/>
                <w:szCs w:val="22"/>
              </w:rPr>
              <w:t>-</w:t>
            </w:r>
          </w:p>
        </w:tc>
        <w:tc>
          <w:tcPr>
            <w:tcW w:w="1080" w:type="dxa"/>
            <w:shd w:val="clear" w:color="000000" w:fill="FFFFFF" w:themeFill="background1"/>
            <w:vAlign w:val="bottom"/>
            <w:hideMark/>
          </w:tcPr>
          <w:p w14:paraId="3B2BDAD9" w14:textId="77777777" w:rsidR="007D30A8" w:rsidRPr="00B738E1" w:rsidRDefault="007D30A8" w:rsidP="007D30A8">
            <w:pPr>
              <w:widowControl/>
              <w:autoSpaceDE/>
              <w:autoSpaceDN/>
              <w:adjustRightInd/>
              <w:jc w:val="center"/>
              <w:rPr>
                <w:rFonts w:ascii="Times New Roman" w:hAnsi="Times New Roman"/>
                <w:bCs/>
                <w:sz w:val="22"/>
                <w:szCs w:val="22"/>
              </w:rPr>
            </w:pPr>
            <w:r w:rsidRPr="00B738E1">
              <w:rPr>
                <w:rFonts w:ascii="Times New Roman" w:hAnsi="Times New Roman"/>
                <w:bCs/>
                <w:sz w:val="22"/>
                <w:szCs w:val="22"/>
              </w:rPr>
              <w:t>0.07</w:t>
            </w:r>
          </w:p>
        </w:tc>
        <w:tc>
          <w:tcPr>
            <w:tcW w:w="1008" w:type="dxa"/>
            <w:shd w:val="clear" w:color="000000" w:fill="FFFFFF" w:themeFill="background1"/>
            <w:vAlign w:val="bottom"/>
            <w:hideMark/>
          </w:tcPr>
          <w:p w14:paraId="1C77910C" w14:textId="77777777" w:rsidR="007D30A8" w:rsidRPr="00B738E1" w:rsidRDefault="007D30A8" w:rsidP="007D30A8">
            <w:pPr>
              <w:widowControl/>
              <w:autoSpaceDE/>
              <w:autoSpaceDN/>
              <w:adjustRightInd/>
              <w:jc w:val="center"/>
              <w:rPr>
                <w:rFonts w:ascii="Times New Roman" w:hAnsi="Times New Roman"/>
                <w:bCs/>
                <w:sz w:val="22"/>
                <w:szCs w:val="22"/>
              </w:rPr>
            </w:pPr>
            <w:r w:rsidRPr="00B738E1">
              <w:rPr>
                <w:rFonts w:ascii="Times New Roman" w:hAnsi="Times New Roman"/>
                <w:bCs/>
                <w:sz w:val="22"/>
                <w:szCs w:val="22"/>
              </w:rPr>
              <w:t>0.07</w:t>
            </w:r>
          </w:p>
        </w:tc>
        <w:tc>
          <w:tcPr>
            <w:tcW w:w="1224" w:type="dxa"/>
            <w:gridSpan w:val="2"/>
            <w:shd w:val="clear" w:color="000000" w:fill="FFFFFF" w:themeFill="background1"/>
            <w:noWrap/>
            <w:vAlign w:val="bottom"/>
            <w:hideMark/>
          </w:tcPr>
          <w:p w14:paraId="32044783" w14:textId="0273B03D" w:rsidR="007D30A8" w:rsidRPr="00B738E1" w:rsidRDefault="007D30A8" w:rsidP="007D30A8">
            <w:pPr>
              <w:widowControl/>
              <w:autoSpaceDE/>
              <w:autoSpaceDN/>
              <w:adjustRightInd/>
              <w:jc w:val="center"/>
              <w:rPr>
                <w:rFonts w:ascii="Times New Roman" w:hAnsi="Times New Roman"/>
                <w:bCs/>
                <w:sz w:val="22"/>
                <w:szCs w:val="22"/>
              </w:rPr>
            </w:pPr>
            <w:r w:rsidRPr="00B738E1">
              <w:rPr>
                <w:rFonts w:ascii="Times New Roman" w:hAnsi="Times New Roman"/>
                <w:bCs/>
                <w:sz w:val="22"/>
                <w:szCs w:val="22"/>
              </w:rPr>
              <w:t>2.92</w:t>
            </w:r>
          </w:p>
        </w:tc>
      </w:tr>
      <w:tr w:rsidR="007D30A8" w:rsidRPr="00263E20" w14:paraId="26A1EAF8" w14:textId="77777777" w:rsidTr="00DE7075">
        <w:trPr>
          <w:trHeight w:val="461"/>
        </w:trPr>
        <w:tc>
          <w:tcPr>
            <w:tcW w:w="3572" w:type="dxa"/>
            <w:shd w:val="clear" w:color="000000" w:fill="FFFFFF" w:themeFill="background1"/>
            <w:vAlign w:val="bottom"/>
            <w:hideMark/>
          </w:tcPr>
          <w:p w14:paraId="2BCAFFFA" w14:textId="4691C6D2" w:rsidR="007D30A8" w:rsidRPr="00B738E1" w:rsidRDefault="007D30A8" w:rsidP="007D30A8">
            <w:pPr>
              <w:widowControl/>
              <w:autoSpaceDE/>
              <w:autoSpaceDN/>
              <w:adjustRightInd/>
              <w:rPr>
                <w:rFonts w:ascii="Times New Roman" w:hAnsi="Times New Roman"/>
                <w:b/>
                <w:bCs/>
                <w:sz w:val="22"/>
                <w:szCs w:val="22"/>
                <w:vertAlign w:val="superscript"/>
              </w:rPr>
            </w:pPr>
            <w:r w:rsidRPr="00B738E1">
              <w:rPr>
                <w:rFonts w:ascii="Times New Roman" w:hAnsi="Times New Roman"/>
                <w:b/>
                <w:bCs/>
                <w:sz w:val="22"/>
                <w:szCs w:val="22"/>
              </w:rPr>
              <w:t xml:space="preserve"> TOTAL BURDEN</w:t>
            </w:r>
            <w:r w:rsidR="00703253">
              <w:rPr>
                <w:rFonts w:ascii="Times New Roman" w:hAnsi="Times New Roman"/>
                <w:b/>
                <w:bCs/>
                <w:sz w:val="22"/>
                <w:szCs w:val="22"/>
                <w:vertAlign w:val="superscript"/>
              </w:rPr>
              <w:t>2</w:t>
            </w:r>
          </w:p>
        </w:tc>
        <w:tc>
          <w:tcPr>
            <w:tcW w:w="1396" w:type="dxa"/>
            <w:shd w:val="clear" w:color="000000" w:fill="FFFFFF" w:themeFill="background1"/>
            <w:vAlign w:val="bottom"/>
            <w:hideMark/>
          </w:tcPr>
          <w:p w14:paraId="25CAD3F7" w14:textId="77777777" w:rsidR="007D30A8" w:rsidRPr="00B738E1" w:rsidRDefault="007D30A8" w:rsidP="007D30A8">
            <w:pPr>
              <w:widowControl/>
              <w:autoSpaceDE/>
              <w:autoSpaceDN/>
              <w:adjustRightInd/>
              <w:jc w:val="center"/>
              <w:rPr>
                <w:rFonts w:ascii="Times New Roman" w:hAnsi="Times New Roman"/>
                <w:b/>
                <w:bCs/>
                <w:sz w:val="22"/>
                <w:szCs w:val="22"/>
              </w:rPr>
            </w:pPr>
            <w:r w:rsidRPr="00B738E1">
              <w:rPr>
                <w:rFonts w:ascii="Times New Roman" w:hAnsi="Times New Roman"/>
                <w:b/>
                <w:bCs/>
                <w:sz w:val="22"/>
                <w:szCs w:val="22"/>
              </w:rPr>
              <w:t>0.03</w:t>
            </w:r>
          </w:p>
        </w:tc>
        <w:tc>
          <w:tcPr>
            <w:tcW w:w="1080" w:type="dxa"/>
            <w:shd w:val="clear" w:color="000000" w:fill="FFFFFF" w:themeFill="background1"/>
            <w:vAlign w:val="bottom"/>
            <w:hideMark/>
          </w:tcPr>
          <w:p w14:paraId="713282C5" w14:textId="77777777" w:rsidR="007D30A8" w:rsidRPr="00B738E1" w:rsidRDefault="007D30A8" w:rsidP="007D30A8">
            <w:pPr>
              <w:widowControl/>
              <w:tabs>
                <w:tab w:val="center" w:pos="4320"/>
                <w:tab w:val="right" w:pos="8640"/>
              </w:tabs>
              <w:autoSpaceDE/>
              <w:autoSpaceDN/>
              <w:adjustRightInd/>
              <w:jc w:val="center"/>
              <w:rPr>
                <w:rFonts w:ascii="Times New Roman" w:hAnsi="Times New Roman"/>
                <w:b/>
                <w:bCs/>
                <w:sz w:val="22"/>
                <w:szCs w:val="22"/>
              </w:rPr>
            </w:pPr>
            <w:r w:rsidRPr="00B738E1">
              <w:rPr>
                <w:rFonts w:ascii="Times New Roman" w:hAnsi="Times New Roman"/>
                <w:b/>
                <w:bCs/>
                <w:sz w:val="22"/>
                <w:szCs w:val="22"/>
              </w:rPr>
              <w:t>0.16</w:t>
            </w:r>
          </w:p>
        </w:tc>
        <w:tc>
          <w:tcPr>
            <w:tcW w:w="1080" w:type="dxa"/>
            <w:shd w:val="clear" w:color="000000" w:fill="FFFFFF" w:themeFill="background1"/>
            <w:vAlign w:val="bottom"/>
            <w:hideMark/>
          </w:tcPr>
          <w:p w14:paraId="39CFA9D1" w14:textId="77777777" w:rsidR="007D30A8" w:rsidRPr="00B738E1" w:rsidRDefault="007D30A8" w:rsidP="007D30A8">
            <w:pPr>
              <w:widowControl/>
              <w:tabs>
                <w:tab w:val="center" w:pos="4320"/>
                <w:tab w:val="right" w:pos="8640"/>
              </w:tabs>
              <w:autoSpaceDE/>
              <w:autoSpaceDN/>
              <w:adjustRightInd/>
              <w:jc w:val="center"/>
              <w:rPr>
                <w:rFonts w:ascii="Times New Roman" w:hAnsi="Times New Roman"/>
                <w:b/>
                <w:bCs/>
                <w:sz w:val="22"/>
                <w:szCs w:val="22"/>
              </w:rPr>
            </w:pPr>
            <w:r w:rsidRPr="00B738E1">
              <w:rPr>
                <w:rFonts w:ascii="Times New Roman" w:hAnsi="Times New Roman"/>
                <w:b/>
                <w:bCs/>
                <w:sz w:val="22"/>
                <w:szCs w:val="22"/>
              </w:rPr>
              <w:t>0.21</w:t>
            </w:r>
          </w:p>
        </w:tc>
        <w:tc>
          <w:tcPr>
            <w:tcW w:w="1008" w:type="dxa"/>
            <w:shd w:val="clear" w:color="000000" w:fill="FFFFFF" w:themeFill="background1"/>
            <w:vAlign w:val="bottom"/>
            <w:hideMark/>
          </w:tcPr>
          <w:p w14:paraId="6EB28047" w14:textId="56AC5F6A" w:rsidR="007D30A8" w:rsidRPr="00B738E1" w:rsidRDefault="007D30A8" w:rsidP="00B738E1">
            <w:pPr>
              <w:widowControl/>
              <w:tabs>
                <w:tab w:val="center" w:pos="4320"/>
                <w:tab w:val="right" w:pos="8640"/>
              </w:tabs>
              <w:autoSpaceDE/>
              <w:autoSpaceDN/>
              <w:adjustRightInd/>
              <w:jc w:val="center"/>
              <w:rPr>
                <w:rFonts w:ascii="Times New Roman" w:hAnsi="Times New Roman"/>
                <w:b/>
                <w:bCs/>
                <w:sz w:val="22"/>
                <w:szCs w:val="22"/>
              </w:rPr>
            </w:pPr>
            <w:r w:rsidRPr="00B738E1">
              <w:rPr>
                <w:rFonts w:ascii="Times New Roman" w:hAnsi="Times New Roman"/>
                <w:b/>
                <w:bCs/>
                <w:sz w:val="22"/>
                <w:szCs w:val="22"/>
              </w:rPr>
              <w:t>0.40</w:t>
            </w:r>
          </w:p>
        </w:tc>
        <w:tc>
          <w:tcPr>
            <w:tcW w:w="1224" w:type="dxa"/>
            <w:gridSpan w:val="2"/>
            <w:shd w:val="clear" w:color="000000" w:fill="FFFFFF" w:themeFill="background1"/>
            <w:noWrap/>
            <w:hideMark/>
          </w:tcPr>
          <w:p w14:paraId="0E846C2F" w14:textId="77777777" w:rsidR="00B5646A" w:rsidRPr="00263E20" w:rsidRDefault="00B5646A" w:rsidP="007D30A8">
            <w:pPr>
              <w:widowControl/>
              <w:tabs>
                <w:tab w:val="center" w:pos="4320"/>
                <w:tab w:val="right" w:pos="8640"/>
              </w:tabs>
              <w:autoSpaceDE/>
              <w:autoSpaceDN/>
              <w:adjustRightInd/>
              <w:jc w:val="center"/>
              <w:rPr>
                <w:rFonts w:ascii="Times New Roman" w:hAnsi="Times New Roman"/>
                <w:b/>
                <w:bCs/>
                <w:sz w:val="22"/>
                <w:szCs w:val="22"/>
              </w:rPr>
            </w:pPr>
          </w:p>
          <w:p w14:paraId="50F01D53" w14:textId="2B3CCDB5" w:rsidR="007D30A8" w:rsidRPr="00B738E1" w:rsidRDefault="00B5646A" w:rsidP="007D30A8">
            <w:pPr>
              <w:widowControl/>
              <w:tabs>
                <w:tab w:val="center" w:pos="4320"/>
                <w:tab w:val="right" w:pos="8640"/>
              </w:tabs>
              <w:autoSpaceDE/>
              <w:autoSpaceDN/>
              <w:adjustRightInd/>
              <w:jc w:val="center"/>
              <w:rPr>
                <w:rFonts w:ascii="Times New Roman" w:hAnsi="Times New Roman"/>
                <w:b/>
                <w:bCs/>
                <w:sz w:val="22"/>
                <w:szCs w:val="22"/>
              </w:rPr>
            </w:pPr>
            <w:r w:rsidRPr="00263E20">
              <w:rPr>
                <w:rFonts w:ascii="Times New Roman" w:hAnsi="Times New Roman"/>
                <w:b/>
                <w:bCs/>
                <w:sz w:val="22"/>
                <w:szCs w:val="22"/>
              </w:rPr>
              <w:t>$</w:t>
            </w:r>
            <w:r w:rsidR="007D30A8" w:rsidRPr="00B738E1">
              <w:rPr>
                <w:rFonts w:ascii="Times New Roman" w:hAnsi="Times New Roman"/>
                <w:b/>
                <w:bCs/>
                <w:sz w:val="22"/>
                <w:szCs w:val="22"/>
              </w:rPr>
              <w:t>24.22</w:t>
            </w:r>
          </w:p>
        </w:tc>
      </w:tr>
      <w:tr w:rsidR="00A87F90" w:rsidRPr="00263E20" w14:paraId="72EB0B72" w14:textId="77777777" w:rsidTr="008D2CC7">
        <w:trPr>
          <w:gridAfter w:val="1"/>
          <w:wAfter w:w="355" w:type="dxa"/>
          <w:trHeight w:val="264"/>
        </w:trPr>
        <w:tc>
          <w:tcPr>
            <w:tcW w:w="9005" w:type="dxa"/>
            <w:gridSpan w:val="6"/>
            <w:tcBorders>
              <w:top w:val="double" w:sz="4" w:space="0" w:color="auto"/>
              <w:left w:val="nil"/>
              <w:bottom w:val="nil"/>
              <w:right w:val="nil"/>
            </w:tcBorders>
            <w:shd w:val="clear" w:color="000000" w:fill="auto"/>
            <w:vAlign w:val="bottom"/>
            <w:hideMark/>
          </w:tcPr>
          <w:p w14:paraId="2CC00290" w14:textId="6D34A341" w:rsidR="00A936C2" w:rsidRPr="00B738E1" w:rsidRDefault="00100BD5">
            <w:pPr>
              <w:tabs>
                <w:tab w:val="left" w:pos="-1440"/>
                <w:tab w:val="left" w:pos="-720"/>
                <w:tab w:val="decimal" w:pos="0"/>
              </w:tabs>
              <w:rPr>
                <w:rFonts w:ascii="Times New Roman" w:hAnsi="Times New Roman"/>
                <w:sz w:val="22"/>
                <w:szCs w:val="22"/>
              </w:rPr>
            </w:pPr>
            <w:r w:rsidRPr="00B738E1">
              <w:rPr>
                <w:rFonts w:ascii="Times New Roman" w:hAnsi="Times New Roman"/>
                <w:sz w:val="22"/>
                <w:szCs w:val="22"/>
                <w:vertAlign w:val="superscript"/>
              </w:rPr>
              <w:t>1</w:t>
            </w:r>
            <w:r w:rsidRPr="00B738E1">
              <w:rPr>
                <w:rFonts w:ascii="Times New Roman" w:hAnsi="Times New Roman"/>
                <w:sz w:val="22"/>
                <w:szCs w:val="22"/>
              </w:rPr>
              <w:t xml:space="preserve"> Hourly wages rates are fully loaded wage rates based on NAICS 325300 - Pesticide, Fertilizer, and Other Agricultural Chemical Manufacturing from U.S. Dept. of Labor, Bureau of Labor Statistics,</w:t>
            </w:r>
            <w:r w:rsidR="00B5646A" w:rsidRPr="00B738E1">
              <w:rPr>
                <w:rFonts w:ascii="Times New Roman" w:hAnsi="Times New Roman"/>
                <w:sz w:val="22"/>
                <w:szCs w:val="22"/>
              </w:rPr>
              <w:t xml:space="preserve"> 2014 data, Accessed March 2016</w:t>
            </w:r>
            <w:r w:rsidRPr="00B738E1">
              <w:rPr>
                <w:rFonts w:ascii="Times New Roman" w:hAnsi="Times New Roman"/>
                <w:sz w:val="22"/>
                <w:szCs w:val="22"/>
              </w:rPr>
              <w:t xml:space="preserve">. See Attachment </w:t>
            </w:r>
            <w:r w:rsidR="006D203F">
              <w:rPr>
                <w:rFonts w:ascii="Times New Roman" w:hAnsi="Times New Roman"/>
                <w:sz w:val="22"/>
                <w:szCs w:val="22"/>
              </w:rPr>
              <w:t>G</w:t>
            </w:r>
            <w:r w:rsidRPr="00B738E1">
              <w:rPr>
                <w:rFonts w:ascii="Times New Roman" w:hAnsi="Times New Roman"/>
                <w:sz w:val="22"/>
                <w:szCs w:val="22"/>
              </w:rPr>
              <w:t xml:space="preserve"> for wage calculations. </w:t>
            </w:r>
          </w:p>
          <w:p w14:paraId="5D2F1950" w14:textId="77777777" w:rsidR="00053573" w:rsidRPr="00B738E1" w:rsidRDefault="00100BD5">
            <w:pPr>
              <w:tabs>
                <w:tab w:val="left" w:pos="-1440"/>
                <w:tab w:val="left" w:pos="-720"/>
                <w:tab w:val="decimal" w:pos="0"/>
              </w:tabs>
              <w:rPr>
                <w:sz w:val="22"/>
                <w:szCs w:val="22"/>
              </w:rPr>
            </w:pPr>
            <w:r w:rsidRPr="00B738E1">
              <w:rPr>
                <w:rFonts w:ascii="Times New Roman" w:hAnsi="Times New Roman"/>
                <w:sz w:val="22"/>
                <w:szCs w:val="22"/>
                <w:vertAlign w:val="superscript"/>
              </w:rPr>
              <w:t>2</w:t>
            </w:r>
            <w:r w:rsidRPr="00B738E1">
              <w:rPr>
                <w:rFonts w:ascii="Times New Roman" w:hAnsi="Times New Roman"/>
                <w:sz w:val="22"/>
                <w:szCs w:val="22"/>
              </w:rPr>
              <w:t xml:space="preserve"> Totals may not sum due to rounding.</w:t>
            </w:r>
          </w:p>
        </w:tc>
      </w:tr>
    </w:tbl>
    <w:p w14:paraId="3E22F825" w14:textId="77777777" w:rsidR="00C441DD" w:rsidRPr="00263E20" w:rsidRDefault="00C441DD" w:rsidP="00C441DD">
      <w:pPr>
        <w:tabs>
          <w:tab w:val="left" w:pos="-1440"/>
          <w:tab w:val="left" w:pos="-720"/>
          <w:tab w:val="decimal" w:pos="0"/>
        </w:tabs>
        <w:ind w:firstLine="720"/>
        <w:rPr>
          <w:rFonts w:ascii="Times New Roman" w:hAnsi="Times New Roman"/>
        </w:rPr>
      </w:pPr>
    </w:p>
    <w:p w14:paraId="5E96744A" w14:textId="4BD5A0B7" w:rsidR="00F54901" w:rsidRPr="00263E20" w:rsidRDefault="00CE255F" w:rsidP="00B738E1">
      <w:pPr>
        <w:rPr>
          <w:rFonts w:ascii="Times New Roman" w:hAnsi="Times New Roman"/>
        </w:rPr>
      </w:pPr>
      <w:r w:rsidRPr="00263E20">
        <w:rPr>
          <w:rFonts w:ascii="Times New Roman" w:hAnsi="Times New Roman"/>
        </w:rPr>
        <w:t xml:space="preserve">The estimated total annual burden for registered pesticides and </w:t>
      </w:r>
      <w:r w:rsidR="001D582F" w:rsidRPr="00263E20">
        <w:rPr>
          <w:rFonts w:ascii="Times New Roman" w:hAnsi="Times New Roman"/>
        </w:rPr>
        <w:t xml:space="preserve">pesticidal </w:t>
      </w:r>
      <w:r w:rsidRPr="00263E20">
        <w:rPr>
          <w:rFonts w:ascii="Times New Roman" w:hAnsi="Times New Roman"/>
        </w:rPr>
        <w:t>devices is shown in Table 3. The total annual burden is estimate</w:t>
      </w:r>
      <w:r w:rsidR="00B21A1F">
        <w:rPr>
          <w:rFonts w:ascii="Times New Roman" w:hAnsi="Times New Roman"/>
        </w:rPr>
        <w:t>d</w:t>
      </w:r>
      <w:r w:rsidRPr="00263E20">
        <w:rPr>
          <w:rFonts w:ascii="Times New Roman" w:hAnsi="Times New Roman"/>
        </w:rPr>
        <w:t xml:space="preserve"> to be </w:t>
      </w:r>
      <w:r w:rsidR="00B5646A" w:rsidRPr="00263E20">
        <w:rPr>
          <w:rFonts w:ascii="Times New Roman" w:hAnsi="Times New Roman"/>
        </w:rPr>
        <w:t>10</w:t>
      </w:r>
      <w:r w:rsidR="00B5646A" w:rsidRPr="00B738E1">
        <w:rPr>
          <w:rFonts w:ascii="Times New Roman" w:hAnsi="Times New Roman"/>
        </w:rPr>
        <w:t>,640</w:t>
      </w:r>
      <w:r w:rsidR="00B5646A" w:rsidRPr="00263E20">
        <w:rPr>
          <w:rFonts w:ascii="Times New Roman" w:hAnsi="Times New Roman"/>
        </w:rPr>
        <w:t xml:space="preserve"> </w:t>
      </w:r>
      <w:r w:rsidRPr="00263E20">
        <w:rPr>
          <w:rFonts w:ascii="Times New Roman" w:hAnsi="Times New Roman"/>
        </w:rPr>
        <w:t xml:space="preserve">burden hours, at a cost of </w:t>
      </w:r>
      <w:r w:rsidR="00B5646A" w:rsidRPr="00263E20">
        <w:rPr>
          <w:rFonts w:ascii="Times New Roman" w:hAnsi="Times New Roman"/>
        </w:rPr>
        <w:t>$644,161</w:t>
      </w:r>
      <w:r w:rsidRPr="00263E20">
        <w:rPr>
          <w:rFonts w:ascii="Times New Roman" w:hAnsi="Times New Roman"/>
        </w:rPr>
        <w:t>. The burden and cost per response is multiplied by the number of responses to get total annual respondent burden and cost, respectively.</w:t>
      </w:r>
    </w:p>
    <w:p w14:paraId="4CF81459" w14:textId="77777777" w:rsidR="00CE255F" w:rsidRPr="00263E20" w:rsidRDefault="00CE255F" w:rsidP="00C441DD">
      <w:pPr>
        <w:tabs>
          <w:tab w:val="left" w:pos="-1440"/>
          <w:tab w:val="left" w:pos="-720"/>
          <w:tab w:val="decimal" w:pos="0"/>
        </w:tabs>
        <w:ind w:firstLine="720"/>
        <w:rPr>
          <w:rFonts w:ascii="Times New Roman" w:hAnsi="Times New Roman"/>
        </w:rPr>
      </w:pPr>
    </w:p>
    <w:p w14:paraId="64316F86" w14:textId="6B563801" w:rsidR="00F54901" w:rsidRPr="00263E20" w:rsidRDefault="00F54901" w:rsidP="00584CB3">
      <w:pPr>
        <w:tabs>
          <w:tab w:val="left" w:pos="-1440"/>
          <w:tab w:val="left" w:pos="-720"/>
          <w:tab w:val="decimal" w:pos="0"/>
        </w:tabs>
        <w:rPr>
          <w:rFonts w:ascii="Times New Roman" w:hAnsi="Times New Roman"/>
        </w:rPr>
      </w:pPr>
      <w:r w:rsidRPr="00263E20">
        <w:rPr>
          <w:rFonts w:ascii="Times New Roman" w:hAnsi="Times New Roman"/>
          <w:b/>
        </w:rPr>
        <w:t xml:space="preserve">Table 3: Total Annual Respondent Burden and Cost: Registered Pesticides and </w:t>
      </w:r>
      <w:r w:rsidR="001D582F" w:rsidRPr="00263E20">
        <w:rPr>
          <w:rFonts w:ascii="Times New Roman" w:hAnsi="Times New Roman"/>
          <w:b/>
        </w:rPr>
        <w:t xml:space="preserve">Pesticidal </w:t>
      </w:r>
      <w:r w:rsidRPr="00263E20">
        <w:rPr>
          <w:rFonts w:ascii="Times New Roman" w:hAnsi="Times New Roman"/>
          <w:b/>
        </w:rPr>
        <w:t>Devices</w:t>
      </w:r>
    </w:p>
    <w:tbl>
      <w:tblPr>
        <w:tblW w:w="9366" w:type="dxa"/>
        <w:tblInd w:w="103"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2228"/>
        <w:gridCol w:w="1423"/>
        <w:gridCol w:w="1423"/>
        <w:gridCol w:w="1524"/>
        <w:gridCol w:w="1624"/>
        <w:gridCol w:w="1144"/>
      </w:tblGrid>
      <w:tr w:rsidR="00F54901" w:rsidRPr="00DE7075" w14:paraId="6D8906B9" w14:textId="77777777" w:rsidTr="007D30A8">
        <w:tc>
          <w:tcPr>
            <w:tcW w:w="2228" w:type="dxa"/>
            <w:vAlign w:val="center"/>
          </w:tcPr>
          <w:p w14:paraId="579055AC" w14:textId="77777777" w:rsidR="00F54901" w:rsidRPr="00DE7075" w:rsidRDefault="00F54901" w:rsidP="00F54901">
            <w:pPr>
              <w:tabs>
                <w:tab w:val="left" w:pos="-1440"/>
                <w:tab w:val="left" w:pos="-720"/>
                <w:tab w:val="decimal" w:pos="0"/>
              </w:tabs>
              <w:jc w:val="center"/>
              <w:rPr>
                <w:rFonts w:ascii="Times New Roman" w:hAnsi="Times New Roman"/>
                <w:b/>
                <w:bCs/>
                <w:szCs w:val="20"/>
              </w:rPr>
            </w:pPr>
            <w:r w:rsidRPr="00DE7075">
              <w:rPr>
                <w:rFonts w:ascii="Times New Roman" w:hAnsi="Times New Roman"/>
                <w:b/>
                <w:bCs/>
                <w:szCs w:val="20"/>
              </w:rPr>
              <w:t>Information Collection</w:t>
            </w:r>
          </w:p>
        </w:tc>
        <w:tc>
          <w:tcPr>
            <w:tcW w:w="1423" w:type="dxa"/>
          </w:tcPr>
          <w:p w14:paraId="57339A33" w14:textId="77777777" w:rsidR="00F54901" w:rsidRPr="00DE7075" w:rsidRDefault="00F54901" w:rsidP="00F54901">
            <w:pPr>
              <w:tabs>
                <w:tab w:val="left" w:pos="-1440"/>
                <w:tab w:val="left" w:pos="-720"/>
                <w:tab w:val="decimal" w:pos="0"/>
              </w:tabs>
              <w:jc w:val="center"/>
              <w:rPr>
                <w:rFonts w:ascii="Times New Roman" w:hAnsi="Times New Roman"/>
                <w:b/>
                <w:bCs/>
                <w:szCs w:val="20"/>
              </w:rPr>
            </w:pPr>
            <w:r w:rsidRPr="00DE7075">
              <w:rPr>
                <w:rFonts w:ascii="Times New Roman" w:hAnsi="Times New Roman"/>
                <w:b/>
                <w:bCs/>
                <w:szCs w:val="20"/>
              </w:rPr>
              <w:t>Burden Per Response</w:t>
            </w:r>
          </w:p>
        </w:tc>
        <w:tc>
          <w:tcPr>
            <w:tcW w:w="1423" w:type="dxa"/>
            <w:vAlign w:val="center"/>
          </w:tcPr>
          <w:p w14:paraId="71AF73E3" w14:textId="77777777" w:rsidR="00F54901" w:rsidRPr="00DE7075" w:rsidRDefault="00F54901" w:rsidP="00F54901">
            <w:pPr>
              <w:tabs>
                <w:tab w:val="left" w:pos="-1440"/>
                <w:tab w:val="left" w:pos="-720"/>
                <w:tab w:val="decimal" w:pos="0"/>
              </w:tabs>
              <w:jc w:val="center"/>
              <w:rPr>
                <w:rFonts w:ascii="Times New Roman" w:hAnsi="Times New Roman"/>
                <w:b/>
                <w:bCs/>
                <w:szCs w:val="20"/>
              </w:rPr>
            </w:pPr>
            <w:r w:rsidRPr="00DE7075">
              <w:rPr>
                <w:rFonts w:ascii="Times New Roman" w:hAnsi="Times New Roman"/>
                <w:b/>
                <w:bCs/>
                <w:szCs w:val="20"/>
              </w:rPr>
              <w:t xml:space="preserve">Cost Per Response </w:t>
            </w:r>
          </w:p>
        </w:tc>
        <w:tc>
          <w:tcPr>
            <w:tcW w:w="1524" w:type="dxa"/>
            <w:vAlign w:val="center"/>
          </w:tcPr>
          <w:p w14:paraId="72FDB1BD" w14:textId="77777777" w:rsidR="00F54901" w:rsidRPr="00DE7075" w:rsidRDefault="00F54901" w:rsidP="00F54901">
            <w:pPr>
              <w:tabs>
                <w:tab w:val="left" w:pos="-1440"/>
                <w:tab w:val="left" w:pos="-720"/>
                <w:tab w:val="decimal" w:pos="0"/>
              </w:tabs>
              <w:jc w:val="center"/>
              <w:rPr>
                <w:rFonts w:ascii="Times New Roman" w:hAnsi="Times New Roman"/>
                <w:b/>
                <w:bCs/>
                <w:szCs w:val="20"/>
              </w:rPr>
            </w:pPr>
            <w:r w:rsidRPr="00DE7075">
              <w:rPr>
                <w:rFonts w:ascii="Times New Roman" w:hAnsi="Times New Roman"/>
                <w:b/>
                <w:bCs/>
                <w:szCs w:val="20"/>
              </w:rPr>
              <w:t>Responses Per Year</w:t>
            </w:r>
          </w:p>
        </w:tc>
        <w:tc>
          <w:tcPr>
            <w:tcW w:w="1624" w:type="dxa"/>
            <w:vAlign w:val="center"/>
          </w:tcPr>
          <w:p w14:paraId="09989D9E" w14:textId="77777777" w:rsidR="00F54901" w:rsidRPr="00DE7075" w:rsidRDefault="00F54901" w:rsidP="00F54901">
            <w:pPr>
              <w:tabs>
                <w:tab w:val="left" w:pos="-1440"/>
                <w:tab w:val="left" w:pos="-720"/>
                <w:tab w:val="decimal" w:pos="0"/>
              </w:tabs>
              <w:jc w:val="center"/>
              <w:rPr>
                <w:rFonts w:ascii="Times New Roman" w:hAnsi="Times New Roman"/>
                <w:b/>
                <w:bCs/>
                <w:szCs w:val="20"/>
              </w:rPr>
            </w:pPr>
            <w:r w:rsidRPr="00DE7075">
              <w:rPr>
                <w:rFonts w:ascii="Times New Roman" w:hAnsi="Times New Roman"/>
                <w:b/>
                <w:bCs/>
                <w:szCs w:val="20"/>
              </w:rPr>
              <w:t>Annual Burden</w:t>
            </w:r>
          </w:p>
        </w:tc>
        <w:tc>
          <w:tcPr>
            <w:tcW w:w="1144" w:type="dxa"/>
            <w:vAlign w:val="center"/>
          </w:tcPr>
          <w:p w14:paraId="3EE376E9" w14:textId="77777777" w:rsidR="00F54901" w:rsidRPr="00DE7075" w:rsidRDefault="00F54901" w:rsidP="00F54901">
            <w:pPr>
              <w:tabs>
                <w:tab w:val="left" w:pos="-1440"/>
                <w:tab w:val="left" w:pos="-720"/>
                <w:tab w:val="decimal" w:pos="0"/>
              </w:tabs>
              <w:jc w:val="center"/>
              <w:rPr>
                <w:rFonts w:ascii="Times New Roman" w:hAnsi="Times New Roman"/>
                <w:b/>
                <w:bCs/>
                <w:szCs w:val="20"/>
              </w:rPr>
            </w:pPr>
            <w:r w:rsidRPr="00DE7075">
              <w:rPr>
                <w:rFonts w:ascii="Times New Roman" w:hAnsi="Times New Roman"/>
                <w:b/>
                <w:bCs/>
                <w:szCs w:val="20"/>
              </w:rPr>
              <w:t>Total</w:t>
            </w:r>
          </w:p>
          <w:p w14:paraId="3755B18C" w14:textId="77777777" w:rsidR="00F54901" w:rsidRPr="00DE7075" w:rsidRDefault="00F54901" w:rsidP="00F54901">
            <w:pPr>
              <w:tabs>
                <w:tab w:val="left" w:pos="-1440"/>
                <w:tab w:val="left" w:pos="-720"/>
                <w:tab w:val="decimal" w:pos="0"/>
              </w:tabs>
              <w:jc w:val="center"/>
              <w:rPr>
                <w:rFonts w:ascii="Times New Roman" w:hAnsi="Times New Roman"/>
                <w:b/>
                <w:bCs/>
                <w:szCs w:val="20"/>
              </w:rPr>
            </w:pPr>
            <w:r w:rsidRPr="00DE7075">
              <w:rPr>
                <w:rFonts w:ascii="Times New Roman" w:hAnsi="Times New Roman"/>
                <w:b/>
                <w:bCs/>
                <w:szCs w:val="20"/>
              </w:rPr>
              <w:t>Costs</w:t>
            </w:r>
          </w:p>
        </w:tc>
      </w:tr>
      <w:tr w:rsidR="007D30A8" w:rsidRPr="00DE7075" w14:paraId="1D795717" w14:textId="77777777" w:rsidTr="00B738E1">
        <w:trPr>
          <w:trHeight w:val="570"/>
        </w:trPr>
        <w:tc>
          <w:tcPr>
            <w:tcW w:w="2228" w:type="dxa"/>
            <w:vAlign w:val="center"/>
          </w:tcPr>
          <w:p w14:paraId="3CD3D042" w14:textId="672F685D" w:rsidR="007D30A8" w:rsidRPr="00DE7075" w:rsidRDefault="007D30A8" w:rsidP="007D30A8">
            <w:pPr>
              <w:tabs>
                <w:tab w:val="left" w:pos="-1440"/>
                <w:tab w:val="left" w:pos="-720"/>
                <w:tab w:val="decimal" w:pos="0"/>
              </w:tabs>
              <w:jc w:val="center"/>
              <w:rPr>
                <w:rFonts w:ascii="Times New Roman" w:hAnsi="Times New Roman"/>
                <w:bCs/>
                <w:szCs w:val="20"/>
              </w:rPr>
            </w:pPr>
            <w:r w:rsidRPr="00DE7075">
              <w:rPr>
                <w:rFonts w:ascii="Times New Roman" w:hAnsi="Times New Roman"/>
                <w:bCs/>
                <w:szCs w:val="20"/>
              </w:rPr>
              <w:t>Notice of Arrival for Registered Pesticides and Pesticidal Devices</w:t>
            </w:r>
          </w:p>
        </w:tc>
        <w:tc>
          <w:tcPr>
            <w:tcW w:w="1423" w:type="dxa"/>
          </w:tcPr>
          <w:p w14:paraId="24E940EE" w14:textId="77777777" w:rsidR="007D30A8" w:rsidRPr="00DE7075" w:rsidRDefault="007D30A8" w:rsidP="007D30A8">
            <w:pPr>
              <w:tabs>
                <w:tab w:val="left" w:pos="-1440"/>
                <w:tab w:val="left" w:pos="-720"/>
                <w:tab w:val="decimal" w:pos="0"/>
              </w:tabs>
              <w:jc w:val="center"/>
              <w:rPr>
                <w:rFonts w:ascii="Times New Roman" w:hAnsi="Times New Roman"/>
                <w:bCs/>
                <w:szCs w:val="20"/>
              </w:rPr>
            </w:pPr>
          </w:p>
          <w:p w14:paraId="236CB2D8" w14:textId="77777777" w:rsidR="007D30A8" w:rsidRPr="00DE7075" w:rsidRDefault="007D30A8" w:rsidP="007D30A8">
            <w:pPr>
              <w:tabs>
                <w:tab w:val="left" w:pos="-1440"/>
                <w:tab w:val="left" w:pos="-720"/>
                <w:tab w:val="decimal" w:pos="0"/>
              </w:tabs>
              <w:jc w:val="center"/>
              <w:rPr>
                <w:rFonts w:ascii="Times New Roman" w:hAnsi="Times New Roman"/>
                <w:bCs/>
                <w:szCs w:val="20"/>
              </w:rPr>
            </w:pPr>
            <w:r w:rsidRPr="00DE7075">
              <w:rPr>
                <w:rFonts w:ascii="Times New Roman" w:hAnsi="Times New Roman"/>
                <w:bCs/>
                <w:szCs w:val="20"/>
              </w:rPr>
              <w:t>0.40 hrs</w:t>
            </w:r>
          </w:p>
        </w:tc>
        <w:tc>
          <w:tcPr>
            <w:tcW w:w="1423" w:type="dxa"/>
          </w:tcPr>
          <w:p w14:paraId="08C21B89" w14:textId="77777777" w:rsidR="00B5646A" w:rsidRPr="00DE7075" w:rsidRDefault="00B5646A" w:rsidP="00D74D04">
            <w:pPr>
              <w:tabs>
                <w:tab w:val="left" w:pos="-1440"/>
                <w:tab w:val="left" w:pos="-720"/>
                <w:tab w:val="decimal" w:pos="0"/>
              </w:tabs>
              <w:jc w:val="center"/>
              <w:rPr>
                <w:rFonts w:ascii="Times New Roman" w:hAnsi="Times New Roman"/>
                <w:bCs/>
                <w:szCs w:val="20"/>
              </w:rPr>
            </w:pPr>
          </w:p>
          <w:p w14:paraId="1C15CDC8" w14:textId="4534130F" w:rsidR="007D30A8" w:rsidRPr="00DE7075" w:rsidRDefault="007D30A8" w:rsidP="00D74D04">
            <w:pPr>
              <w:tabs>
                <w:tab w:val="left" w:pos="-1440"/>
                <w:tab w:val="left" w:pos="-720"/>
                <w:tab w:val="decimal" w:pos="0"/>
              </w:tabs>
              <w:jc w:val="center"/>
              <w:rPr>
                <w:rFonts w:ascii="Times New Roman" w:hAnsi="Times New Roman"/>
                <w:bCs/>
                <w:szCs w:val="20"/>
              </w:rPr>
            </w:pPr>
            <w:r w:rsidRPr="00DE7075">
              <w:rPr>
                <w:rFonts w:ascii="Times New Roman" w:hAnsi="Times New Roman"/>
                <w:bCs/>
                <w:szCs w:val="20"/>
              </w:rPr>
              <w:t xml:space="preserve">$24.22 </w:t>
            </w:r>
          </w:p>
        </w:tc>
        <w:tc>
          <w:tcPr>
            <w:tcW w:w="1524" w:type="dxa"/>
          </w:tcPr>
          <w:p w14:paraId="19A71051" w14:textId="77777777" w:rsidR="00B5646A" w:rsidRPr="00DE7075" w:rsidRDefault="00B5646A">
            <w:pPr>
              <w:tabs>
                <w:tab w:val="left" w:pos="-1440"/>
                <w:tab w:val="left" w:pos="-720"/>
                <w:tab w:val="decimal" w:pos="0"/>
              </w:tabs>
              <w:jc w:val="center"/>
              <w:rPr>
                <w:rFonts w:ascii="Times New Roman" w:hAnsi="Times New Roman"/>
                <w:bCs/>
                <w:szCs w:val="20"/>
              </w:rPr>
            </w:pPr>
          </w:p>
          <w:p w14:paraId="0B8425CF" w14:textId="79CBF353" w:rsidR="007D30A8" w:rsidRPr="00DE7075" w:rsidRDefault="007D30A8">
            <w:pPr>
              <w:tabs>
                <w:tab w:val="left" w:pos="-1440"/>
                <w:tab w:val="left" w:pos="-720"/>
                <w:tab w:val="decimal" w:pos="0"/>
              </w:tabs>
              <w:jc w:val="center"/>
              <w:rPr>
                <w:rFonts w:ascii="Times New Roman" w:hAnsi="Times New Roman"/>
                <w:bCs/>
                <w:szCs w:val="20"/>
              </w:rPr>
            </w:pPr>
            <w:r w:rsidRPr="00DE7075">
              <w:rPr>
                <w:rFonts w:ascii="Times New Roman" w:hAnsi="Times New Roman"/>
                <w:bCs/>
                <w:szCs w:val="20"/>
              </w:rPr>
              <w:t>26,600</w:t>
            </w:r>
          </w:p>
        </w:tc>
        <w:tc>
          <w:tcPr>
            <w:tcW w:w="1624" w:type="dxa"/>
          </w:tcPr>
          <w:p w14:paraId="3929BA15" w14:textId="77777777" w:rsidR="00B5646A" w:rsidRPr="00DE7075" w:rsidRDefault="00B5646A">
            <w:pPr>
              <w:tabs>
                <w:tab w:val="left" w:pos="-1440"/>
                <w:tab w:val="left" w:pos="-720"/>
                <w:tab w:val="decimal" w:pos="0"/>
              </w:tabs>
              <w:jc w:val="center"/>
              <w:rPr>
                <w:rFonts w:ascii="Times New Roman" w:hAnsi="Times New Roman"/>
                <w:bCs/>
                <w:szCs w:val="20"/>
              </w:rPr>
            </w:pPr>
          </w:p>
          <w:p w14:paraId="67AB39DB" w14:textId="20429EEE" w:rsidR="007D30A8" w:rsidRPr="00DE7075" w:rsidRDefault="007D30A8">
            <w:pPr>
              <w:tabs>
                <w:tab w:val="left" w:pos="-1440"/>
                <w:tab w:val="left" w:pos="-720"/>
                <w:tab w:val="decimal" w:pos="0"/>
              </w:tabs>
              <w:jc w:val="center"/>
              <w:rPr>
                <w:rFonts w:ascii="Times New Roman" w:hAnsi="Times New Roman"/>
                <w:bCs/>
                <w:szCs w:val="20"/>
              </w:rPr>
            </w:pPr>
            <w:r w:rsidRPr="00DE7075">
              <w:rPr>
                <w:rFonts w:ascii="Times New Roman" w:hAnsi="Times New Roman"/>
                <w:bCs/>
                <w:szCs w:val="20"/>
              </w:rPr>
              <w:t xml:space="preserve">10,640 </w:t>
            </w:r>
          </w:p>
        </w:tc>
        <w:tc>
          <w:tcPr>
            <w:tcW w:w="1144" w:type="dxa"/>
          </w:tcPr>
          <w:p w14:paraId="10D49C7C" w14:textId="77777777" w:rsidR="00B5646A" w:rsidRPr="00DE7075" w:rsidRDefault="00B5646A">
            <w:pPr>
              <w:tabs>
                <w:tab w:val="left" w:pos="-1440"/>
                <w:tab w:val="left" w:pos="-720"/>
                <w:tab w:val="decimal" w:pos="0"/>
              </w:tabs>
              <w:jc w:val="center"/>
              <w:rPr>
                <w:rFonts w:ascii="Times New Roman" w:hAnsi="Times New Roman"/>
                <w:bCs/>
                <w:szCs w:val="20"/>
              </w:rPr>
            </w:pPr>
          </w:p>
          <w:p w14:paraId="2ED78796" w14:textId="36D7D9F7" w:rsidR="007D30A8" w:rsidRPr="00DE7075" w:rsidRDefault="007D30A8">
            <w:pPr>
              <w:tabs>
                <w:tab w:val="left" w:pos="-1440"/>
                <w:tab w:val="left" w:pos="-720"/>
                <w:tab w:val="decimal" w:pos="0"/>
              </w:tabs>
              <w:jc w:val="center"/>
              <w:rPr>
                <w:rFonts w:ascii="Times New Roman" w:hAnsi="Times New Roman"/>
                <w:bCs/>
                <w:szCs w:val="20"/>
              </w:rPr>
            </w:pPr>
            <w:r w:rsidRPr="00DE7075">
              <w:rPr>
                <w:rFonts w:ascii="Times New Roman" w:hAnsi="Times New Roman"/>
                <w:bCs/>
                <w:szCs w:val="20"/>
              </w:rPr>
              <w:t xml:space="preserve">$644,161 </w:t>
            </w:r>
          </w:p>
        </w:tc>
      </w:tr>
    </w:tbl>
    <w:p w14:paraId="530EDFC7" w14:textId="77777777" w:rsidR="00F54901" w:rsidRPr="00263E20" w:rsidRDefault="00F54901" w:rsidP="00C441DD">
      <w:pPr>
        <w:tabs>
          <w:tab w:val="left" w:pos="-1440"/>
          <w:tab w:val="left" w:pos="-720"/>
          <w:tab w:val="decimal" w:pos="0"/>
        </w:tabs>
        <w:ind w:firstLine="720"/>
        <w:rPr>
          <w:rFonts w:ascii="Times New Roman" w:hAnsi="Times New Roman"/>
        </w:rPr>
      </w:pPr>
    </w:p>
    <w:p w14:paraId="7CABA7A3" w14:textId="77777777" w:rsidR="00F54901" w:rsidRPr="00263E20" w:rsidRDefault="00F54901" w:rsidP="00C441DD">
      <w:pPr>
        <w:tabs>
          <w:tab w:val="left" w:pos="-1440"/>
          <w:tab w:val="left" w:pos="-720"/>
          <w:tab w:val="decimal" w:pos="0"/>
        </w:tabs>
        <w:ind w:firstLine="720"/>
        <w:rPr>
          <w:rFonts w:ascii="Times New Roman" w:hAnsi="Times New Roman"/>
        </w:rPr>
      </w:pPr>
    </w:p>
    <w:p w14:paraId="604B09F4" w14:textId="0955AC47" w:rsidR="00C441DD" w:rsidRPr="00263E20" w:rsidRDefault="00F84508" w:rsidP="00C441DD">
      <w:pPr>
        <w:tabs>
          <w:tab w:val="left" w:pos="-1440"/>
          <w:tab w:val="left" w:pos="-720"/>
          <w:tab w:val="decimal" w:pos="0"/>
        </w:tabs>
        <w:ind w:firstLine="720"/>
        <w:rPr>
          <w:rFonts w:ascii="Times New Roman" w:hAnsi="Times New Roman"/>
        </w:rPr>
      </w:pPr>
      <w:r w:rsidRPr="00263E20">
        <w:rPr>
          <w:rFonts w:ascii="Times New Roman" w:hAnsi="Times New Roman"/>
        </w:rPr>
        <w:t xml:space="preserve">Table </w:t>
      </w:r>
      <w:r w:rsidR="007F266B" w:rsidRPr="00263E20">
        <w:rPr>
          <w:rFonts w:ascii="Times New Roman" w:hAnsi="Times New Roman"/>
        </w:rPr>
        <w:t>4</w:t>
      </w:r>
      <w:r w:rsidR="00C441DD" w:rsidRPr="00263E20">
        <w:rPr>
          <w:rFonts w:ascii="Times New Roman" w:hAnsi="Times New Roman"/>
        </w:rPr>
        <w:t xml:space="preserve"> shows the estimated respondent burden and cost for submitting </w:t>
      </w:r>
      <w:r w:rsidR="008A7ADE">
        <w:rPr>
          <w:rFonts w:ascii="Times New Roman" w:hAnsi="Times New Roman"/>
        </w:rPr>
        <w:t>a NOA</w:t>
      </w:r>
      <w:r w:rsidR="00C44575" w:rsidRPr="00263E20">
        <w:rPr>
          <w:rFonts w:ascii="Times New Roman" w:hAnsi="Times New Roman"/>
        </w:rPr>
        <w:t xml:space="preserve">, </w:t>
      </w:r>
      <w:r w:rsidR="007F54C6" w:rsidRPr="00263E20">
        <w:rPr>
          <w:rFonts w:ascii="Times New Roman" w:hAnsi="Times New Roman"/>
        </w:rPr>
        <w:t xml:space="preserve">including a label, </w:t>
      </w:r>
      <w:r w:rsidR="00C441DD" w:rsidRPr="00263E20">
        <w:rPr>
          <w:rFonts w:ascii="Times New Roman" w:hAnsi="Times New Roman"/>
        </w:rPr>
        <w:t>supporting documents</w:t>
      </w:r>
      <w:r w:rsidR="002F6B52" w:rsidRPr="00263E20">
        <w:rPr>
          <w:rFonts w:ascii="Times New Roman" w:hAnsi="Times New Roman"/>
        </w:rPr>
        <w:t>,</w:t>
      </w:r>
      <w:r w:rsidR="00C44575" w:rsidRPr="00263E20">
        <w:rPr>
          <w:rFonts w:ascii="Times New Roman" w:hAnsi="Times New Roman"/>
        </w:rPr>
        <w:t xml:space="preserve"> and</w:t>
      </w:r>
      <w:r w:rsidR="002F6B52" w:rsidRPr="00263E20">
        <w:rPr>
          <w:rFonts w:ascii="Times New Roman" w:hAnsi="Times New Roman"/>
        </w:rPr>
        <w:t xml:space="preserve"> intended use</w:t>
      </w:r>
      <w:r w:rsidR="00C44575" w:rsidRPr="00263E20">
        <w:rPr>
          <w:rFonts w:ascii="Times New Roman" w:hAnsi="Times New Roman"/>
        </w:rPr>
        <w:t xml:space="preserve"> information</w:t>
      </w:r>
      <w:r w:rsidR="00CE255F" w:rsidRPr="00263E20">
        <w:rPr>
          <w:rFonts w:ascii="Times New Roman" w:hAnsi="Times New Roman"/>
        </w:rPr>
        <w:t>,</w:t>
      </w:r>
      <w:r w:rsidR="00C441DD" w:rsidRPr="00263E20">
        <w:rPr>
          <w:rFonts w:ascii="Times New Roman" w:hAnsi="Times New Roman"/>
        </w:rPr>
        <w:t xml:space="preserve"> for </w:t>
      </w:r>
      <w:r w:rsidRPr="00263E20">
        <w:rPr>
          <w:rFonts w:ascii="Times New Roman" w:hAnsi="Times New Roman"/>
        </w:rPr>
        <w:t>unregistered pesticides</w:t>
      </w:r>
      <w:r w:rsidR="00C441DD" w:rsidRPr="00263E20">
        <w:rPr>
          <w:rFonts w:ascii="Times New Roman" w:hAnsi="Times New Roman"/>
        </w:rPr>
        <w:t xml:space="preserve">. </w:t>
      </w:r>
      <w:r w:rsidRPr="00263E20">
        <w:rPr>
          <w:rFonts w:ascii="Times New Roman" w:hAnsi="Times New Roman"/>
        </w:rPr>
        <w:t>For these responses</w:t>
      </w:r>
      <w:r w:rsidR="00C441DD" w:rsidRPr="00263E20">
        <w:rPr>
          <w:rFonts w:ascii="Times New Roman" w:hAnsi="Times New Roman"/>
        </w:rPr>
        <w:t>, EPA estimates the burden per response to be 0.</w:t>
      </w:r>
      <w:r w:rsidRPr="00263E20">
        <w:rPr>
          <w:rFonts w:ascii="Times New Roman" w:hAnsi="Times New Roman"/>
        </w:rPr>
        <w:t>5</w:t>
      </w:r>
      <w:r w:rsidR="00CE255F" w:rsidRPr="00263E20">
        <w:rPr>
          <w:rFonts w:ascii="Times New Roman" w:hAnsi="Times New Roman"/>
        </w:rPr>
        <w:t>0</w:t>
      </w:r>
      <w:r w:rsidR="00C441DD" w:rsidRPr="00263E20">
        <w:rPr>
          <w:rFonts w:ascii="Times New Roman" w:hAnsi="Times New Roman"/>
        </w:rPr>
        <w:t xml:space="preserve"> hours. </w:t>
      </w:r>
    </w:p>
    <w:p w14:paraId="39C9CBA7" w14:textId="77777777" w:rsidR="00C441DD" w:rsidRPr="00263E20" w:rsidRDefault="00C441DD" w:rsidP="00C441DD">
      <w:pPr>
        <w:tabs>
          <w:tab w:val="left" w:pos="-1440"/>
          <w:tab w:val="left" w:pos="-720"/>
          <w:tab w:val="decimal" w:pos="0"/>
        </w:tabs>
        <w:ind w:firstLine="720"/>
        <w:rPr>
          <w:rFonts w:ascii="Times New Roman" w:hAnsi="Times New Roman"/>
        </w:rPr>
      </w:pPr>
    </w:p>
    <w:p w14:paraId="0D96A2BB" w14:textId="31C39B4A" w:rsidR="00A936C2" w:rsidRPr="00263E20" w:rsidRDefault="00F53E3C" w:rsidP="00DE7075">
      <w:pPr>
        <w:keepNext/>
        <w:tabs>
          <w:tab w:val="left" w:pos="-1440"/>
          <w:tab w:val="left" w:pos="-720"/>
          <w:tab w:val="decimal" w:pos="0"/>
        </w:tabs>
        <w:ind w:firstLine="90"/>
        <w:rPr>
          <w:rFonts w:ascii="Times New Roman" w:hAnsi="Times New Roman"/>
        </w:rPr>
      </w:pPr>
      <w:r w:rsidRPr="00263E20">
        <w:rPr>
          <w:rFonts w:ascii="Times New Roman" w:hAnsi="Times New Roman"/>
          <w:b/>
        </w:rPr>
        <w:t xml:space="preserve">Table </w:t>
      </w:r>
      <w:r w:rsidR="007F266B" w:rsidRPr="00263E20">
        <w:rPr>
          <w:rFonts w:ascii="Times New Roman" w:hAnsi="Times New Roman"/>
          <w:b/>
        </w:rPr>
        <w:t>4</w:t>
      </w:r>
      <w:r w:rsidRPr="00263E20">
        <w:rPr>
          <w:rFonts w:ascii="Times New Roman" w:hAnsi="Times New Roman"/>
          <w:b/>
        </w:rPr>
        <w:t>:</w:t>
      </w:r>
      <w:r w:rsidR="00F625BF" w:rsidRPr="00263E20">
        <w:rPr>
          <w:rFonts w:ascii="Times New Roman" w:hAnsi="Times New Roman"/>
          <w:b/>
        </w:rPr>
        <w:t xml:space="preserve"> Respondent</w:t>
      </w:r>
      <w:r w:rsidR="00C441DD" w:rsidRPr="00263E20">
        <w:rPr>
          <w:rFonts w:ascii="Times New Roman" w:hAnsi="Times New Roman"/>
          <w:b/>
        </w:rPr>
        <w:t xml:space="preserve"> Burden and Cost</w:t>
      </w:r>
      <w:r w:rsidR="00DE7075">
        <w:rPr>
          <w:rFonts w:ascii="Times New Roman" w:hAnsi="Times New Roman"/>
          <w:b/>
        </w:rPr>
        <w:t xml:space="preserve"> p</w:t>
      </w:r>
      <w:r w:rsidR="007F54C6" w:rsidRPr="00263E20">
        <w:rPr>
          <w:rFonts w:ascii="Times New Roman" w:hAnsi="Times New Roman"/>
          <w:b/>
        </w:rPr>
        <w:t>er Response</w:t>
      </w:r>
      <w:r w:rsidR="00C441DD" w:rsidRPr="00263E20">
        <w:rPr>
          <w:rFonts w:ascii="Times New Roman" w:hAnsi="Times New Roman"/>
          <w:b/>
        </w:rPr>
        <w:t>: Unregistered Pesticides</w:t>
      </w:r>
    </w:p>
    <w:tbl>
      <w:tblPr>
        <w:tblW w:w="9947" w:type="dxa"/>
        <w:tblInd w:w="10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000000" w:fill="FFFFFF" w:themeFill="background1"/>
        <w:tblLook w:val="04A0" w:firstRow="1" w:lastRow="0" w:firstColumn="1" w:lastColumn="0" w:noHBand="0" w:noVBand="1"/>
      </w:tblPr>
      <w:tblGrid>
        <w:gridCol w:w="3307"/>
        <w:gridCol w:w="1613"/>
        <w:gridCol w:w="1398"/>
        <w:gridCol w:w="1398"/>
        <w:gridCol w:w="940"/>
        <w:gridCol w:w="1291"/>
      </w:tblGrid>
      <w:tr w:rsidR="004C0BBA" w:rsidRPr="00263E20" w14:paraId="07B9CFC9" w14:textId="77777777" w:rsidTr="004C0BBA">
        <w:trPr>
          <w:trHeight w:val="460"/>
        </w:trPr>
        <w:tc>
          <w:tcPr>
            <w:tcW w:w="3307" w:type="dxa"/>
            <w:vMerge w:val="restart"/>
            <w:shd w:val="clear" w:color="000000" w:fill="FFFFFF" w:themeFill="background1"/>
            <w:vAlign w:val="bottom"/>
            <w:hideMark/>
          </w:tcPr>
          <w:p w14:paraId="383AD87E" w14:textId="77777777" w:rsidR="004C0BBA" w:rsidRPr="00914DD2" w:rsidRDefault="004C0BBA" w:rsidP="00703253">
            <w:pPr>
              <w:keepNext/>
              <w:widowControl/>
              <w:autoSpaceDE/>
              <w:autoSpaceDN/>
              <w:adjustRightInd/>
              <w:rPr>
                <w:rFonts w:ascii="Times New Roman" w:hAnsi="Times New Roman"/>
                <w:b/>
                <w:bCs/>
                <w:sz w:val="22"/>
                <w:szCs w:val="22"/>
              </w:rPr>
            </w:pPr>
            <w:r w:rsidRPr="00914DD2">
              <w:rPr>
                <w:rFonts w:ascii="Times New Roman" w:hAnsi="Times New Roman"/>
                <w:b/>
                <w:bCs/>
                <w:sz w:val="22"/>
                <w:szCs w:val="22"/>
              </w:rPr>
              <w:t>Collection Activities</w:t>
            </w:r>
          </w:p>
          <w:p w14:paraId="66EDAA56" w14:textId="44901BC9" w:rsidR="004C0BBA" w:rsidRPr="00914DD2" w:rsidRDefault="004C0BBA" w:rsidP="007D30A8">
            <w:pPr>
              <w:keepNext/>
              <w:rPr>
                <w:rFonts w:ascii="Times New Roman" w:hAnsi="Times New Roman"/>
                <w:b/>
                <w:bCs/>
                <w:sz w:val="22"/>
                <w:szCs w:val="22"/>
              </w:rPr>
            </w:pPr>
            <w:r w:rsidRPr="00914DD2">
              <w:rPr>
                <w:rFonts w:ascii="Times New Roman" w:hAnsi="Times New Roman"/>
                <w:b/>
                <w:bCs/>
                <w:sz w:val="22"/>
                <w:szCs w:val="22"/>
              </w:rPr>
              <w:t> </w:t>
            </w:r>
          </w:p>
        </w:tc>
        <w:tc>
          <w:tcPr>
            <w:tcW w:w="1613" w:type="dxa"/>
            <w:shd w:val="clear" w:color="000000" w:fill="FFFFFF" w:themeFill="background1"/>
            <w:vAlign w:val="bottom"/>
            <w:hideMark/>
          </w:tcPr>
          <w:p w14:paraId="221483AA" w14:textId="77777777" w:rsidR="004C0BBA" w:rsidRPr="00AA53D6" w:rsidRDefault="004C0BBA" w:rsidP="00703253">
            <w:pPr>
              <w:widowControl/>
              <w:autoSpaceDE/>
              <w:autoSpaceDN/>
              <w:adjustRightInd/>
              <w:jc w:val="center"/>
              <w:rPr>
                <w:rFonts w:ascii="Times New Roman" w:hAnsi="Times New Roman"/>
                <w:b/>
                <w:bCs/>
                <w:sz w:val="20"/>
                <w:szCs w:val="20"/>
              </w:rPr>
            </w:pPr>
            <w:r w:rsidRPr="00AA53D6">
              <w:rPr>
                <w:rFonts w:ascii="Times New Roman" w:hAnsi="Times New Roman"/>
                <w:b/>
                <w:bCs/>
                <w:sz w:val="20"/>
                <w:szCs w:val="20"/>
              </w:rPr>
              <w:t>Management</w:t>
            </w:r>
          </w:p>
          <w:p w14:paraId="64B361DB" w14:textId="1D3FB1DA" w:rsidR="004C0BBA" w:rsidRPr="00914DD2" w:rsidRDefault="004C0BBA" w:rsidP="00703253">
            <w:pPr>
              <w:keepNext/>
              <w:widowControl/>
              <w:autoSpaceDE/>
              <w:autoSpaceDN/>
              <w:adjustRightInd/>
              <w:jc w:val="center"/>
              <w:rPr>
                <w:rFonts w:ascii="Times New Roman" w:hAnsi="Times New Roman"/>
                <w:b/>
                <w:bCs/>
                <w:sz w:val="22"/>
                <w:szCs w:val="22"/>
              </w:rPr>
            </w:pPr>
            <w:r w:rsidRPr="00AA53D6">
              <w:rPr>
                <w:rFonts w:ascii="Times New Roman" w:hAnsi="Times New Roman"/>
                <w:b/>
                <w:bCs/>
                <w:sz w:val="20"/>
                <w:szCs w:val="20"/>
              </w:rPr>
              <w:t>(hours)</w:t>
            </w:r>
            <w:r>
              <w:rPr>
                <w:rFonts w:ascii="Times New Roman" w:hAnsi="Times New Roman"/>
                <w:b/>
                <w:bCs/>
                <w:sz w:val="20"/>
                <w:szCs w:val="20"/>
                <w:vertAlign w:val="superscript"/>
              </w:rPr>
              <w:t>1</w:t>
            </w:r>
            <w:r w:rsidRPr="00AA53D6">
              <w:rPr>
                <w:rFonts w:ascii="Times New Roman" w:hAnsi="Times New Roman"/>
                <w:b/>
                <w:bCs/>
                <w:sz w:val="20"/>
                <w:szCs w:val="20"/>
              </w:rPr>
              <w:t xml:space="preserve"> </w:t>
            </w:r>
          </w:p>
        </w:tc>
        <w:tc>
          <w:tcPr>
            <w:tcW w:w="1398" w:type="dxa"/>
            <w:shd w:val="clear" w:color="000000" w:fill="FFFFFF" w:themeFill="background1"/>
            <w:vAlign w:val="bottom"/>
            <w:hideMark/>
          </w:tcPr>
          <w:p w14:paraId="69E35902" w14:textId="77777777" w:rsidR="004C0BBA" w:rsidRPr="00AA53D6" w:rsidRDefault="004C0BBA" w:rsidP="00703253">
            <w:pPr>
              <w:widowControl/>
              <w:autoSpaceDE/>
              <w:autoSpaceDN/>
              <w:adjustRightInd/>
              <w:jc w:val="center"/>
              <w:rPr>
                <w:rFonts w:ascii="Times New Roman" w:hAnsi="Times New Roman"/>
                <w:b/>
                <w:bCs/>
                <w:sz w:val="20"/>
                <w:szCs w:val="20"/>
              </w:rPr>
            </w:pPr>
            <w:r w:rsidRPr="00AA53D6">
              <w:rPr>
                <w:rFonts w:ascii="Times New Roman" w:hAnsi="Times New Roman"/>
                <w:b/>
                <w:bCs/>
                <w:sz w:val="20"/>
                <w:szCs w:val="20"/>
              </w:rPr>
              <w:t xml:space="preserve">Technical </w:t>
            </w:r>
          </w:p>
          <w:p w14:paraId="247A5556" w14:textId="45191691" w:rsidR="004C0BBA" w:rsidRPr="00914DD2" w:rsidRDefault="004C0BBA" w:rsidP="00703253">
            <w:pPr>
              <w:keepNext/>
              <w:widowControl/>
              <w:autoSpaceDE/>
              <w:autoSpaceDN/>
              <w:adjustRightInd/>
              <w:jc w:val="center"/>
              <w:rPr>
                <w:rFonts w:ascii="Times New Roman" w:hAnsi="Times New Roman"/>
                <w:b/>
                <w:bCs/>
                <w:sz w:val="22"/>
                <w:szCs w:val="22"/>
              </w:rPr>
            </w:pPr>
            <w:r w:rsidRPr="00AA53D6">
              <w:rPr>
                <w:rFonts w:ascii="Times New Roman" w:hAnsi="Times New Roman"/>
                <w:b/>
                <w:bCs/>
                <w:sz w:val="20"/>
                <w:szCs w:val="20"/>
              </w:rPr>
              <w:t>(hours)</w:t>
            </w:r>
            <w:r>
              <w:rPr>
                <w:rFonts w:ascii="Times New Roman" w:hAnsi="Times New Roman"/>
                <w:b/>
                <w:bCs/>
                <w:sz w:val="20"/>
                <w:szCs w:val="20"/>
                <w:vertAlign w:val="superscript"/>
              </w:rPr>
              <w:t>1</w:t>
            </w:r>
          </w:p>
        </w:tc>
        <w:tc>
          <w:tcPr>
            <w:tcW w:w="1398" w:type="dxa"/>
            <w:shd w:val="clear" w:color="000000" w:fill="FFFFFF" w:themeFill="background1"/>
            <w:vAlign w:val="bottom"/>
            <w:hideMark/>
          </w:tcPr>
          <w:p w14:paraId="267ACA63" w14:textId="77777777" w:rsidR="004C0BBA" w:rsidRPr="00AA53D6" w:rsidRDefault="004C0BBA" w:rsidP="00703253">
            <w:pPr>
              <w:widowControl/>
              <w:autoSpaceDE/>
              <w:autoSpaceDN/>
              <w:adjustRightInd/>
              <w:ind w:left="-23"/>
              <w:jc w:val="center"/>
              <w:rPr>
                <w:rFonts w:ascii="Times New Roman" w:hAnsi="Times New Roman"/>
                <w:b/>
                <w:bCs/>
                <w:sz w:val="20"/>
                <w:szCs w:val="20"/>
              </w:rPr>
            </w:pPr>
            <w:r w:rsidRPr="00AA53D6">
              <w:rPr>
                <w:rFonts w:ascii="Times New Roman" w:hAnsi="Times New Roman"/>
                <w:b/>
                <w:bCs/>
                <w:sz w:val="20"/>
                <w:szCs w:val="20"/>
              </w:rPr>
              <w:t xml:space="preserve">Clerical </w:t>
            </w:r>
          </w:p>
          <w:p w14:paraId="21266CC4" w14:textId="481FE90E" w:rsidR="004C0BBA" w:rsidRPr="00914DD2" w:rsidRDefault="004C0BBA" w:rsidP="00703253">
            <w:pPr>
              <w:keepNext/>
              <w:widowControl/>
              <w:autoSpaceDE/>
              <w:autoSpaceDN/>
              <w:adjustRightInd/>
              <w:jc w:val="center"/>
              <w:rPr>
                <w:rFonts w:ascii="Times New Roman" w:hAnsi="Times New Roman"/>
                <w:b/>
                <w:bCs/>
                <w:sz w:val="22"/>
                <w:szCs w:val="22"/>
              </w:rPr>
            </w:pPr>
            <w:r w:rsidRPr="00AA53D6">
              <w:rPr>
                <w:rFonts w:ascii="Times New Roman" w:hAnsi="Times New Roman"/>
                <w:b/>
                <w:bCs/>
                <w:sz w:val="20"/>
                <w:szCs w:val="20"/>
              </w:rPr>
              <w:t>(hours)</w:t>
            </w:r>
            <w:r>
              <w:rPr>
                <w:rFonts w:ascii="Times New Roman" w:hAnsi="Times New Roman"/>
                <w:b/>
                <w:bCs/>
                <w:sz w:val="20"/>
                <w:szCs w:val="20"/>
                <w:vertAlign w:val="superscript"/>
              </w:rPr>
              <w:t>1</w:t>
            </w:r>
          </w:p>
        </w:tc>
        <w:tc>
          <w:tcPr>
            <w:tcW w:w="940" w:type="dxa"/>
            <w:vMerge w:val="restart"/>
            <w:shd w:val="clear" w:color="000000" w:fill="FFFFFF" w:themeFill="background1"/>
            <w:vAlign w:val="center"/>
            <w:hideMark/>
          </w:tcPr>
          <w:p w14:paraId="5A275E7D" w14:textId="1C7FB956" w:rsidR="004C0BBA" w:rsidRPr="00914DD2" w:rsidRDefault="004C0BBA" w:rsidP="004C0BBA">
            <w:pPr>
              <w:keepNext/>
              <w:widowControl/>
              <w:autoSpaceDE/>
              <w:autoSpaceDN/>
              <w:adjustRightInd/>
              <w:jc w:val="center"/>
              <w:rPr>
                <w:rFonts w:ascii="Times New Roman" w:hAnsi="Times New Roman"/>
                <w:b/>
                <w:bCs/>
                <w:sz w:val="22"/>
                <w:szCs w:val="22"/>
              </w:rPr>
            </w:pPr>
            <w:r w:rsidRPr="00914DD2">
              <w:rPr>
                <w:rFonts w:ascii="Times New Roman" w:hAnsi="Times New Roman"/>
                <w:b/>
                <w:bCs/>
                <w:sz w:val="22"/>
                <w:szCs w:val="22"/>
              </w:rPr>
              <w:t>Total (hour)</w:t>
            </w:r>
            <w:r w:rsidRPr="00914DD2">
              <w:rPr>
                <w:rFonts w:ascii="Times New Roman" w:hAnsi="Times New Roman"/>
                <w:bCs/>
                <w:sz w:val="22"/>
                <w:szCs w:val="22"/>
              </w:rPr>
              <w:t> </w:t>
            </w:r>
          </w:p>
        </w:tc>
        <w:tc>
          <w:tcPr>
            <w:tcW w:w="1291" w:type="dxa"/>
            <w:vMerge w:val="restart"/>
            <w:shd w:val="clear" w:color="000000" w:fill="FFFFFF" w:themeFill="background1"/>
            <w:vAlign w:val="center"/>
            <w:hideMark/>
          </w:tcPr>
          <w:p w14:paraId="3360BF99" w14:textId="77777777" w:rsidR="004C0BBA" w:rsidRPr="00914DD2" w:rsidRDefault="004C0BBA" w:rsidP="00703253">
            <w:pPr>
              <w:keepNext/>
              <w:widowControl/>
              <w:tabs>
                <w:tab w:val="left" w:pos="1092"/>
              </w:tabs>
              <w:autoSpaceDE/>
              <w:autoSpaceDN/>
              <w:adjustRightInd/>
              <w:ind w:right="90"/>
              <w:jc w:val="center"/>
              <w:rPr>
                <w:rFonts w:ascii="Times New Roman" w:hAnsi="Times New Roman"/>
                <w:b/>
                <w:bCs/>
                <w:sz w:val="22"/>
                <w:szCs w:val="22"/>
              </w:rPr>
            </w:pPr>
            <w:r w:rsidRPr="00914DD2">
              <w:rPr>
                <w:rFonts w:ascii="Times New Roman" w:hAnsi="Times New Roman"/>
                <w:b/>
                <w:bCs/>
                <w:sz w:val="22"/>
                <w:szCs w:val="22"/>
              </w:rPr>
              <w:t>Cost</w:t>
            </w:r>
          </w:p>
          <w:p w14:paraId="21A3106C" w14:textId="6AF5E1F8" w:rsidR="004C0BBA" w:rsidRPr="00914DD2" w:rsidRDefault="004C0BBA" w:rsidP="004C0BBA">
            <w:pPr>
              <w:keepNext/>
              <w:widowControl/>
              <w:tabs>
                <w:tab w:val="left" w:pos="1092"/>
              </w:tabs>
              <w:autoSpaceDE/>
              <w:autoSpaceDN/>
              <w:adjustRightInd/>
              <w:ind w:right="90"/>
              <w:jc w:val="center"/>
              <w:rPr>
                <w:rFonts w:ascii="Times New Roman" w:hAnsi="Times New Roman"/>
                <w:b/>
                <w:bCs/>
                <w:sz w:val="22"/>
                <w:szCs w:val="22"/>
              </w:rPr>
            </w:pPr>
            <w:r w:rsidRPr="00914DD2">
              <w:rPr>
                <w:rFonts w:ascii="Times New Roman" w:hAnsi="Times New Roman"/>
                <w:b/>
                <w:bCs/>
                <w:sz w:val="22"/>
                <w:szCs w:val="22"/>
              </w:rPr>
              <w:t>($)</w:t>
            </w:r>
            <w:r w:rsidRPr="00914DD2">
              <w:rPr>
                <w:rFonts w:ascii="Times New Roman" w:hAnsi="Times New Roman"/>
                <w:bCs/>
                <w:sz w:val="22"/>
                <w:szCs w:val="22"/>
              </w:rPr>
              <w:t> </w:t>
            </w:r>
          </w:p>
        </w:tc>
      </w:tr>
      <w:tr w:rsidR="004C0BBA" w:rsidRPr="00263E20" w14:paraId="15B7CDBE" w14:textId="77777777" w:rsidTr="004C0BBA">
        <w:trPr>
          <w:trHeight w:val="210"/>
        </w:trPr>
        <w:tc>
          <w:tcPr>
            <w:tcW w:w="3307" w:type="dxa"/>
            <w:vMerge/>
            <w:shd w:val="clear" w:color="000000" w:fill="FFFFFF" w:themeFill="background1"/>
            <w:noWrap/>
            <w:vAlign w:val="bottom"/>
            <w:hideMark/>
          </w:tcPr>
          <w:p w14:paraId="7E650F9B" w14:textId="62642DB8" w:rsidR="004C0BBA" w:rsidRPr="00914DD2" w:rsidRDefault="004C0BBA" w:rsidP="007D30A8">
            <w:pPr>
              <w:keepNext/>
              <w:widowControl/>
              <w:autoSpaceDE/>
              <w:autoSpaceDN/>
              <w:adjustRightInd/>
              <w:rPr>
                <w:rFonts w:ascii="Times New Roman" w:hAnsi="Times New Roman"/>
                <w:b/>
                <w:bCs/>
                <w:sz w:val="22"/>
                <w:szCs w:val="22"/>
              </w:rPr>
            </w:pPr>
          </w:p>
        </w:tc>
        <w:tc>
          <w:tcPr>
            <w:tcW w:w="1613" w:type="dxa"/>
            <w:shd w:val="clear" w:color="000000" w:fill="FFFFFF" w:themeFill="background1"/>
            <w:noWrap/>
            <w:hideMark/>
          </w:tcPr>
          <w:p w14:paraId="0614B95A" w14:textId="1E7F81B7" w:rsidR="004C0BBA" w:rsidRPr="00914DD2" w:rsidRDefault="004C0BBA" w:rsidP="00DE7075">
            <w:pPr>
              <w:keepNext/>
              <w:widowControl/>
              <w:autoSpaceDE/>
              <w:autoSpaceDN/>
              <w:adjustRightInd/>
              <w:jc w:val="center"/>
              <w:rPr>
                <w:rFonts w:ascii="Times New Roman" w:hAnsi="Times New Roman"/>
                <w:bCs/>
                <w:i/>
                <w:sz w:val="22"/>
                <w:szCs w:val="22"/>
              </w:rPr>
            </w:pPr>
            <w:r w:rsidRPr="00914DD2">
              <w:rPr>
                <w:rFonts w:ascii="Times New Roman" w:hAnsi="Times New Roman"/>
                <w:bCs/>
                <w:i/>
                <w:sz w:val="22"/>
                <w:szCs w:val="22"/>
              </w:rPr>
              <w:t>$124.02</w:t>
            </w:r>
            <w:r>
              <w:rPr>
                <w:rFonts w:ascii="Times New Roman" w:hAnsi="Times New Roman"/>
                <w:bCs/>
                <w:i/>
                <w:sz w:val="22"/>
                <w:szCs w:val="22"/>
              </w:rPr>
              <w:t>/h</w:t>
            </w:r>
            <w:r w:rsidR="00DE7075">
              <w:rPr>
                <w:rFonts w:ascii="Times New Roman" w:hAnsi="Times New Roman"/>
                <w:bCs/>
                <w:i/>
                <w:sz w:val="22"/>
                <w:szCs w:val="22"/>
              </w:rPr>
              <w:t>r</w:t>
            </w:r>
          </w:p>
        </w:tc>
        <w:tc>
          <w:tcPr>
            <w:tcW w:w="1398" w:type="dxa"/>
            <w:shd w:val="clear" w:color="000000" w:fill="FFFFFF" w:themeFill="background1"/>
            <w:noWrap/>
            <w:hideMark/>
          </w:tcPr>
          <w:p w14:paraId="641777E7" w14:textId="45A31C08" w:rsidR="004C0BBA" w:rsidRPr="00914DD2" w:rsidRDefault="004C0BBA" w:rsidP="00DE7075">
            <w:pPr>
              <w:keepNext/>
              <w:widowControl/>
              <w:autoSpaceDE/>
              <w:autoSpaceDN/>
              <w:adjustRightInd/>
              <w:jc w:val="center"/>
              <w:rPr>
                <w:rFonts w:ascii="Times New Roman" w:hAnsi="Times New Roman"/>
                <w:bCs/>
                <w:i/>
                <w:sz w:val="22"/>
                <w:szCs w:val="22"/>
              </w:rPr>
            </w:pPr>
            <w:r w:rsidRPr="00914DD2">
              <w:rPr>
                <w:rFonts w:ascii="Times New Roman" w:hAnsi="Times New Roman"/>
                <w:bCs/>
                <w:i/>
                <w:sz w:val="22"/>
                <w:szCs w:val="22"/>
              </w:rPr>
              <w:t>$73.37</w:t>
            </w:r>
            <w:r>
              <w:rPr>
                <w:rFonts w:ascii="Times New Roman" w:hAnsi="Times New Roman"/>
                <w:bCs/>
                <w:i/>
                <w:sz w:val="22"/>
                <w:szCs w:val="22"/>
              </w:rPr>
              <w:t>/h</w:t>
            </w:r>
            <w:r w:rsidR="00DE7075">
              <w:rPr>
                <w:rFonts w:ascii="Times New Roman" w:hAnsi="Times New Roman"/>
                <w:bCs/>
                <w:i/>
                <w:sz w:val="22"/>
                <w:szCs w:val="22"/>
              </w:rPr>
              <w:t>r</w:t>
            </w:r>
          </w:p>
        </w:tc>
        <w:tc>
          <w:tcPr>
            <w:tcW w:w="1398" w:type="dxa"/>
            <w:shd w:val="clear" w:color="000000" w:fill="FFFFFF" w:themeFill="background1"/>
            <w:noWrap/>
            <w:hideMark/>
          </w:tcPr>
          <w:p w14:paraId="735FBA52" w14:textId="016CCD33" w:rsidR="004C0BBA" w:rsidRPr="00914DD2" w:rsidRDefault="004C0BBA" w:rsidP="00DE7075">
            <w:pPr>
              <w:keepNext/>
              <w:widowControl/>
              <w:autoSpaceDE/>
              <w:autoSpaceDN/>
              <w:adjustRightInd/>
              <w:jc w:val="center"/>
              <w:rPr>
                <w:rFonts w:ascii="Times New Roman" w:hAnsi="Times New Roman"/>
                <w:bCs/>
                <w:i/>
                <w:sz w:val="22"/>
                <w:szCs w:val="22"/>
              </w:rPr>
            </w:pPr>
            <w:r w:rsidRPr="00914DD2">
              <w:rPr>
                <w:rFonts w:ascii="Times New Roman" w:hAnsi="Times New Roman"/>
                <w:bCs/>
                <w:i/>
                <w:sz w:val="22"/>
                <w:szCs w:val="22"/>
              </w:rPr>
              <w:t>$41.70</w:t>
            </w:r>
            <w:r>
              <w:rPr>
                <w:rFonts w:ascii="Times New Roman" w:hAnsi="Times New Roman"/>
                <w:bCs/>
                <w:i/>
                <w:sz w:val="22"/>
                <w:szCs w:val="22"/>
              </w:rPr>
              <w:t>/h</w:t>
            </w:r>
            <w:r w:rsidR="00DE7075">
              <w:rPr>
                <w:rFonts w:ascii="Times New Roman" w:hAnsi="Times New Roman"/>
                <w:bCs/>
                <w:i/>
                <w:sz w:val="22"/>
                <w:szCs w:val="22"/>
              </w:rPr>
              <w:t>r</w:t>
            </w:r>
          </w:p>
        </w:tc>
        <w:tc>
          <w:tcPr>
            <w:tcW w:w="940" w:type="dxa"/>
            <w:vMerge/>
            <w:shd w:val="clear" w:color="000000" w:fill="FFFFFF" w:themeFill="background1"/>
            <w:noWrap/>
            <w:vAlign w:val="bottom"/>
            <w:hideMark/>
          </w:tcPr>
          <w:p w14:paraId="3A7BE116" w14:textId="2FB90EBD" w:rsidR="004C0BBA" w:rsidRPr="00914DD2" w:rsidRDefault="004C0BBA" w:rsidP="007D30A8">
            <w:pPr>
              <w:keepNext/>
              <w:widowControl/>
              <w:autoSpaceDE/>
              <w:autoSpaceDN/>
              <w:adjustRightInd/>
              <w:jc w:val="center"/>
              <w:rPr>
                <w:rFonts w:ascii="Times New Roman" w:hAnsi="Times New Roman"/>
                <w:bCs/>
                <w:sz w:val="22"/>
                <w:szCs w:val="22"/>
              </w:rPr>
            </w:pPr>
          </w:p>
        </w:tc>
        <w:tc>
          <w:tcPr>
            <w:tcW w:w="1291" w:type="dxa"/>
            <w:vMerge/>
            <w:shd w:val="clear" w:color="000000" w:fill="FFFFFF" w:themeFill="background1"/>
            <w:noWrap/>
            <w:vAlign w:val="bottom"/>
            <w:hideMark/>
          </w:tcPr>
          <w:p w14:paraId="3D76E83A" w14:textId="5D0F34EB" w:rsidR="004C0BBA" w:rsidRPr="00914DD2" w:rsidRDefault="004C0BBA" w:rsidP="007D30A8">
            <w:pPr>
              <w:keepNext/>
              <w:widowControl/>
              <w:tabs>
                <w:tab w:val="center" w:pos="4320"/>
                <w:tab w:val="right" w:pos="8640"/>
              </w:tabs>
              <w:autoSpaceDE/>
              <w:autoSpaceDN/>
              <w:adjustRightInd/>
              <w:jc w:val="center"/>
              <w:rPr>
                <w:rFonts w:ascii="Times New Roman" w:hAnsi="Times New Roman"/>
                <w:bCs/>
                <w:sz w:val="22"/>
                <w:szCs w:val="22"/>
              </w:rPr>
            </w:pPr>
          </w:p>
        </w:tc>
      </w:tr>
      <w:tr w:rsidR="007D30A8" w:rsidRPr="00263E20" w14:paraId="6660C5D3" w14:textId="77777777" w:rsidTr="00914DD2">
        <w:trPr>
          <w:trHeight w:val="460"/>
        </w:trPr>
        <w:tc>
          <w:tcPr>
            <w:tcW w:w="3307" w:type="dxa"/>
            <w:shd w:val="clear" w:color="000000" w:fill="FFFFFF" w:themeFill="background1"/>
            <w:vAlign w:val="bottom"/>
            <w:hideMark/>
          </w:tcPr>
          <w:p w14:paraId="475CAF3D" w14:textId="77777777" w:rsidR="007D30A8" w:rsidRPr="00914DD2" w:rsidRDefault="007D30A8" w:rsidP="007D30A8">
            <w:pPr>
              <w:keepNext/>
              <w:widowControl/>
              <w:autoSpaceDE/>
              <w:autoSpaceDN/>
              <w:adjustRightInd/>
              <w:rPr>
                <w:rFonts w:ascii="Times New Roman" w:hAnsi="Times New Roman"/>
                <w:bCs/>
                <w:sz w:val="22"/>
                <w:szCs w:val="22"/>
              </w:rPr>
            </w:pPr>
            <w:r w:rsidRPr="00914DD2">
              <w:rPr>
                <w:rFonts w:ascii="Times New Roman" w:hAnsi="Times New Roman"/>
                <w:bCs/>
                <w:sz w:val="22"/>
                <w:szCs w:val="22"/>
              </w:rPr>
              <w:t>Read or hear any instructions</w:t>
            </w:r>
          </w:p>
        </w:tc>
        <w:tc>
          <w:tcPr>
            <w:tcW w:w="1613" w:type="dxa"/>
            <w:shd w:val="clear" w:color="000000" w:fill="FFFFFF" w:themeFill="background1"/>
            <w:vAlign w:val="bottom"/>
            <w:hideMark/>
          </w:tcPr>
          <w:p w14:paraId="49BBA05C"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0.02</w:t>
            </w:r>
          </w:p>
        </w:tc>
        <w:tc>
          <w:tcPr>
            <w:tcW w:w="1398" w:type="dxa"/>
            <w:shd w:val="clear" w:color="000000" w:fill="FFFFFF" w:themeFill="background1"/>
            <w:vAlign w:val="bottom"/>
            <w:hideMark/>
          </w:tcPr>
          <w:p w14:paraId="3E03C429"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0.05</w:t>
            </w:r>
          </w:p>
        </w:tc>
        <w:tc>
          <w:tcPr>
            <w:tcW w:w="1398" w:type="dxa"/>
            <w:shd w:val="clear" w:color="000000" w:fill="FFFFFF" w:themeFill="background1"/>
            <w:vAlign w:val="bottom"/>
            <w:hideMark/>
          </w:tcPr>
          <w:p w14:paraId="31893176"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w:t>
            </w:r>
          </w:p>
        </w:tc>
        <w:tc>
          <w:tcPr>
            <w:tcW w:w="940" w:type="dxa"/>
            <w:shd w:val="clear" w:color="000000" w:fill="FFFFFF" w:themeFill="background1"/>
            <w:vAlign w:val="bottom"/>
            <w:hideMark/>
          </w:tcPr>
          <w:p w14:paraId="773B4A2A"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0.07</w:t>
            </w:r>
          </w:p>
        </w:tc>
        <w:tc>
          <w:tcPr>
            <w:tcW w:w="1291" w:type="dxa"/>
            <w:shd w:val="clear" w:color="000000" w:fill="FFFFFF" w:themeFill="background1"/>
            <w:noWrap/>
            <w:hideMark/>
          </w:tcPr>
          <w:p w14:paraId="38992658" w14:textId="7AE410A5"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6.15</w:t>
            </w:r>
          </w:p>
        </w:tc>
      </w:tr>
      <w:tr w:rsidR="007D30A8" w:rsidRPr="00263E20" w14:paraId="408F0EBC" w14:textId="77777777" w:rsidTr="00914DD2">
        <w:trPr>
          <w:trHeight w:val="460"/>
        </w:trPr>
        <w:tc>
          <w:tcPr>
            <w:tcW w:w="3307" w:type="dxa"/>
            <w:shd w:val="clear" w:color="000000" w:fill="FFFFFF" w:themeFill="background1"/>
            <w:vAlign w:val="bottom"/>
            <w:hideMark/>
          </w:tcPr>
          <w:p w14:paraId="299210E9" w14:textId="77777777" w:rsidR="007D30A8" w:rsidRPr="00914DD2" w:rsidRDefault="007D30A8" w:rsidP="007D30A8">
            <w:pPr>
              <w:keepNext/>
              <w:widowControl/>
              <w:autoSpaceDE/>
              <w:autoSpaceDN/>
              <w:adjustRightInd/>
              <w:rPr>
                <w:rFonts w:ascii="Times New Roman" w:hAnsi="Times New Roman"/>
                <w:bCs/>
                <w:sz w:val="22"/>
                <w:szCs w:val="22"/>
              </w:rPr>
            </w:pPr>
            <w:r w:rsidRPr="00914DD2">
              <w:rPr>
                <w:rFonts w:ascii="Times New Roman" w:hAnsi="Times New Roman"/>
                <w:bCs/>
                <w:sz w:val="22"/>
                <w:szCs w:val="22"/>
              </w:rPr>
              <w:t>Plan activities</w:t>
            </w:r>
          </w:p>
        </w:tc>
        <w:tc>
          <w:tcPr>
            <w:tcW w:w="1613" w:type="dxa"/>
            <w:shd w:val="clear" w:color="000000" w:fill="FFFFFF" w:themeFill="background1"/>
            <w:vAlign w:val="bottom"/>
            <w:hideMark/>
          </w:tcPr>
          <w:p w14:paraId="639F8BA4"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w:t>
            </w:r>
          </w:p>
        </w:tc>
        <w:tc>
          <w:tcPr>
            <w:tcW w:w="1398" w:type="dxa"/>
            <w:shd w:val="clear" w:color="000000" w:fill="FFFFFF" w:themeFill="background1"/>
            <w:vAlign w:val="bottom"/>
            <w:hideMark/>
          </w:tcPr>
          <w:p w14:paraId="7ABCF9FA"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w:t>
            </w:r>
          </w:p>
        </w:tc>
        <w:tc>
          <w:tcPr>
            <w:tcW w:w="1398" w:type="dxa"/>
            <w:shd w:val="clear" w:color="000000" w:fill="FFFFFF" w:themeFill="background1"/>
            <w:vAlign w:val="bottom"/>
            <w:hideMark/>
          </w:tcPr>
          <w:p w14:paraId="3ECEDF23"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w:t>
            </w:r>
          </w:p>
        </w:tc>
        <w:tc>
          <w:tcPr>
            <w:tcW w:w="940" w:type="dxa"/>
            <w:shd w:val="clear" w:color="000000" w:fill="FFFFFF" w:themeFill="background1"/>
            <w:vAlign w:val="bottom"/>
            <w:hideMark/>
          </w:tcPr>
          <w:p w14:paraId="21530A2C"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w:t>
            </w:r>
          </w:p>
        </w:tc>
        <w:tc>
          <w:tcPr>
            <w:tcW w:w="1291" w:type="dxa"/>
            <w:shd w:val="clear" w:color="000000" w:fill="FFFFFF" w:themeFill="background1"/>
            <w:noWrap/>
            <w:hideMark/>
          </w:tcPr>
          <w:p w14:paraId="09BA0644" w14:textId="1A5F8F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0.00</w:t>
            </w:r>
          </w:p>
        </w:tc>
      </w:tr>
      <w:tr w:rsidR="007D30A8" w:rsidRPr="00263E20" w14:paraId="32BE349C" w14:textId="77777777" w:rsidTr="00914DD2">
        <w:trPr>
          <w:trHeight w:val="460"/>
        </w:trPr>
        <w:tc>
          <w:tcPr>
            <w:tcW w:w="3307" w:type="dxa"/>
            <w:shd w:val="clear" w:color="000000" w:fill="FFFFFF" w:themeFill="background1"/>
            <w:vAlign w:val="bottom"/>
            <w:hideMark/>
          </w:tcPr>
          <w:p w14:paraId="4B350655" w14:textId="77777777" w:rsidR="007D30A8" w:rsidRPr="00914DD2" w:rsidRDefault="007D30A8" w:rsidP="007D30A8">
            <w:pPr>
              <w:keepNext/>
              <w:widowControl/>
              <w:autoSpaceDE/>
              <w:autoSpaceDN/>
              <w:adjustRightInd/>
              <w:rPr>
                <w:rFonts w:ascii="Times New Roman" w:hAnsi="Times New Roman"/>
                <w:bCs/>
                <w:sz w:val="22"/>
                <w:szCs w:val="22"/>
              </w:rPr>
            </w:pPr>
            <w:r w:rsidRPr="00914DD2">
              <w:rPr>
                <w:rFonts w:ascii="Times New Roman" w:hAnsi="Times New Roman"/>
                <w:bCs/>
                <w:sz w:val="22"/>
                <w:szCs w:val="22"/>
              </w:rPr>
              <w:t>Create information</w:t>
            </w:r>
          </w:p>
        </w:tc>
        <w:tc>
          <w:tcPr>
            <w:tcW w:w="1613" w:type="dxa"/>
            <w:shd w:val="clear" w:color="000000" w:fill="FFFFFF" w:themeFill="background1"/>
            <w:vAlign w:val="bottom"/>
            <w:hideMark/>
          </w:tcPr>
          <w:p w14:paraId="4C40C205"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w:t>
            </w:r>
          </w:p>
        </w:tc>
        <w:tc>
          <w:tcPr>
            <w:tcW w:w="1398" w:type="dxa"/>
            <w:shd w:val="clear" w:color="000000" w:fill="FFFFFF" w:themeFill="background1"/>
            <w:vAlign w:val="bottom"/>
            <w:hideMark/>
          </w:tcPr>
          <w:p w14:paraId="6B601D2B"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w:t>
            </w:r>
          </w:p>
        </w:tc>
        <w:tc>
          <w:tcPr>
            <w:tcW w:w="1398" w:type="dxa"/>
            <w:shd w:val="clear" w:color="000000" w:fill="FFFFFF" w:themeFill="background1"/>
            <w:vAlign w:val="bottom"/>
            <w:hideMark/>
          </w:tcPr>
          <w:p w14:paraId="614BF547"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w:t>
            </w:r>
          </w:p>
        </w:tc>
        <w:tc>
          <w:tcPr>
            <w:tcW w:w="940" w:type="dxa"/>
            <w:shd w:val="clear" w:color="000000" w:fill="FFFFFF" w:themeFill="background1"/>
            <w:vAlign w:val="bottom"/>
            <w:hideMark/>
          </w:tcPr>
          <w:p w14:paraId="3A0D8BF8"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w:t>
            </w:r>
          </w:p>
        </w:tc>
        <w:tc>
          <w:tcPr>
            <w:tcW w:w="1291" w:type="dxa"/>
            <w:shd w:val="clear" w:color="000000" w:fill="FFFFFF" w:themeFill="background1"/>
            <w:noWrap/>
            <w:hideMark/>
          </w:tcPr>
          <w:p w14:paraId="34BF8781" w14:textId="5F0F9614"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0.00</w:t>
            </w:r>
          </w:p>
        </w:tc>
      </w:tr>
      <w:tr w:rsidR="007D30A8" w:rsidRPr="00263E20" w14:paraId="752F8666" w14:textId="77777777" w:rsidTr="00914DD2">
        <w:trPr>
          <w:trHeight w:val="460"/>
        </w:trPr>
        <w:tc>
          <w:tcPr>
            <w:tcW w:w="3307" w:type="dxa"/>
            <w:shd w:val="clear" w:color="000000" w:fill="FFFFFF" w:themeFill="background1"/>
            <w:vAlign w:val="bottom"/>
            <w:hideMark/>
          </w:tcPr>
          <w:p w14:paraId="45F508DB" w14:textId="77777777" w:rsidR="007D30A8" w:rsidRPr="00914DD2" w:rsidRDefault="007D30A8" w:rsidP="007D30A8">
            <w:pPr>
              <w:keepNext/>
              <w:widowControl/>
              <w:autoSpaceDE/>
              <w:autoSpaceDN/>
              <w:adjustRightInd/>
              <w:rPr>
                <w:rFonts w:ascii="Times New Roman" w:hAnsi="Times New Roman"/>
                <w:bCs/>
                <w:sz w:val="22"/>
                <w:szCs w:val="22"/>
              </w:rPr>
            </w:pPr>
            <w:r w:rsidRPr="00914DD2">
              <w:rPr>
                <w:rFonts w:ascii="Times New Roman" w:hAnsi="Times New Roman"/>
                <w:bCs/>
                <w:sz w:val="22"/>
                <w:szCs w:val="22"/>
              </w:rPr>
              <w:t>Gather information, including label and supporting information</w:t>
            </w:r>
          </w:p>
        </w:tc>
        <w:tc>
          <w:tcPr>
            <w:tcW w:w="1613" w:type="dxa"/>
            <w:shd w:val="clear" w:color="000000" w:fill="FFFFFF" w:themeFill="background1"/>
            <w:vAlign w:val="bottom"/>
            <w:hideMark/>
          </w:tcPr>
          <w:p w14:paraId="64619EA3"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w:t>
            </w:r>
          </w:p>
        </w:tc>
        <w:tc>
          <w:tcPr>
            <w:tcW w:w="1398" w:type="dxa"/>
            <w:shd w:val="clear" w:color="000000" w:fill="FFFFFF" w:themeFill="background1"/>
            <w:vAlign w:val="bottom"/>
            <w:hideMark/>
          </w:tcPr>
          <w:p w14:paraId="100FAE55"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0.03</w:t>
            </w:r>
          </w:p>
        </w:tc>
        <w:tc>
          <w:tcPr>
            <w:tcW w:w="1398" w:type="dxa"/>
            <w:shd w:val="clear" w:color="000000" w:fill="FFFFFF" w:themeFill="background1"/>
            <w:vAlign w:val="bottom"/>
            <w:hideMark/>
          </w:tcPr>
          <w:p w14:paraId="449FA18F"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0.04</w:t>
            </w:r>
          </w:p>
        </w:tc>
        <w:tc>
          <w:tcPr>
            <w:tcW w:w="940" w:type="dxa"/>
            <w:shd w:val="clear" w:color="000000" w:fill="FFFFFF" w:themeFill="background1"/>
            <w:vAlign w:val="bottom"/>
            <w:hideMark/>
          </w:tcPr>
          <w:p w14:paraId="3B05CB02"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0.07</w:t>
            </w:r>
          </w:p>
        </w:tc>
        <w:tc>
          <w:tcPr>
            <w:tcW w:w="1291" w:type="dxa"/>
            <w:shd w:val="clear" w:color="000000" w:fill="FFFFFF" w:themeFill="background1"/>
            <w:noWrap/>
            <w:hideMark/>
          </w:tcPr>
          <w:p w14:paraId="6849E052" w14:textId="73FD72E6"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3.87</w:t>
            </w:r>
          </w:p>
        </w:tc>
      </w:tr>
      <w:tr w:rsidR="007D30A8" w:rsidRPr="00263E20" w14:paraId="5B9EE9AC" w14:textId="77777777" w:rsidTr="00914DD2">
        <w:trPr>
          <w:trHeight w:val="460"/>
        </w:trPr>
        <w:tc>
          <w:tcPr>
            <w:tcW w:w="3307" w:type="dxa"/>
            <w:shd w:val="clear" w:color="000000" w:fill="FFFFFF" w:themeFill="background1"/>
            <w:vAlign w:val="bottom"/>
            <w:hideMark/>
          </w:tcPr>
          <w:p w14:paraId="3B43E460" w14:textId="77777777" w:rsidR="007D30A8" w:rsidRPr="00914DD2" w:rsidRDefault="007D30A8" w:rsidP="007D30A8">
            <w:pPr>
              <w:keepNext/>
              <w:widowControl/>
              <w:autoSpaceDE/>
              <w:autoSpaceDN/>
              <w:adjustRightInd/>
              <w:rPr>
                <w:rFonts w:ascii="Times New Roman" w:hAnsi="Times New Roman"/>
                <w:bCs/>
                <w:sz w:val="22"/>
                <w:szCs w:val="22"/>
              </w:rPr>
            </w:pPr>
            <w:r w:rsidRPr="00914DD2">
              <w:rPr>
                <w:rFonts w:ascii="Times New Roman" w:hAnsi="Times New Roman"/>
                <w:bCs/>
                <w:sz w:val="22"/>
                <w:szCs w:val="22"/>
              </w:rPr>
              <w:t>Process, compile, review information for accuracy</w:t>
            </w:r>
          </w:p>
        </w:tc>
        <w:tc>
          <w:tcPr>
            <w:tcW w:w="1613" w:type="dxa"/>
            <w:shd w:val="clear" w:color="000000" w:fill="FFFFFF" w:themeFill="background1"/>
            <w:vAlign w:val="bottom"/>
            <w:hideMark/>
          </w:tcPr>
          <w:p w14:paraId="369D1150"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0.02</w:t>
            </w:r>
          </w:p>
        </w:tc>
        <w:tc>
          <w:tcPr>
            <w:tcW w:w="1398" w:type="dxa"/>
            <w:shd w:val="clear" w:color="000000" w:fill="FFFFFF" w:themeFill="background1"/>
            <w:vAlign w:val="bottom"/>
            <w:hideMark/>
          </w:tcPr>
          <w:p w14:paraId="42AE0D1E"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0.05</w:t>
            </w:r>
          </w:p>
        </w:tc>
        <w:tc>
          <w:tcPr>
            <w:tcW w:w="1398" w:type="dxa"/>
            <w:shd w:val="clear" w:color="000000" w:fill="FFFFFF" w:themeFill="background1"/>
            <w:vAlign w:val="bottom"/>
            <w:hideMark/>
          </w:tcPr>
          <w:p w14:paraId="2A3A16AF"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w:t>
            </w:r>
          </w:p>
        </w:tc>
        <w:tc>
          <w:tcPr>
            <w:tcW w:w="940" w:type="dxa"/>
            <w:shd w:val="clear" w:color="000000" w:fill="FFFFFF" w:themeFill="background1"/>
            <w:vAlign w:val="bottom"/>
            <w:hideMark/>
          </w:tcPr>
          <w:p w14:paraId="118508CD"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0.07</w:t>
            </w:r>
          </w:p>
        </w:tc>
        <w:tc>
          <w:tcPr>
            <w:tcW w:w="1291" w:type="dxa"/>
            <w:shd w:val="clear" w:color="000000" w:fill="FFFFFF" w:themeFill="background1"/>
            <w:noWrap/>
            <w:hideMark/>
          </w:tcPr>
          <w:p w14:paraId="37AF500E" w14:textId="5D2DE880"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6.15</w:t>
            </w:r>
          </w:p>
        </w:tc>
      </w:tr>
      <w:tr w:rsidR="007D30A8" w:rsidRPr="00263E20" w14:paraId="0BBFEAC4" w14:textId="77777777" w:rsidTr="00914DD2">
        <w:trPr>
          <w:trHeight w:val="460"/>
        </w:trPr>
        <w:tc>
          <w:tcPr>
            <w:tcW w:w="3307" w:type="dxa"/>
            <w:shd w:val="clear" w:color="000000" w:fill="FFFFFF" w:themeFill="background1"/>
            <w:vAlign w:val="bottom"/>
            <w:hideMark/>
          </w:tcPr>
          <w:p w14:paraId="7A775B59" w14:textId="77777777" w:rsidR="007D30A8" w:rsidRPr="00914DD2" w:rsidRDefault="007D30A8" w:rsidP="007D30A8">
            <w:pPr>
              <w:keepNext/>
              <w:widowControl/>
              <w:autoSpaceDE/>
              <w:autoSpaceDN/>
              <w:adjustRightInd/>
              <w:rPr>
                <w:rFonts w:ascii="Times New Roman" w:hAnsi="Times New Roman"/>
                <w:bCs/>
                <w:sz w:val="22"/>
                <w:szCs w:val="22"/>
              </w:rPr>
            </w:pPr>
            <w:r w:rsidRPr="00914DD2">
              <w:rPr>
                <w:rFonts w:ascii="Times New Roman" w:hAnsi="Times New Roman"/>
                <w:bCs/>
                <w:sz w:val="22"/>
                <w:szCs w:val="22"/>
              </w:rPr>
              <w:t>Complete written forms</w:t>
            </w:r>
          </w:p>
        </w:tc>
        <w:tc>
          <w:tcPr>
            <w:tcW w:w="1613" w:type="dxa"/>
            <w:shd w:val="clear" w:color="000000" w:fill="FFFFFF" w:themeFill="background1"/>
            <w:vAlign w:val="bottom"/>
            <w:hideMark/>
          </w:tcPr>
          <w:p w14:paraId="4FF86CCD"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w:t>
            </w:r>
          </w:p>
        </w:tc>
        <w:tc>
          <w:tcPr>
            <w:tcW w:w="1398" w:type="dxa"/>
            <w:shd w:val="clear" w:color="000000" w:fill="FFFFFF" w:themeFill="background1"/>
            <w:vAlign w:val="bottom"/>
            <w:hideMark/>
          </w:tcPr>
          <w:p w14:paraId="0872DDE7"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0.04</w:t>
            </w:r>
          </w:p>
        </w:tc>
        <w:tc>
          <w:tcPr>
            <w:tcW w:w="1398" w:type="dxa"/>
            <w:shd w:val="clear" w:color="000000" w:fill="FFFFFF" w:themeFill="background1"/>
            <w:vAlign w:val="bottom"/>
            <w:hideMark/>
          </w:tcPr>
          <w:p w14:paraId="39B789D6"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0.04</w:t>
            </w:r>
          </w:p>
        </w:tc>
        <w:tc>
          <w:tcPr>
            <w:tcW w:w="940" w:type="dxa"/>
            <w:shd w:val="clear" w:color="000000" w:fill="FFFFFF" w:themeFill="background1"/>
            <w:vAlign w:val="bottom"/>
            <w:hideMark/>
          </w:tcPr>
          <w:p w14:paraId="512FA2F2"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0.08</w:t>
            </w:r>
          </w:p>
        </w:tc>
        <w:tc>
          <w:tcPr>
            <w:tcW w:w="1291" w:type="dxa"/>
            <w:shd w:val="clear" w:color="000000" w:fill="FFFFFF" w:themeFill="background1"/>
            <w:noWrap/>
            <w:hideMark/>
          </w:tcPr>
          <w:p w14:paraId="2B8AED57" w14:textId="453D5596"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4.60</w:t>
            </w:r>
          </w:p>
        </w:tc>
      </w:tr>
      <w:tr w:rsidR="007D30A8" w:rsidRPr="00263E20" w14:paraId="466A10CC" w14:textId="77777777" w:rsidTr="00914DD2">
        <w:trPr>
          <w:trHeight w:val="460"/>
        </w:trPr>
        <w:tc>
          <w:tcPr>
            <w:tcW w:w="3307" w:type="dxa"/>
            <w:shd w:val="clear" w:color="000000" w:fill="FFFFFF" w:themeFill="background1"/>
            <w:vAlign w:val="bottom"/>
            <w:hideMark/>
          </w:tcPr>
          <w:p w14:paraId="5C9E119B" w14:textId="77777777" w:rsidR="007D30A8" w:rsidRPr="00914DD2" w:rsidRDefault="007D30A8" w:rsidP="007D30A8">
            <w:pPr>
              <w:keepNext/>
              <w:widowControl/>
              <w:autoSpaceDE/>
              <w:autoSpaceDN/>
              <w:adjustRightInd/>
              <w:rPr>
                <w:rFonts w:ascii="Times New Roman" w:hAnsi="Times New Roman"/>
                <w:bCs/>
                <w:sz w:val="22"/>
                <w:szCs w:val="22"/>
              </w:rPr>
            </w:pPr>
            <w:r w:rsidRPr="00914DD2">
              <w:rPr>
                <w:rFonts w:ascii="Times New Roman" w:hAnsi="Times New Roman"/>
                <w:bCs/>
                <w:sz w:val="22"/>
                <w:szCs w:val="22"/>
              </w:rPr>
              <w:t>Record, disclose, or display information</w:t>
            </w:r>
          </w:p>
        </w:tc>
        <w:tc>
          <w:tcPr>
            <w:tcW w:w="1613" w:type="dxa"/>
            <w:shd w:val="clear" w:color="000000" w:fill="FFFFFF" w:themeFill="background1"/>
            <w:vAlign w:val="bottom"/>
            <w:hideMark/>
          </w:tcPr>
          <w:p w14:paraId="37164E30"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w:t>
            </w:r>
          </w:p>
        </w:tc>
        <w:tc>
          <w:tcPr>
            <w:tcW w:w="1398" w:type="dxa"/>
            <w:shd w:val="clear" w:color="000000" w:fill="FFFFFF" w:themeFill="background1"/>
            <w:vAlign w:val="bottom"/>
            <w:hideMark/>
          </w:tcPr>
          <w:p w14:paraId="6DC249F9"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0.07</w:t>
            </w:r>
          </w:p>
        </w:tc>
        <w:tc>
          <w:tcPr>
            <w:tcW w:w="1398" w:type="dxa"/>
            <w:shd w:val="clear" w:color="000000" w:fill="FFFFFF" w:themeFill="background1"/>
            <w:vAlign w:val="bottom"/>
            <w:hideMark/>
          </w:tcPr>
          <w:p w14:paraId="519CBAAF"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0.07</w:t>
            </w:r>
          </w:p>
        </w:tc>
        <w:tc>
          <w:tcPr>
            <w:tcW w:w="940" w:type="dxa"/>
            <w:shd w:val="clear" w:color="000000" w:fill="FFFFFF" w:themeFill="background1"/>
            <w:vAlign w:val="bottom"/>
            <w:hideMark/>
          </w:tcPr>
          <w:p w14:paraId="04B2B4B4"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0.14</w:t>
            </w:r>
          </w:p>
        </w:tc>
        <w:tc>
          <w:tcPr>
            <w:tcW w:w="1291" w:type="dxa"/>
            <w:shd w:val="clear" w:color="000000" w:fill="FFFFFF" w:themeFill="background1"/>
            <w:noWrap/>
            <w:hideMark/>
          </w:tcPr>
          <w:p w14:paraId="56CB0ACC" w14:textId="5D092239"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8.05</w:t>
            </w:r>
          </w:p>
        </w:tc>
      </w:tr>
      <w:tr w:rsidR="007D30A8" w:rsidRPr="00263E20" w14:paraId="5BF88BE1" w14:textId="77777777" w:rsidTr="00914DD2">
        <w:trPr>
          <w:trHeight w:val="460"/>
        </w:trPr>
        <w:tc>
          <w:tcPr>
            <w:tcW w:w="3307" w:type="dxa"/>
            <w:shd w:val="clear" w:color="000000" w:fill="FFFFFF" w:themeFill="background1"/>
            <w:vAlign w:val="bottom"/>
            <w:hideMark/>
          </w:tcPr>
          <w:p w14:paraId="6E133008" w14:textId="77777777" w:rsidR="007D30A8" w:rsidRPr="00914DD2" w:rsidRDefault="007D30A8" w:rsidP="007D30A8">
            <w:pPr>
              <w:keepNext/>
              <w:widowControl/>
              <w:autoSpaceDE/>
              <w:autoSpaceDN/>
              <w:adjustRightInd/>
              <w:rPr>
                <w:rFonts w:ascii="Times New Roman" w:hAnsi="Times New Roman"/>
                <w:bCs/>
                <w:sz w:val="22"/>
                <w:szCs w:val="22"/>
              </w:rPr>
            </w:pPr>
            <w:r w:rsidRPr="00914DD2">
              <w:rPr>
                <w:rFonts w:ascii="Times New Roman" w:hAnsi="Times New Roman"/>
                <w:bCs/>
                <w:sz w:val="22"/>
                <w:szCs w:val="22"/>
              </w:rPr>
              <w:t>Store, file, or maintain information</w:t>
            </w:r>
          </w:p>
        </w:tc>
        <w:tc>
          <w:tcPr>
            <w:tcW w:w="1613" w:type="dxa"/>
            <w:shd w:val="clear" w:color="000000" w:fill="FFFFFF" w:themeFill="background1"/>
            <w:vAlign w:val="bottom"/>
            <w:hideMark/>
          </w:tcPr>
          <w:p w14:paraId="71269F82"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w:t>
            </w:r>
          </w:p>
        </w:tc>
        <w:tc>
          <w:tcPr>
            <w:tcW w:w="1398" w:type="dxa"/>
            <w:shd w:val="clear" w:color="000000" w:fill="FFFFFF" w:themeFill="background1"/>
            <w:vAlign w:val="bottom"/>
            <w:hideMark/>
          </w:tcPr>
          <w:p w14:paraId="71C24120"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w:t>
            </w:r>
          </w:p>
        </w:tc>
        <w:tc>
          <w:tcPr>
            <w:tcW w:w="1398" w:type="dxa"/>
            <w:shd w:val="clear" w:color="000000" w:fill="FFFFFF" w:themeFill="background1"/>
            <w:vAlign w:val="bottom"/>
            <w:hideMark/>
          </w:tcPr>
          <w:p w14:paraId="44494F0D"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0.07</w:t>
            </w:r>
          </w:p>
        </w:tc>
        <w:tc>
          <w:tcPr>
            <w:tcW w:w="940" w:type="dxa"/>
            <w:shd w:val="clear" w:color="000000" w:fill="FFFFFF" w:themeFill="background1"/>
            <w:vAlign w:val="bottom"/>
            <w:hideMark/>
          </w:tcPr>
          <w:p w14:paraId="4B6A8B40"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0.07</w:t>
            </w:r>
          </w:p>
        </w:tc>
        <w:tc>
          <w:tcPr>
            <w:tcW w:w="1291" w:type="dxa"/>
            <w:shd w:val="clear" w:color="000000" w:fill="FFFFFF" w:themeFill="background1"/>
            <w:noWrap/>
            <w:hideMark/>
          </w:tcPr>
          <w:p w14:paraId="516CF4CF" w14:textId="4272D08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2.92</w:t>
            </w:r>
          </w:p>
        </w:tc>
      </w:tr>
      <w:tr w:rsidR="007D30A8" w:rsidRPr="00263E20" w14:paraId="4DFCB83A" w14:textId="77777777" w:rsidTr="00914DD2">
        <w:trPr>
          <w:trHeight w:val="460"/>
        </w:trPr>
        <w:tc>
          <w:tcPr>
            <w:tcW w:w="3307" w:type="dxa"/>
            <w:shd w:val="clear" w:color="000000" w:fill="FFFFFF" w:themeFill="background1"/>
            <w:vAlign w:val="bottom"/>
            <w:hideMark/>
          </w:tcPr>
          <w:p w14:paraId="691B190B" w14:textId="1FA2CCD8" w:rsidR="007D30A8" w:rsidRPr="00914DD2" w:rsidRDefault="007D30A8" w:rsidP="007D30A8">
            <w:pPr>
              <w:keepNext/>
              <w:widowControl/>
              <w:autoSpaceDE/>
              <w:autoSpaceDN/>
              <w:adjustRightInd/>
              <w:rPr>
                <w:rFonts w:ascii="Times New Roman" w:hAnsi="Times New Roman"/>
                <w:b/>
                <w:bCs/>
                <w:sz w:val="22"/>
                <w:szCs w:val="22"/>
                <w:vertAlign w:val="superscript"/>
              </w:rPr>
            </w:pPr>
            <w:r w:rsidRPr="00914DD2">
              <w:rPr>
                <w:rFonts w:ascii="Times New Roman" w:hAnsi="Times New Roman"/>
                <w:b/>
                <w:bCs/>
                <w:sz w:val="22"/>
                <w:szCs w:val="22"/>
              </w:rPr>
              <w:t xml:space="preserve"> TOTAL BURDEN</w:t>
            </w:r>
            <w:r w:rsidR="00703253">
              <w:rPr>
                <w:rFonts w:ascii="Times New Roman" w:hAnsi="Times New Roman"/>
                <w:b/>
                <w:bCs/>
                <w:sz w:val="22"/>
                <w:szCs w:val="22"/>
                <w:vertAlign w:val="superscript"/>
              </w:rPr>
              <w:t>2</w:t>
            </w:r>
          </w:p>
        </w:tc>
        <w:tc>
          <w:tcPr>
            <w:tcW w:w="1613" w:type="dxa"/>
            <w:shd w:val="clear" w:color="000000" w:fill="FFFFFF" w:themeFill="background1"/>
            <w:vAlign w:val="bottom"/>
            <w:hideMark/>
          </w:tcPr>
          <w:p w14:paraId="4F9CA0D3"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0.04</w:t>
            </w:r>
          </w:p>
        </w:tc>
        <w:tc>
          <w:tcPr>
            <w:tcW w:w="1398" w:type="dxa"/>
            <w:shd w:val="clear" w:color="000000" w:fill="FFFFFF" w:themeFill="background1"/>
            <w:vAlign w:val="bottom"/>
            <w:hideMark/>
          </w:tcPr>
          <w:p w14:paraId="46D292B9"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0.24</w:t>
            </w:r>
          </w:p>
        </w:tc>
        <w:tc>
          <w:tcPr>
            <w:tcW w:w="1398" w:type="dxa"/>
            <w:shd w:val="clear" w:color="000000" w:fill="FFFFFF" w:themeFill="background1"/>
            <w:vAlign w:val="bottom"/>
            <w:hideMark/>
          </w:tcPr>
          <w:p w14:paraId="17539568" w14:textId="77777777" w:rsidR="007D30A8" w:rsidRPr="00914DD2" w:rsidRDefault="007D30A8" w:rsidP="007D30A8">
            <w:pPr>
              <w:keepNext/>
              <w:widowControl/>
              <w:autoSpaceDE/>
              <w:autoSpaceDN/>
              <w:adjustRightInd/>
              <w:jc w:val="center"/>
              <w:rPr>
                <w:rFonts w:ascii="Times New Roman" w:hAnsi="Times New Roman"/>
                <w:bCs/>
                <w:sz w:val="22"/>
                <w:szCs w:val="22"/>
              </w:rPr>
            </w:pPr>
            <w:r w:rsidRPr="00914DD2">
              <w:rPr>
                <w:rFonts w:ascii="Times New Roman" w:hAnsi="Times New Roman"/>
                <w:bCs/>
                <w:sz w:val="22"/>
                <w:szCs w:val="22"/>
              </w:rPr>
              <w:t>0.22</w:t>
            </w:r>
          </w:p>
        </w:tc>
        <w:tc>
          <w:tcPr>
            <w:tcW w:w="940" w:type="dxa"/>
            <w:shd w:val="clear" w:color="000000" w:fill="FFFFFF" w:themeFill="background1"/>
            <w:vAlign w:val="bottom"/>
            <w:hideMark/>
          </w:tcPr>
          <w:p w14:paraId="7C977438" w14:textId="0110CA8F" w:rsidR="007D30A8" w:rsidRPr="00914DD2" w:rsidRDefault="007D30A8" w:rsidP="00914DD2">
            <w:pPr>
              <w:keepNext/>
              <w:widowControl/>
              <w:autoSpaceDE/>
              <w:autoSpaceDN/>
              <w:adjustRightInd/>
              <w:jc w:val="center"/>
              <w:rPr>
                <w:rFonts w:ascii="Times New Roman" w:hAnsi="Times New Roman"/>
                <w:b/>
                <w:bCs/>
                <w:sz w:val="22"/>
                <w:szCs w:val="22"/>
              </w:rPr>
            </w:pPr>
            <w:r w:rsidRPr="00914DD2">
              <w:rPr>
                <w:rFonts w:ascii="Times New Roman" w:hAnsi="Times New Roman"/>
                <w:b/>
                <w:bCs/>
                <w:sz w:val="22"/>
                <w:szCs w:val="22"/>
              </w:rPr>
              <w:t>0.50</w:t>
            </w:r>
          </w:p>
        </w:tc>
        <w:tc>
          <w:tcPr>
            <w:tcW w:w="1291" w:type="dxa"/>
            <w:shd w:val="clear" w:color="000000" w:fill="FFFFFF" w:themeFill="background1"/>
            <w:noWrap/>
            <w:hideMark/>
          </w:tcPr>
          <w:p w14:paraId="693D0FEC" w14:textId="77777777" w:rsidR="00B5646A" w:rsidRPr="00914DD2" w:rsidRDefault="00B5646A" w:rsidP="007D30A8">
            <w:pPr>
              <w:keepNext/>
              <w:widowControl/>
              <w:autoSpaceDE/>
              <w:autoSpaceDN/>
              <w:adjustRightInd/>
              <w:jc w:val="center"/>
              <w:rPr>
                <w:rFonts w:ascii="Times New Roman" w:hAnsi="Times New Roman"/>
                <w:b/>
                <w:bCs/>
                <w:sz w:val="22"/>
                <w:szCs w:val="22"/>
              </w:rPr>
            </w:pPr>
          </w:p>
          <w:p w14:paraId="59528672" w14:textId="49B6B37E" w:rsidR="007D30A8" w:rsidRPr="00914DD2" w:rsidRDefault="00B5646A" w:rsidP="007D30A8">
            <w:pPr>
              <w:keepNext/>
              <w:widowControl/>
              <w:autoSpaceDE/>
              <w:autoSpaceDN/>
              <w:adjustRightInd/>
              <w:jc w:val="center"/>
              <w:rPr>
                <w:rFonts w:ascii="Times New Roman" w:hAnsi="Times New Roman"/>
                <w:b/>
                <w:bCs/>
                <w:sz w:val="22"/>
                <w:szCs w:val="22"/>
              </w:rPr>
            </w:pPr>
            <w:r w:rsidRPr="00914DD2">
              <w:rPr>
                <w:rFonts w:ascii="Times New Roman" w:hAnsi="Times New Roman"/>
                <w:b/>
                <w:bCs/>
                <w:sz w:val="22"/>
                <w:szCs w:val="22"/>
              </w:rPr>
              <w:t>$</w:t>
            </w:r>
            <w:r w:rsidR="007D30A8" w:rsidRPr="00914DD2">
              <w:rPr>
                <w:rFonts w:ascii="Times New Roman" w:hAnsi="Times New Roman"/>
                <w:b/>
                <w:bCs/>
                <w:sz w:val="22"/>
                <w:szCs w:val="22"/>
              </w:rPr>
              <w:t>31.74</w:t>
            </w:r>
          </w:p>
        </w:tc>
      </w:tr>
    </w:tbl>
    <w:p w14:paraId="733469BA" w14:textId="1767EF0D" w:rsidR="00A936C2" w:rsidRPr="00263E20" w:rsidRDefault="00100BD5" w:rsidP="004C0BBA">
      <w:pPr>
        <w:tabs>
          <w:tab w:val="left" w:pos="-1440"/>
          <w:tab w:val="left" w:pos="-720"/>
          <w:tab w:val="decimal" w:pos="180"/>
        </w:tabs>
        <w:ind w:left="90"/>
        <w:rPr>
          <w:rFonts w:ascii="Times New Roman" w:hAnsi="Times New Roman"/>
          <w:sz w:val="20"/>
          <w:szCs w:val="20"/>
        </w:rPr>
      </w:pPr>
      <w:r w:rsidRPr="00263E20">
        <w:rPr>
          <w:rFonts w:ascii="Times New Roman" w:hAnsi="Times New Roman"/>
          <w:sz w:val="20"/>
          <w:szCs w:val="20"/>
          <w:vertAlign w:val="superscript"/>
        </w:rPr>
        <w:t>1</w:t>
      </w:r>
      <w:r w:rsidRPr="00263E20">
        <w:rPr>
          <w:rFonts w:ascii="Times New Roman" w:hAnsi="Times New Roman"/>
          <w:sz w:val="20"/>
          <w:szCs w:val="20"/>
        </w:rPr>
        <w:t xml:space="preserve"> Hourly wages rates are fully loaded wage rates based on NAICS 325300 - Pesticide, Fertilizer, and Other Agricultural Chemical Manufacturing from U.S. Dept. of Labor, Bureau of Labor Statistics, </w:t>
      </w:r>
      <w:r w:rsidR="00B5646A" w:rsidRPr="00263E20">
        <w:rPr>
          <w:rFonts w:ascii="Times New Roman" w:hAnsi="Times New Roman"/>
          <w:sz w:val="20"/>
          <w:szCs w:val="20"/>
        </w:rPr>
        <w:t>2014 data, Accessed March 2016</w:t>
      </w:r>
      <w:r w:rsidRPr="00263E20">
        <w:rPr>
          <w:rFonts w:ascii="Times New Roman" w:hAnsi="Times New Roman"/>
          <w:sz w:val="20"/>
          <w:szCs w:val="20"/>
        </w:rPr>
        <w:t xml:space="preserve">. See Attachment </w:t>
      </w:r>
      <w:r w:rsidR="006D203F">
        <w:rPr>
          <w:rFonts w:ascii="Times New Roman" w:hAnsi="Times New Roman"/>
          <w:sz w:val="20"/>
          <w:szCs w:val="20"/>
        </w:rPr>
        <w:t>G</w:t>
      </w:r>
      <w:r w:rsidRPr="00263E20">
        <w:rPr>
          <w:rFonts w:ascii="Times New Roman" w:hAnsi="Times New Roman"/>
          <w:sz w:val="20"/>
          <w:szCs w:val="20"/>
        </w:rPr>
        <w:t xml:space="preserve"> for wage calculations. </w:t>
      </w:r>
    </w:p>
    <w:p w14:paraId="3CC8EA8C" w14:textId="77777777" w:rsidR="00A936C2" w:rsidRPr="00263E20" w:rsidRDefault="00100BD5" w:rsidP="004C0BBA">
      <w:pPr>
        <w:tabs>
          <w:tab w:val="left" w:pos="-1440"/>
          <w:tab w:val="left" w:pos="-720"/>
          <w:tab w:val="decimal" w:pos="180"/>
        </w:tabs>
        <w:ind w:left="90"/>
        <w:rPr>
          <w:rFonts w:ascii="Times New Roman" w:hAnsi="Times New Roman"/>
          <w:sz w:val="20"/>
          <w:szCs w:val="20"/>
        </w:rPr>
      </w:pPr>
      <w:r w:rsidRPr="00263E20">
        <w:rPr>
          <w:rFonts w:ascii="Times New Roman" w:hAnsi="Times New Roman"/>
          <w:sz w:val="20"/>
          <w:szCs w:val="20"/>
          <w:vertAlign w:val="superscript"/>
        </w:rPr>
        <w:t>2</w:t>
      </w:r>
      <w:r w:rsidRPr="00263E20">
        <w:rPr>
          <w:rFonts w:ascii="Times New Roman" w:hAnsi="Times New Roman"/>
          <w:sz w:val="20"/>
          <w:szCs w:val="20"/>
        </w:rPr>
        <w:t xml:space="preserve"> Totals may not sum due to rounding.</w:t>
      </w:r>
    </w:p>
    <w:p w14:paraId="02DADEF2" w14:textId="148BF1C7" w:rsidR="00DA0C25" w:rsidRPr="00263E20" w:rsidRDefault="00DA0C25" w:rsidP="00914DD2">
      <w:pPr>
        <w:keepNext/>
        <w:tabs>
          <w:tab w:val="left" w:pos="-1440"/>
          <w:tab w:val="left" w:pos="-720"/>
          <w:tab w:val="decimal" w:pos="0"/>
        </w:tabs>
        <w:rPr>
          <w:rFonts w:ascii="Times New Roman" w:hAnsi="Times New Roman"/>
          <w:sz w:val="20"/>
          <w:szCs w:val="20"/>
        </w:rPr>
      </w:pPr>
    </w:p>
    <w:p w14:paraId="21A7947A" w14:textId="576B3C1C" w:rsidR="00DA0C25" w:rsidRPr="00263E20" w:rsidRDefault="00CE255F">
      <w:pPr>
        <w:keepNext/>
        <w:tabs>
          <w:tab w:val="left" w:pos="-1440"/>
          <w:tab w:val="left" w:pos="-720"/>
          <w:tab w:val="decimal" w:pos="0"/>
        </w:tabs>
        <w:ind w:firstLine="720"/>
        <w:rPr>
          <w:rFonts w:ascii="Times New Roman" w:hAnsi="Times New Roman"/>
        </w:rPr>
      </w:pPr>
      <w:r w:rsidRPr="00263E20">
        <w:rPr>
          <w:rFonts w:ascii="Times New Roman" w:hAnsi="Times New Roman"/>
        </w:rPr>
        <w:t xml:space="preserve">The estimated total annual burden for unregistered pesticides is shown in Table 5. The total annual burden for unregistered pesticides and </w:t>
      </w:r>
      <w:r w:rsidR="001D582F" w:rsidRPr="00263E20">
        <w:rPr>
          <w:rFonts w:ascii="Times New Roman" w:hAnsi="Times New Roman"/>
        </w:rPr>
        <w:t xml:space="preserve">pesticidal </w:t>
      </w:r>
      <w:r w:rsidRPr="00263E20">
        <w:rPr>
          <w:rFonts w:ascii="Times New Roman" w:hAnsi="Times New Roman"/>
        </w:rPr>
        <w:t>devices is estimate</w:t>
      </w:r>
      <w:r w:rsidR="00B21A1F">
        <w:rPr>
          <w:rFonts w:ascii="Times New Roman" w:hAnsi="Times New Roman"/>
        </w:rPr>
        <w:t>d</w:t>
      </w:r>
      <w:r w:rsidRPr="00263E20">
        <w:rPr>
          <w:rFonts w:ascii="Times New Roman" w:hAnsi="Times New Roman"/>
        </w:rPr>
        <w:t xml:space="preserve"> to be 5,</w:t>
      </w:r>
      <w:r w:rsidR="00B5646A" w:rsidRPr="00263E20">
        <w:rPr>
          <w:rFonts w:ascii="Times New Roman" w:hAnsi="Times New Roman"/>
        </w:rPr>
        <w:t>70</w:t>
      </w:r>
      <w:r w:rsidRPr="00263E20">
        <w:rPr>
          <w:rFonts w:ascii="Times New Roman" w:hAnsi="Times New Roman"/>
        </w:rPr>
        <w:t xml:space="preserve">0 burden hours, at a cost of </w:t>
      </w:r>
      <w:r w:rsidR="00B5646A" w:rsidRPr="00914DD2">
        <w:rPr>
          <w:rFonts w:ascii="Times New Roman" w:hAnsi="Times New Roman"/>
        </w:rPr>
        <w:t>$361,874</w:t>
      </w:r>
      <w:r w:rsidRPr="00263E20">
        <w:rPr>
          <w:rFonts w:ascii="Times New Roman" w:hAnsi="Times New Roman"/>
        </w:rPr>
        <w:t xml:space="preserve">.  </w:t>
      </w:r>
    </w:p>
    <w:p w14:paraId="34F7C665" w14:textId="77777777" w:rsidR="00DA0C25" w:rsidRPr="00263E20" w:rsidRDefault="00DA0C25">
      <w:pPr>
        <w:keepNext/>
        <w:tabs>
          <w:tab w:val="left" w:pos="-1440"/>
          <w:tab w:val="left" w:pos="-720"/>
          <w:tab w:val="decimal" w:pos="0"/>
        </w:tabs>
        <w:ind w:firstLine="720"/>
        <w:rPr>
          <w:rFonts w:ascii="Times New Roman" w:hAnsi="Times New Roman"/>
        </w:rPr>
      </w:pPr>
    </w:p>
    <w:p w14:paraId="2082D268" w14:textId="2DA25F0B" w:rsidR="00DA0C25" w:rsidRPr="00263E20" w:rsidRDefault="00DE7075" w:rsidP="00DE7075">
      <w:pPr>
        <w:keepNext/>
        <w:tabs>
          <w:tab w:val="left" w:pos="-1440"/>
          <w:tab w:val="left" w:pos="-720"/>
          <w:tab w:val="decimal" w:pos="0"/>
        </w:tabs>
        <w:rPr>
          <w:rFonts w:ascii="Times New Roman" w:hAnsi="Times New Roman"/>
        </w:rPr>
      </w:pPr>
      <w:r>
        <w:rPr>
          <w:rFonts w:ascii="Times New Roman" w:hAnsi="Times New Roman"/>
          <w:b/>
        </w:rPr>
        <w:t xml:space="preserve"> </w:t>
      </w:r>
      <w:r w:rsidR="00EE62A2" w:rsidRPr="00263E20">
        <w:rPr>
          <w:rFonts w:ascii="Times New Roman" w:hAnsi="Times New Roman"/>
          <w:b/>
        </w:rPr>
        <w:t xml:space="preserve">Table </w:t>
      </w:r>
      <w:r w:rsidR="007F266B" w:rsidRPr="00263E20">
        <w:rPr>
          <w:rFonts w:ascii="Times New Roman" w:hAnsi="Times New Roman"/>
          <w:b/>
        </w:rPr>
        <w:t>5: Total Annual Respondent Burden and Cost: Unregistered Pesticides</w:t>
      </w:r>
    </w:p>
    <w:tbl>
      <w:tblPr>
        <w:tblW w:w="9360" w:type="dxa"/>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2227"/>
        <w:gridCol w:w="1422"/>
        <w:gridCol w:w="1422"/>
        <w:gridCol w:w="1523"/>
        <w:gridCol w:w="1506"/>
        <w:gridCol w:w="1260"/>
      </w:tblGrid>
      <w:tr w:rsidR="007F266B" w:rsidRPr="004C0BBA" w14:paraId="3FF687BD" w14:textId="77777777" w:rsidTr="004C0BBA">
        <w:trPr>
          <w:cantSplit/>
        </w:trPr>
        <w:tc>
          <w:tcPr>
            <w:tcW w:w="2227" w:type="dxa"/>
            <w:vAlign w:val="center"/>
          </w:tcPr>
          <w:p w14:paraId="55CE9EB8" w14:textId="77777777" w:rsidR="007F266B" w:rsidRPr="004C0BBA" w:rsidRDefault="007F266B" w:rsidP="007F266B">
            <w:pPr>
              <w:tabs>
                <w:tab w:val="left" w:pos="-1440"/>
                <w:tab w:val="left" w:pos="-720"/>
                <w:tab w:val="decimal" w:pos="0"/>
              </w:tabs>
              <w:jc w:val="center"/>
              <w:rPr>
                <w:rFonts w:ascii="Times New Roman" w:hAnsi="Times New Roman"/>
                <w:b/>
                <w:bCs/>
                <w:szCs w:val="20"/>
              </w:rPr>
            </w:pPr>
            <w:r w:rsidRPr="004C0BBA">
              <w:rPr>
                <w:rFonts w:ascii="Times New Roman" w:hAnsi="Times New Roman"/>
                <w:b/>
                <w:bCs/>
                <w:szCs w:val="20"/>
              </w:rPr>
              <w:t>Information Collection</w:t>
            </w:r>
          </w:p>
        </w:tc>
        <w:tc>
          <w:tcPr>
            <w:tcW w:w="1422" w:type="dxa"/>
          </w:tcPr>
          <w:p w14:paraId="72ABE8DC" w14:textId="77777777" w:rsidR="007F266B" w:rsidRPr="004C0BBA" w:rsidRDefault="007F266B" w:rsidP="007F266B">
            <w:pPr>
              <w:tabs>
                <w:tab w:val="left" w:pos="-1440"/>
                <w:tab w:val="left" w:pos="-720"/>
                <w:tab w:val="decimal" w:pos="0"/>
              </w:tabs>
              <w:jc w:val="center"/>
              <w:rPr>
                <w:rFonts w:ascii="Times New Roman" w:hAnsi="Times New Roman"/>
                <w:b/>
                <w:bCs/>
                <w:szCs w:val="20"/>
              </w:rPr>
            </w:pPr>
            <w:r w:rsidRPr="004C0BBA">
              <w:rPr>
                <w:rFonts w:ascii="Times New Roman" w:hAnsi="Times New Roman"/>
                <w:b/>
                <w:bCs/>
                <w:szCs w:val="20"/>
              </w:rPr>
              <w:t>Burden Per Response</w:t>
            </w:r>
          </w:p>
        </w:tc>
        <w:tc>
          <w:tcPr>
            <w:tcW w:w="1422" w:type="dxa"/>
            <w:vAlign w:val="center"/>
          </w:tcPr>
          <w:p w14:paraId="48112EF7" w14:textId="77777777" w:rsidR="007F266B" w:rsidRPr="004C0BBA" w:rsidRDefault="007F266B" w:rsidP="007F266B">
            <w:pPr>
              <w:tabs>
                <w:tab w:val="left" w:pos="-1440"/>
                <w:tab w:val="left" w:pos="-720"/>
                <w:tab w:val="decimal" w:pos="0"/>
              </w:tabs>
              <w:jc w:val="center"/>
              <w:rPr>
                <w:rFonts w:ascii="Times New Roman" w:hAnsi="Times New Roman"/>
                <w:b/>
                <w:bCs/>
                <w:szCs w:val="20"/>
              </w:rPr>
            </w:pPr>
            <w:r w:rsidRPr="004C0BBA">
              <w:rPr>
                <w:rFonts w:ascii="Times New Roman" w:hAnsi="Times New Roman"/>
                <w:b/>
                <w:bCs/>
                <w:szCs w:val="20"/>
              </w:rPr>
              <w:t xml:space="preserve">Cost Per Response </w:t>
            </w:r>
          </w:p>
        </w:tc>
        <w:tc>
          <w:tcPr>
            <w:tcW w:w="1523" w:type="dxa"/>
            <w:vAlign w:val="center"/>
          </w:tcPr>
          <w:p w14:paraId="56439B10" w14:textId="77777777" w:rsidR="007F266B" w:rsidRPr="004C0BBA" w:rsidRDefault="007F266B" w:rsidP="007F266B">
            <w:pPr>
              <w:tabs>
                <w:tab w:val="left" w:pos="-1440"/>
                <w:tab w:val="left" w:pos="-720"/>
                <w:tab w:val="decimal" w:pos="0"/>
              </w:tabs>
              <w:jc w:val="center"/>
              <w:rPr>
                <w:rFonts w:ascii="Times New Roman" w:hAnsi="Times New Roman"/>
                <w:b/>
                <w:bCs/>
                <w:szCs w:val="20"/>
              </w:rPr>
            </w:pPr>
            <w:r w:rsidRPr="004C0BBA">
              <w:rPr>
                <w:rFonts w:ascii="Times New Roman" w:hAnsi="Times New Roman"/>
                <w:b/>
                <w:bCs/>
                <w:szCs w:val="20"/>
              </w:rPr>
              <w:t>Responses Per Year</w:t>
            </w:r>
          </w:p>
        </w:tc>
        <w:tc>
          <w:tcPr>
            <w:tcW w:w="1506" w:type="dxa"/>
            <w:vAlign w:val="center"/>
          </w:tcPr>
          <w:p w14:paraId="7AA08CC6" w14:textId="77777777" w:rsidR="007F266B" w:rsidRPr="004C0BBA" w:rsidRDefault="007F266B" w:rsidP="007F266B">
            <w:pPr>
              <w:tabs>
                <w:tab w:val="left" w:pos="-1440"/>
                <w:tab w:val="left" w:pos="-720"/>
                <w:tab w:val="decimal" w:pos="0"/>
              </w:tabs>
              <w:jc w:val="center"/>
              <w:rPr>
                <w:rFonts w:ascii="Times New Roman" w:hAnsi="Times New Roman"/>
                <w:b/>
                <w:bCs/>
                <w:szCs w:val="20"/>
              </w:rPr>
            </w:pPr>
            <w:r w:rsidRPr="004C0BBA">
              <w:rPr>
                <w:rFonts w:ascii="Times New Roman" w:hAnsi="Times New Roman"/>
                <w:b/>
                <w:bCs/>
                <w:szCs w:val="20"/>
              </w:rPr>
              <w:t>Annual Burden</w:t>
            </w:r>
          </w:p>
        </w:tc>
        <w:tc>
          <w:tcPr>
            <w:tcW w:w="1260" w:type="dxa"/>
            <w:vAlign w:val="center"/>
          </w:tcPr>
          <w:p w14:paraId="7C459192" w14:textId="77777777" w:rsidR="007F266B" w:rsidRPr="004C0BBA" w:rsidRDefault="007F266B" w:rsidP="007F266B">
            <w:pPr>
              <w:tabs>
                <w:tab w:val="left" w:pos="-1440"/>
                <w:tab w:val="left" w:pos="-720"/>
                <w:tab w:val="decimal" w:pos="0"/>
              </w:tabs>
              <w:jc w:val="center"/>
              <w:rPr>
                <w:rFonts w:ascii="Times New Roman" w:hAnsi="Times New Roman"/>
                <w:b/>
                <w:bCs/>
                <w:szCs w:val="20"/>
              </w:rPr>
            </w:pPr>
            <w:r w:rsidRPr="004C0BBA">
              <w:rPr>
                <w:rFonts w:ascii="Times New Roman" w:hAnsi="Times New Roman"/>
                <w:b/>
                <w:bCs/>
                <w:szCs w:val="20"/>
              </w:rPr>
              <w:t>Total</w:t>
            </w:r>
          </w:p>
          <w:p w14:paraId="13EE81CE" w14:textId="77777777" w:rsidR="007F266B" w:rsidRPr="004C0BBA" w:rsidRDefault="007F266B" w:rsidP="007F266B">
            <w:pPr>
              <w:tabs>
                <w:tab w:val="left" w:pos="-1440"/>
                <w:tab w:val="left" w:pos="-720"/>
                <w:tab w:val="decimal" w:pos="0"/>
              </w:tabs>
              <w:jc w:val="center"/>
              <w:rPr>
                <w:rFonts w:ascii="Times New Roman" w:hAnsi="Times New Roman"/>
                <w:b/>
                <w:bCs/>
                <w:szCs w:val="20"/>
              </w:rPr>
            </w:pPr>
            <w:r w:rsidRPr="004C0BBA">
              <w:rPr>
                <w:rFonts w:ascii="Times New Roman" w:hAnsi="Times New Roman"/>
                <w:b/>
                <w:bCs/>
                <w:szCs w:val="20"/>
              </w:rPr>
              <w:t>Costs</w:t>
            </w:r>
          </w:p>
        </w:tc>
      </w:tr>
      <w:tr w:rsidR="007D30A8" w:rsidRPr="004C0BBA" w14:paraId="4AE7A32F" w14:textId="77777777" w:rsidTr="004C0BBA">
        <w:trPr>
          <w:cantSplit/>
          <w:trHeight w:val="570"/>
        </w:trPr>
        <w:tc>
          <w:tcPr>
            <w:tcW w:w="2227" w:type="dxa"/>
            <w:vAlign w:val="center"/>
          </w:tcPr>
          <w:p w14:paraId="6FC23792" w14:textId="77777777" w:rsidR="007D30A8" w:rsidRPr="004C0BBA" w:rsidRDefault="007D30A8" w:rsidP="007D30A8">
            <w:pPr>
              <w:tabs>
                <w:tab w:val="left" w:pos="-1440"/>
                <w:tab w:val="left" w:pos="-720"/>
                <w:tab w:val="decimal" w:pos="0"/>
              </w:tabs>
              <w:jc w:val="center"/>
              <w:rPr>
                <w:rFonts w:ascii="Times New Roman" w:hAnsi="Times New Roman"/>
                <w:bCs/>
                <w:szCs w:val="20"/>
              </w:rPr>
            </w:pPr>
            <w:r w:rsidRPr="004C0BBA">
              <w:rPr>
                <w:rFonts w:ascii="Times New Roman" w:hAnsi="Times New Roman"/>
                <w:bCs/>
                <w:szCs w:val="20"/>
              </w:rPr>
              <w:t>Notice of Arrival for Unregistered Pesticides</w:t>
            </w:r>
          </w:p>
        </w:tc>
        <w:tc>
          <w:tcPr>
            <w:tcW w:w="1422" w:type="dxa"/>
          </w:tcPr>
          <w:p w14:paraId="08DADB0C" w14:textId="77777777" w:rsidR="007D30A8" w:rsidRPr="004C0BBA" w:rsidRDefault="007D30A8" w:rsidP="007D30A8">
            <w:pPr>
              <w:tabs>
                <w:tab w:val="left" w:pos="-1440"/>
                <w:tab w:val="left" w:pos="-720"/>
                <w:tab w:val="decimal" w:pos="0"/>
              </w:tabs>
              <w:jc w:val="center"/>
              <w:rPr>
                <w:rFonts w:ascii="Times New Roman" w:hAnsi="Times New Roman"/>
                <w:bCs/>
                <w:szCs w:val="20"/>
              </w:rPr>
            </w:pPr>
          </w:p>
          <w:p w14:paraId="4F120A57" w14:textId="77777777" w:rsidR="007D30A8" w:rsidRPr="004C0BBA" w:rsidRDefault="007D30A8" w:rsidP="007D30A8">
            <w:pPr>
              <w:tabs>
                <w:tab w:val="left" w:pos="-1440"/>
                <w:tab w:val="left" w:pos="-720"/>
                <w:tab w:val="decimal" w:pos="0"/>
              </w:tabs>
              <w:jc w:val="center"/>
              <w:rPr>
                <w:rFonts w:ascii="Times New Roman" w:hAnsi="Times New Roman"/>
                <w:bCs/>
                <w:szCs w:val="20"/>
              </w:rPr>
            </w:pPr>
            <w:r w:rsidRPr="004C0BBA">
              <w:rPr>
                <w:rFonts w:ascii="Times New Roman" w:hAnsi="Times New Roman"/>
                <w:bCs/>
                <w:szCs w:val="20"/>
              </w:rPr>
              <w:t>0.50 hrs</w:t>
            </w:r>
          </w:p>
        </w:tc>
        <w:tc>
          <w:tcPr>
            <w:tcW w:w="1422" w:type="dxa"/>
            <w:vAlign w:val="center"/>
          </w:tcPr>
          <w:p w14:paraId="0223812D" w14:textId="2B0AE788" w:rsidR="007D30A8" w:rsidRPr="004C0BBA" w:rsidRDefault="007D30A8" w:rsidP="007D30A8">
            <w:pPr>
              <w:tabs>
                <w:tab w:val="left" w:pos="-1440"/>
                <w:tab w:val="left" w:pos="-720"/>
                <w:tab w:val="decimal" w:pos="0"/>
              </w:tabs>
              <w:jc w:val="center"/>
              <w:rPr>
                <w:rFonts w:ascii="Times New Roman" w:hAnsi="Times New Roman"/>
                <w:bCs/>
                <w:szCs w:val="20"/>
              </w:rPr>
            </w:pPr>
            <w:r w:rsidRPr="004C0BBA">
              <w:rPr>
                <w:rFonts w:ascii="Times New Roman" w:hAnsi="Times New Roman"/>
                <w:bCs/>
                <w:szCs w:val="20"/>
              </w:rPr>
              <w:t xml:space="preserve">$31.74 </w:t>
            </w:r>
          </w:p>
        </w:tc>
        <w:tc>
          <w:tcPr>
            <w:tcW w:w="1523" w:type="dxa"/>
            <w:vAlign w:val="center"/>
          </w:tcPr>
          <w:p w14:paraId="271F5F76" w14:textId="5C61219A" w:rsidR="007D30A8" w:rsidRPr="004C0BBA" w:rsidRDefault="007D30A8" w:rsidP="007D30A8">
            <w:pPr>
              <w:tabs>
                <w:tab w:val="left" w:pos="-1440"/>
                <w:tab w:val="left" w:pos="-720"/>
                <w:tab w:val="decimal" w:pos="0"/>
              </w:tabs>
              <w:jc w:val="center"/>
              <w:rPr>
                <w:rFonts w:ascii="Times New Roman" w:hAnsi="Times New Roman"/>
                <w:bCs/>
                <w:szCs w:val="20"/>
              </w:rPr>
            </w:pPr>
            <w:r w:rsidRPr="004C0BBA">
              <w:rPr>
                <w:rFonts w:ascii="Times New Roman" w:hAnsi="Times New Roman"/>
                <w:bCs/>
                <w:szCs w:val="20"/>
              </w:rPr>
              <w:t>11,400</w:t>
            </w:r>
          </w:p>
        </w:tc>
        <w:tc>
          <w:tcPr>
            <w:tcW w:w="1506" w:type="dxa"/>
            <w:vAlign w:val="center"/>
          </w:tcPr>
          <w:p w14:paraId="799DE99D" w14:textId="744CAD3C" w:rsidR="007D30A8" w:rsidRPr="004C0BBA" w:rsidRDefault="007D30A8" w:rsidP="004C0BBA">
            <w:pPr>
              <w:tabs>
                <w:tab w:val="left" w:pos="-1440"/>
                <w:tab w:val="left" w:pos="-720"/>
                <w:tab w:val="decimal" w:pos="0"/>
              </w:tabs>
              <w:rPr>
                <w:rFonts w:ascii="Times New Roman" w:hAnsi="Times New Roman"/>
                <w:bCs/>
                <w:szCs w:val="20"/>
              </w:rPr>
            </w:pPr>
            <w:r w:rsidRPr="004C0BBA">
              <w:rPr>
                <w:rFonts w:ascii="Times New Roman" w:hAnsi="Times New Roman"/>
                <w:bCs/>
                <w:szCs w:val="20"/>
              </w:rPr>
              <w:t xml:space="preserve">       5,700 </w:t>
            </w:r>
          </w:p>
        </w:tc>
        <w:tc>
          <w:tcPr>
            <w:tcW w:w="1260" w:type="dxa"/>
            <w:vAlign w:val="center"/>
          </w:tcPr>
          <w:p w14:paraId="3A182246" w14:textId="2873594A" w:rsidR="007D30A8" w:rsidRPr="004C0BBA" w:rsidRDefault="007D30A8" w:rsidP="007D30A8">
            <w:pPr>
              <w:tabs>
                <w:tab w:val="left" w:pos="-1440"/>
                <w:tab w:val="left" w:pos="-720"/>
                <w:tab w:val="decimal" w:pos="0"/>
              </w:tabs>
              <w:jc w:val="center"/>
              <w:rPr>
                <w:rFonts w:ascii="Times New Roman" w:hAnsi="Times New Roman"/>
                <w:bCs/>
                <w:szCs w:val="20"/>
              </w:rPr>
            </w:pPr>
            <w:r w:rsidRPr="004C0BBA">
              <w:rPr>
                <w:rFonts w:ascii="Times New Roman" w:hAnsi="Times New Roman"/>
                <w:bCs/>
                <w:szCs w:val="20"/>
              </w:rPr>
              <w:t xml:space="preserve">$361,874 </w:t>
            </w:r>
          </w:p>
        </w:tc>
      </w:tr>
    </w:tbl>
    <w:p w14:paraId="336C0E0D" w14:textId="77777777" w:rsidR="00772F14" w:rsidRPr="00263E20" w:rsidRDefault="00772F14">
      <w:pPr>
        <w:tabs>
          <w:tab w:val="left" w:pos="-1440"/>
          <w:tab w:val="left" w:pos="-720"/>
          <w:tab w:val="decimal" w:pos="0"/>
        </w:tabs>
        <w:rPr>
          <w:rFonts w:ascii="Times New Roman" w:hAnsi="Times New Roman"/>
        </w:rPr>
      </w:pPr>
    </w:p>
    <w:p w14:paraId="4D3221FB" w14:textId="6501D77B" w:rsidR="00F91098" w:rsidRPr="00263E20" w:rsidRDefault="00F91098">
      <w:pPr>
        <w:tabs>
          <w:tab w:val="left" w:pos="-1440"/>
          <w:tab w:val="left" w:pos="-720"/>
          <w:tab w:val="decimal" w:pos="0"/>
        </w:tabs>
        <w:rPr>
          <w:rFonts w:ascii="Times New Roman" w:hAnsi="Times New Roman"/>
          <w:b/>
          <w:bCs/>
        </w:rPr>
      </w:pPr>
      <w:r w:rsidRPr="00263E20">
        <w:rPr>
          <w:rFonts w:ascii="Times New Roman" w:hAnsi="Times New Roman"/>
          <w:b/>
          <w:bCs/>
        </w:rPr>
        <w:tab/>
      </w:r>
      <w:r w:rsidR="007D30A8" w:rsidRPr="00263E20">
        <w:rPr>
          <w:rFonts w:ascii="Times New Roman" w:hAnsi="Times New Roman"/>
          <w:b/>
          <w:bCs/>
        </w:rPr>
        <w:t xml:space="preserve">(ii) </w:t>
      </w:r>
      <w:r w:rsidRPr="00263E20">
        <w:rPr>
          <w:rFonts w:ascii="Times New Roman" w:hAnsi="Times New Roman"/>
          <w:b/>
          <w:bCs/>
        </w:rPr>
        <w:t>Other Costs</w:t>
      </w:r>
    </w:p>
    <w:p w14:paraId="174E89C1" w14:textId="77777777" w:rsidR="00F91098" w:rsidRPr="00263E20" w:rsidRDefault="00F91098">
      <w:pPr>
        <w:tabs>
          <w:tab w:val="left" w:pos="-1440"/>
          <w:tab w:val="left" w:pos="-720"/>
          <w:tab w:val="decimal" w:pos="0"/>
        </w:tabs>
        <w:rPr>
          <w:rFonts w:ascii="Times New Roman" w:hAnsi="Times New Roman"/>
          <w:b/>
          <w:bCs/>
        </w:rPr>
      </w:pPr>
    </w:p>
    <w:p w14:paraId="3B077659" w14:textId="5A729A89" w:rsidR="00F91098" w:rsidRPr="00263E20" w:rsidRDefault="00F91098" w:rsidP="00F91098">
      <w:pPr>
        <w:tabs>
          <w:tab w:val="left" w:pos="-1440"/>
          <w:tab w:val="left" w:pos="-720"/>
          <w:tab w:val="decimal" w:pos="0"/>
        </w:tabs>
        <w:rPr>
          <w:rFonts w:ascii="Times New Roman" w:hAnsi="Times New Roman"/>
          <w:bCs/>
        </w:rPr>
      </w:pPr>
      <w:r w:rsidRPr="00263E20">
        <w:rPr>
          <w:rFonts w:ascii="Times New Roman" w:hAnsi="Times New Roman"/>
          <w:b/>
          <w:bCs/>
        </w:rPr>
        <w:tab/>
      </w:r>
      <w:r w:rsidR="009A0CA6" w:rsidRPr="00263E20">
        <w:rPr>
          <w:rFonts w:ascii="Times New Roman" w:hAnsi="Times New Roman"/>
          <w:bCs/>
        </w:rPr>
        <w:t>EPA acknowledges that delays of shipments resulting from resolution of issues arising in the NOA process</w:t>
      </w:r>
      <w:r w:rsidR="00412E2E" w:rsidRPr="00263E20">
        <w:rPr>
          <w:rFonts w:ascii="Times New Roman" w:hAnsi="Times New Roman"/>
          <w:bCs/>
        </w:rPr>
        <w:t xml:space="preserve"> may result in real costs incurred by the importer</w:t>
      </w:r>
      <w:r w:rsidR="00B759E1" w:rsidRPr="00263E20">
        <w:rPr>
          <w:rFonts w:ascii="Times New Roman" w:hAnsi="Times New Roman"/>
          <w:bCs/>
        </w:rPr>
        <w:t>.</w:t>
      </w:r>
      <w:r w:rsidR="00412E2E" w:rsidRPr="00263E20">
        <w:rPr>
          <w:rFonts w:ascii="Times New Roman" w:hAnsi="Times New Roman"/>
          <w:bCs/>
        </w:rPr>
        <w:t xml:space="preserve"> While these costs are not part of the paperwork burden associated with this information collection activity, EPA is providing an estimate of costs that may arise</w:t>
      </w:r>
      <w:r w:rsidR="009A0CA6" w:rsidRPr="00263E20">
        <w:rPr>
          <w:rFonts w:ascii="Times New Roman" w:hAnsi="Times New Roman"/>
          <w:bCs/>
        </w:rPr>
        <w:t>.</w:t>
      </w:r>
      <w:r w:rsidR="001729D2">
        <w:t xml:space="preserve"> </w:t>
      </w:r>
      <w:r w:rsidR="001729D2" w:rsidRPr="001729D2">
        <w:rPr>
          <w:rFonts w:ascii="Times New Roman" w:hAnsi="Times New Roman"/>
          <w:bCs/>
        </w:rPr>
        <w:t>During the last renewal cycle</w:t>
      </w:r>
      <w:r w:rsidR="008A7ADE">
        <w:rPr>
          <w:rFonts w:ascii="Times New Roman" w:hAnsi="Times New Roman"/>
          <w:bCs/>
        </w:rPr>
        <w:t xml:space="preserve"> (EPA ICR No. 0154.10)</w:t>
      </w:r>
      <w:r w:rsidR="001729D2">
        <w:rPr>
          <w:rFonts w:ascii="Times New Roman" w:hAnsi="Times New Roman"/>
          <w:bCs/>
        </w:rPr>
        <w:t>,</w:t>
      </w:r>
      <w:r w:rsidR="009A0CA6" w:rsidRPr="00263E20">
        <w:rPr>
          <w:rFonts w:ascii="Times New Roman" w:hAnsi="Times New Roman"/>
          <w:bCs/>
        </w:rPr>
        <w:t xml:space="preserve"> EPA consulted with 5 importers/brokers and asked </w:t>
      </w:r>
      <w:r w:rsidR="00B759E1" w:rsidRPr="00263E20">
        <w:rPr>
          <w:rFonts w:ascii="Times New Roman" w:hAnsi="Times New Roman"/>
          <w:bCs/>
        </w:rPr>
        <w:t>them</w:t>
      </w:r>
      <w:r w:rsidR="009A0CA6" w:rsidRPr="00263E20">
        <w:rPr>
          <w:rFonts w:ascii="Times New Roman" w:hAnsi="Times New Roman"/>
          <w:bCs/>
        </w:rPr>
        <w:t xml:space="preserve"> estimate the costs associated with delays due to resolving issues arising in the NOA review process. The respondents provided estimates that include storage, broker fees, container demurrage after free time, and additional freight and storage charges</w:t>
      </w:r>
      <w:r w:rsidR="00B759E1" w:rsidRPr="00263E20">
        <w:rPr>
          <w:rFonts w:ascii="Times New Roman" w:hAnsi="Times New Roman"/>
          <w:bCs/>
        </w:rPr>
        <w:t>, as follows:</w:t>
      </w:r>
    </w:p>
    <w:p w14:paraId="77E8579F" w14:textId="77777777" w:rsidR="000F2551" w:rsidRPr="00263E20" w:rsidRDefault="000F2551" w:rsidP="00F91098">
      <w:pPr>
        <w:tabs>
          <w:tab w:val="left" w:pos="-1440"/>
          <w:tab w:val="left" w:pos="-720"/>
          <w:tab w:val="decimal" w:pos="0"/>
        </w:tabs>
        <w:rPr>
          <w:rFonts w:ascii="Times New Roman" w:hAnsi="Times New Roman"/>
          <w:bCs/>
        </w:rPr>
      </w:pPr>
    </w:p>
    <w:p w14:paraId="3ABF0A85" w14:textId="5926376A" w:rsidR="00F91098" w:rsidRPr="00263E20" w:rsidRDefault="00F54901" w:rsidP="00F91098">
      <w:pPr>
        <w:tabs>
          <w:tab w:val="left" w:pos="-1440"/>
          <w:tab w:val="left" w:pos="-720"/>
          <w:tab w:val="decimal" w:pos="0"/>
        </w:tabs>
        <w:rPr>
          <w:rFonts w:ascii="Times New Roman" w:hAnsi="Times New Roman"/>
          <w:b/>
          <w:bCs/>
        </w:rPr>
      </w:pPr>
      <w:r w:rsidRPr="00263E20">
        <w:rPr>
          <w:rFonts w:ascii="Times New Roman" w:hAnsi="Times New Roman"/>
          <w:b/>
          <w:bCs/>
        </w:rPr>
        <w:t>Table 6: Other Costs</w:t>
      </w:r>
    </w:p>
    <w:tbl>
      <w:tblPr>
        <w:tblStyle w:val="TableGrid"/>
        <w:tblW w:w="9360"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682"/>
        <w:gridCol w:w="4678"/>
      </w:tblGrid>
      <w:tr w:rsidR="00F91098" w:rsidRPr="00263E20" w14:paraId="2D60E9A0" w14:textId="77777777" w:rsidTr="00B5646A">
        <w:trPr>
          <w:jc w:val="center"/>
        </w:trPr>
        <w:tc>
          <w:tcPr>
            <w:tcW w:w="4682" w:type="dxa"/>
          </w:tcPr>
          <w:p w14:paraId="4E036A9B" w14:textId="1BEDC8E7" w:rsidR="00F91098" w:rsidRPr="00263E20" w:rsidRDefault="00F91098" w:rsidP="00274718">
            <w:pPr>
              <w:keepNext/>
              <w:widowControl/>
              <w:tabs>
                <w:tab w:val="left" w:pos="-1440"/>
                <w:tab w:val="left" w:pos="-720"/>
                <w:tab w:val="decimal" w:pos="0"/>
              </w:tabs>
              <w:rPr>
                <w:rFonts w:ascii="Times New Roman" w:hAnsi="Times New Roman"/>
                <w:b/>
                <w:bCs/>
              </w:rPr>
            </w:pPr>
            <w:r w:rsidRPr="00263E20">
              <w:rPr>
                <w:rFonts w:ascii="Times New Roman" w:hAnsi="Times New Roman"/>
                <w:b/>
                <w:bCs/>
              </w:rPr>
              <w:t>Other Costs</w:t>
            </w:r>
            <w:r w:rsidR="0032665A" w:rsidRPr="0032665A">
              <w:rPr>
                <w:rStyle w:val="FootnoteReference"/>
                <w:rFonts w:ascii="Times New Roman" w:hAnsi="Times New Roman"/>
                <w:b/>
                <w:bCs/>
                <w:vertAlign w:val="superscript"/>
              </w:rPr>
              <w:footnoteReference w:id="1"/>
            </w:r>
          </w:p>
        </w:tc>
        <w:tc>
          <w:tcPr>
            <w:tcW w:w="4678" w:type="dxa"/>
          </w:tcPr>
          <w:p w14:paraId="741D916D" w14:textId="77777777" w:rsidR="00B759E1" w:rsidRPr="00263E20" w:rsidRDefault="00F91098" w:rsidP="00274718">
            <w:pPr>
              <w:keepNext/>
              <w:widowControl/>
              <w:tabs>
                <w:tab w:val="left" w:pos="-1440"/>
                <w:tab w:val="left" w:pos="-720"/>
                <w:tab w:val="decimal" w:pos="0"/>
              </w:tabs>
              <w:jc w:val="center"/>
              <w:rPr>
                <w:rFonts w:ascii="Times New Roman" w:hAnsi="Times New Roman"/>
                <w:b/>
                <w:bCs/>
              </w:rPr>
            </w:pPr>
            <w:r w:rsidRPr="00263E20">
              <w:rPr>
                <w:rFonts w:ascii="Times New Roman" w:hAnsi="Times New Roman"/>
                <w:b/>
                <w:bCs/>
              </w:rPr>
              <w:t>Estimated cost per day</w:t>
            </w:r>
          </w:p>
        </w:tc>
      </w:tr>
      <w:tr w:rsidR="00B5646A" w:rsidRPr="00263E20" w14:paraId="08569785" w14:textId="77777777" w:rsidTr="00B5646A">
        <w:trPr>
          <w:jc w:val="center"/>
        </w:trPr>
        <w:tc>
          <w:tcPr>
            <w:tcW w:w="4682" w:type="dxa"/>
          </w:tcPr>
          <w:p w14:paraId="79EF6FAB" w14:textId="77777777" w:rsidR="00B5646A" w:rsidRPr="00263E20" w:rsidRDefault="00B5646A" w:rsidP="00B5646A">
            <w:pPr>
              <w:keepNext/>
              <w:widowControl/>
              <w:tabs>
                <w:tab w:val="left" w:pos="-1440"/>
                <w:tab w:val="left" w:pos="-720"/>
                <w:tab w:val="decimal" w:pos="0"/>
              </w:tabs>
              <w:rPr>
                <w:rFonts w:ascii="Times New Roman" w:hAnsi="Times New Roman"/>
                <w:bCs/>
              </w:rPr>
            </w:pPr>
            <w:r w:rsidRPr="00263E20">
              <w:rPr>
                <w:rFonts w:ascii="Times New Roman" w:hAnsi="Times New Roman"/>
                <w:bCs/>
              </w:rPr>
              <w:t>Storage</w:t>
            </w:r>
          </w:p>
        </w:tc>
        <w:tc>
          <w:tcPr>
            <w:tcW w:w="4678" w:type="dxa"/>
          </w:tcPr>
          <w:p w14:paraId="719BFD70" w14:textId="4A36228F" w:rsidR="00B5646A" w:rsidRPr="00263E20" w:rsidRDefault="00B5646A" w:rsidP="00D74D04">
            <w:pPr>
              <w:keepNext/>
              <w:widowControl/>
              <w:tabs>
                <w:tab w:val="left" w:pos="-1440"/>
                <w:tab w:val="left" w:pos="-720"/>
                <w:tab w:val="decimal" w:pos="0"/>
              </w:tabs>
              <w:jc w:val="center"/>
              <w:rPr>
                <w:rFonts w:ascii="Times New Roman" w:hAnsi="Times New Roman"/>
                <w:bCs/>
              </w:rPr>
            </w:pPr>
            <w:r w:rsidRPr="00914DD2">
              <w:rPr>
                <w:rFonts w:ascii="Times New Roman" w:hAnsi="Times New Roman"/>
                <w:bCs/>
              </w:rPr>
              <w:t xml:space="preserve">$264 </w:t>
            </w:r>
          </w:p>
        </w:tc>
      </w:tr>
      <w:tr w:rsidR="00B5646A" w:rsidRPr="00263E20" w14:paraId="6F1CF7B8" w14:textId="77777777" w:rsidTr="00B5646A">
        <w:trPr>
          <w:jc w:val="center"/>
        </w:trPr>
        <w:tc>
          <w:tcPr>
            <w:tcW w:w="4682" w:type="dxa"/>
          </w:tcPr>
          <w:p w14:paraId="7CFF7718" w14:textId="77777777" w:rsidR="00B5646A" w:rsidRPr="00263E20" w:rsidRDefault="00B5646A" w:rsidP="00B5646A">
            <w:pPr>
              <w:keepNext/>
              <w:widowControl/>
              <w:tabs>
                <w:tab w:val="left" w:pos="-1440"/>
                <w:tab w:val="left" w:pos="-720"/>
                <w:tab w:val="decimal" w:pos="0"/>
              </w:tabs>
              <w:rPr>
                <w:rFonts w:ascii="Times New Roman" w:hAnsi="Times New Roman"/>
                <w:bCs/>
              </w:rPr>
            </w:pPr>
            <w:r w:rsidRPr="00263E20">
              <w:rPr>
                <w:rFonts w:ascii="Times New Roman" w:hAnsi="Times New Roman"/>
                <w:bCs/>
              </w:rPr>
              <w:t>Broker Fees</w:t>
            </w:r>
          </w:p>
        </w:tc>
        <w:tc>
          <w:tcPr>
            <w:tcW w:w="4678" w:type="dxa"/>
          </w:tcPr>
          <w:p w14:paraId="6F88D33E" w14:textId="19D8A024" w:rsidR="00B5646A" w:rsidRPr="00263E20" w:rsidRDefault="00B5646A" w:rsidP="00D74D04">
            <w:pPr>
              <w:keepNext/>
              <w:widowControl/>
              <w:tabs>
                <w:tab w:val="left" w:pos="-1440"/>
                <w:tab w:val="left" w:pos="-720"/>
                <w:tab w:val="decimal" w:pos="0"/>
              </w:tabs>
              <w:jc w:val="center"/>
              <w:rPr>
                <w:rFonts w:ascii="Times New Roman" w:hAnsi="Times New Roman"/>
                <w:bCs/>
              </w:rPr>
            </w:pPr>
            <w:r w:rsidRPr="00914DD2">
              <w:rPr>
                <w:rFonts w:ascii="Times New Roman" w:hAnsi="Times New Roman"/>
                <w:bCs/>
              </w:rPr>
              <w:t xml:space="preserve">$106 </w:t>
            </w:r>
          </w:p>
        </w:tc>
      </w:tr>
      <w:tr w:rsidR="00B5646A" w:rsidRPr="00263E20" w14:paraId="09079E38" w14:textId="77777777" w:rsidTr="00B5646A">
        <w:trPr>
          <w:jc w:val="center"/>
        </w:trPr>
        <w:tc>
          <w:tcPr>
            <w:tcW w:w="4682" w:type="dxa"/>
          </w:tcPr>
          <w:p w14:paraId="455833F9" w14:textId="77777777" w:rsidR="00B5646A" w:rsidRPr="00263E20" w:rsidRDefault="00B5646A" w:rsidP="00B5646A">
            <w:pPr>
              <w:keepNext/>
              <w:widowControl/>
              <w:tabs>
                <w:tab w:val="left" w:pos="-1440"/>
                <w:tab w:val="left" w:pos="-720"/>
                <w:tab w:val="decimal" w:pos="0"/>
              </w:tabs>
              <w:rPr>
                <w:rFonts w:ascii="Times New Roman" w:hAnsi="Times New Roman"/>
                <w:bCs/>
              </w:rPr>
            </w:pPr>
            <w:r w:rsidRPr="00263E20">
              <w:rPr>
                <w:rFonts w:ascii="Times New Roman" w:hAnsi="Times New Roman"/>
                <w:bCs/>
              </w:rPr>
              <w:t>Container Demurrage</w:t>
            </w:r>
          </w:p>
        </w:tc>
        <w:tc>
          <w:tcPr>
            <w:tcW w:w="4678" w:type="dxa"/>
          </w:tcPr>
          <w:p w14:paraId="63CEA11C" w14:textId="268456E7" w:rsidR="00B5646A" w:rsidRPr="00263E20" w:rsidRDefault="00B5646A" w:rsidP="00D74D04">
            <w:pPr>
              <w:keepNext/>
              <w:widowControl/>
              <w:tabs>
                <w:tab w:val="left" w:pos="-1440"/>
                <w:tab w:val="left" w:pos="-720"/>
                <w:tab w:val="decimal" w:pos="0"/>
              </w:tabs>
              <w:jc w:val="center"/>
              <w:rPr>
                <w:rFonts w:ascii="Times New Roman" w:hAnsi="Times New Roman"/>
                <w:bCs/>
              </w:rPr>
            </w:pPr>
            <w:r w:rsidRPr="00914DD2">
              <w:rPr>
                <w:rFonts w:ascii="Times New Roman" w:hAnsi="Times New Roman"/>
                <w:bCs/>
              </w:rPr>
              <w:t xml:space="preserve">$132 </w:t>
            </w:r>
          </w:p>
        </w:tc>
      </w:tr>
      <w:tr w:rsidR="00B5646A" w:rsidRPr="00263E20" w14:paraId="1D32EA0B" w14:textId="77777777" w:rsidTr="00B5646A">
        <w:trPr>
          <w:jc w:val="center"/>
        </w:trPr>
        <w:tc>
          <w:tcPr>
            <w:tcW w:w="4682" w:type="dxa"/>
          </w:tcPr>
          <w:p w14:paraId="044D852B" w14:textId="77777777" w:rsidR="00B5646A" w:rsidRPr="00263E20" w:rsidRDefault="00B5646A" w:rsidP="00B5646A">
            <w:pPr>
              <w:keepNext/>
              <w:widowControl/>
              <w:tabs>
                <w:tab w:val="left" w:pos="-1440"/>
                <w:tab w:val="left" w:pos="-720"/>
                <w:tab w:val="decimal" w:pos="0"/>
              </w:tabs>
              <w:rPr>
                <w:rFonts w:ascii="Times New Roman" w:hAnsi="Times New Roman"/>
                <w:bCs/>
              </w:rPr>
            </w:pPr>
            <w:r w:rsidRPr="00263E20">
              <w:rPr>
                <w:rFonts w:ascii="Times New Roman" w:hAnsi="Times New Roman"/>
                <w:bCs/>
              </w:rPr>
              <w:t xml:space="preserve">Additional Freight </w:t>
            </w:r>
          </w:p>
        </w:tc>
        <w:tc>
          <w:tcPr>
            <w:tcW w:w="4678" w:type="dxa"/>
          </w:tcPr>
          <w:p w14:paraId="2CFA664A" w14:textId="3E069CE2" w:rsidR="00B5646A" w:rsidRPr="00263E20" w:rsidRDefault="00B5646A" w:rsidP="00D74D04">
            <w:pPr>
              <w:keepNext/>
              <w:widowControl/>
              <w:tabs>
                <w:tab w:val="left" w:pos="-1440"/>
                <w:tab w:val="left" w:pos="-720"/>
                <w:tab w:val="decimal" w:pos="0"/>
              </w:tabs>
              <w:jc w:val="center"/>
              <w:rPr>
                <w:rFonts w:ascii="Times New Roman" w:hAnsi="Times New Roman"/>
                <w:bCs/>
              </w:rPr>
            </w:pPr>
            <w:r w:rsidRPr="00914DD2">
              <w:rPr>
                <w:rFonts w:ascii="Times New Roman" w:hAnsi="Times New Roman"/>
                <w:bCs/>
              </w:rPr>
              <w:t xml:space="preserve">$317 </w:t>
            </w:r>
          </w:p>
        </w:tc>
      </w:tr>
    </w:tbl>
    <w:p w14:paraId="45497493" w14:textId="77777777" w:rsidR="00F91098" w:rsidRPr="00263E20" w:rsidRDefault="00F91098" w:rsidP="00F91098">
      <w:pPr>
        <w:tabs>
          <w:tab w:val="left" w:pos="-1440"/>
          <w:tab w:val="left" w:pos="-720"/>
          <w:tab w:val="decimal" w:pos="0"/>
        </w:tabs>
        <w:rPr>
          <w:rFonts w:ascii="Times New Roman" w:hAnsi="Times New Roman"/>
          <w:b/>
          <w:bCs/>
        </w:rPr>
      </w:pPr>
    </w:p>
    <w:p w14:paraId="2E09F74E" w14:textId="114BB9F2" w:rsidR="00B759E1" w:rsidRPr="00263E20" w:rsidRDefault="00B759E1" w:rsidP="00F91098">
      <w:pPr>
        <w:tabs>
          <w:tab w:val="left" w:pos="-1440"/>
          <w:tab w:val="left" w:pos="-720"/>
          <w:tab w:val="decimal" w:pos="0"/>
        </w:tabs>
        <w:rPr>
          <w:rFonts w:ascii="Times New Roman" w:hAnsi="Times New Roman"/>
          <w:bCs/>
        </w:rPr>
      </w:pPr>
      <w:r w:rsidRPr="00263E20">
        <w:rPr>
          <w:rFonts w:ascii="Times New Roman" w:hAnsi="Times New Roman"/>
          <w:bCs/>
        </w:rPr>
        <w:tab/>
      </w:r>
      <w:r w:rsidR="008125DF" w:rsidRPr="00263E20">
        <w:rPr>
          <w:rFonts w:ascii="Times New Roman" w:hAnsi="Times New Roman"/>
          <w:bCs/>
        </w:rPr>
        <w:t xml:space="preserve">During </w:t>
      </w:r>
      <w:r w:rsidR="008A7ADE">
        <w:rPr>
          <w:rFonts w:ascii="Times New Roman" w:hAnsi="Times New Roman"/>
          <w:bCs/>
        </w:rPr>
        <w:t xml:space="preserve">the last </w:t>
      </w:r>
      <w:r w:rsidR="008125DF" w:rsidRPr="00263E20">
        <w:rPr>
          <w:rFonts w:ascii="Times New Roman" w:hAnsi="Times New Roman"/>
          <w:bCs/>
        </w:rPr>
        <w:t>renewal cycle, o</w:t>
      </w:r>
      <w:r w:rsidR="00A64AF5" w:rsidRPr="00263E20">
        <w:rPr>
          <w:rFonts w:ascii="Times New Roman" w:hAnsi="Times New Roman"/>
          <w:bCs/>
        </w:rPr>
        <w:t>ne importer</w:t>
      </w:r>
      <w:r w:rsidR="001729D2">
        <w:rPr>
          <w:rFonts w:ascii="Times New Roman" w:hAnsi="Times New Roman"/>
          <w:bCs/>
        </w:rPr>
        <w:t xml:space="preserve"> also</w:t>
      </w:r>
      <w:r w:rsidR="00A64AF5" w:rsidRPr="00263E20">
        <w:rPr>
          <w:rFonts w:ascii="Times New Roman" w:hAnsi="Times New Roman"/>
          <w:bCs/>
        </w:rPr>
        <w:t xml:space="preserve"> indicated that there is a market loss of $6,500 per day associated with delays. On average, it takes from one to five days to resolve an issue related to an NOA. </w:t>
      </w:r>
      <w:r w:rsidR="00412E2E" w:rsidRPr="00263E20">
        <w:rPr>
          <w:rFonts w:ascii="Times New Roman" w:hAnsi="Times New Roman"/>
          <w:bCs/>
        </w:rPr>
        <w:t xml:space="preserve">EPA has not attempted to confirm these estimates. </w:t>
      </w:r>
      <w:r w:rsidRPr="00263E20">
        <w:rPr>
          <w:rFonts w:ascii="Times New Roman" w:hAnsi="Times New Roman"/>
          <w:bCs/>
        </w:rPr>
        <w:t>In many instances, if the importer submit</w:t>
      </w:r>
      <w:r w:rsidR="008A7ADE">
        <w:rPr>
          <w:rFonts w:ascii="Times New Roman" w:hAnsi="Times New Roman"/>
          <w:bCs/>
        </w:rPr>
        <w:t>s</w:t>
      </w:r>
      <w:r w:rsidRPr="00263E20">
        <w:rPr>
          <w:rFonts w:ascii="Times New Roman" w:hAnsi="Times New Roman"/>
          <w:bCs/>
        </w:rPr>
        <w:t xml:space="preserve"> the </w:t>
      </w:r>
      <w:r w:rsidR="008A7ADE">
        <w:rPr>
          <w:rFonts w:ascii="Times New Roman" w:hAnsi="Times New Roman"/>
          <w:bCs/>
        </w:rPr>
        <w:t xml:space="preserve">paper </w:t>
      </w:r>
      <w:r w:rsidRPr="00263E20">
        <w:rPr>
          <w:rFonts w:ascii="Times New Roman" w:hAnsi="Times New Roman"/>
          <w:bCs/>
        </w:rPr>
        <w:t>NOA prior to the arrival of shipment at the port of entry</w:t>
      </w:r>
      <w:r w:rsidR="00DA04B1">
        <w:rPr>
          <w:rFonts w:ascii="Times New Roman" w:hAnsi="Times New Roman"/>
        </w:rPr>
        <w:t xml:space="preserve"> or </w:t>
      </w:r>
      <w:r w:rsidR="00DA04B1" w:rsidRPr="00DA04B1">
        <w:rPr>
          <w:rFonts w:ascii="Times New Roman" w:hAnsi="Times New Roman"/>
          <w:bCs/>
        </w:rPr>
        <w:t>file</w:t>
      </w:r>
      <w:r w:rsidR="00DA04B1">
        <w:rPr>
          <w:rFonts w:ascii="Times New Roman" w:hAnsi="Times New Roman"/>
          <w:bCs/>
        </w:rPr>
        <w:t>s</w:t>
      </w:r>
      <w:r w:rsidR="00DA04B1" w:rsidRPr="00DA04B1">
        <w:rPr>
          <w:rFonts w:ascii="Times New Roman" w:hAnsi="Times New Roman"/>
          <w:bCs/>
        </w:rPr>
        <w:t xml:space="preserve"> </w:t>
      </w:r>
      <w:r w:rsidR="00DA04B1">
        <w:rPr>
          <w:rFonts w:ascii="Times New Roman" w:hAnsi="Times New Roman"/>
          <w:bCs/>
        </w:rPr>
        <w:t>the NOA electronically</w:t>
      </w:r>
      <w:r w:rsidR="00DA04B1" w:rsidRPr="00DA04B1">
        <w:rPr>
          <w:rFonts w:ascii="Times New Roman" w:hAnsi="Times New Roman"/>
          <w:bCs/>
        </w:rPr>
        <w:t xml:space="preserve"> with the filing of the entry docume</w:t>
      </w:r>
      <w:r w:rsidR="00DA04B1">
        <w:rPr>
          <w:rFonts w:ascii="Times New Roman" w:hAnsi="Times New Roman"/>
          <w:bCs/>
        </w:rPr>
        <w:t>ntation</w:t>
      </w:r>
      <w:r w:rsidR="00DA04B1" w:rsidRPr="00DA04B1">
        <w:rPr>
          <w:rFonts w:ascii="Times New Roman" w:hAnsi="Times New Roman"/>
        </w:rPr>
        <w:t xml:space="preserve"> </w:t>
      </w:r>
      <w:r w:rsidR="00DA04B1" w:rsidRPr="00DA04B1">
        <w:rPr>
          <w:rFonts w:ascii="Times New Roman" w:hAnsi="Times New Roman"/>
          <w:bCs/>
        </w:rPr>
        <w:t xml:space="preserve">via any </w:t>
      </w:r>
      <w:r w:rsidR="00912C29">
        <w:rPr>
          <w:rFonts w:ascii="Times New Roman" w:hAnsi="Times New Roman"/>
          <w:bCs/>
        </w:rPr>
        <w:t>Customs</w:t>
      </w:r>
      <w:r w:rsidR="00DA04B1" w:rsidRPr="00DA04B1">
        <w:rPr>
          <w:rFonts w:ascii="Times New Roman" w:hAnsi="Times New Roman"/>
          <w:bCs/>
        </w:rPr>
        <w:t>-authorized electronic data interchange system</w:t>
      </w:r>
      <w:r w:rsidRPr="00263E20">
        <w:rPr>
          <w:rFonts w:ascii="Times New Roman" w:hAnsi="Times New Roman"/>
          <w:bCs/>
        </w:rPr>
        <w:t xml:space="preserve">, issues can be resolved quickly with no associated costs incurred. </w:t>
      </w:r>
    </w:p>
    <w:p w14:paraId="4F614540" w14:textId="77777777" w:rsidR="00412E2E" w:rsidRPr="00263E20" w:rsidRDefault="00412E2E" w:rsidP="00F91098">
      <w:pPr>
        <w:tabs>
          <w:tab w:val="left" w:pos="-1440"/>
          <w:tab w:val="left" w:pos="-720"/>
          <w:tab w:val="decimal" w:pos="0"/>
        </w:tabs>
        <w:rPr>
          <w:rFonts w:ascii="Times New Roman" w:hAnsi="Times New Roman"/>
          <w:bCs/>
        </w:rPr>
      </w:pPr>
    </w:p>
    <w:p w14:paraId="61AA80E3" w14:textId="5D836186" w:rsidR="00F91098" w:rsidRPr="00263E20" w:rsidRDefault="00412E2E" w:rsidP="00F91098">
      <w:pPr>
        <w:tabs>
          <w:tab w:val="left" w:pos="-1440"/>
          <w:tab w:val="left" w:pos="-720"/>
          <w:tab w:val="decimal" w:pos="0"/>
        </w:tabs>
        <w:rPr>
          <w:rFonts w:ascii="Times New Roman" w:hAnsi="Times New Roman"/>
          <w:bCs/>
        </w:rPr>
      </w:pPr>
      <w:r w:rsidRPr="00263E20">
        <w:rPr>
          <w:rFonts w:ascii="Times New Roman" w:hAnsi="Times New Roman"/>
          <w:bCs/>
        </w:rPr>
        <w:tab/>
        <w:t xml:space="preserve">EPA estimates that delays occur for less than 5% of all </w:t>
      </w:r>
      <w:r w:rsidR="00DA04B1">
        <w:rPr>
          <w:rFonts w:ascii="Times New Roman" w:hAnsi="Times New Roman"/>
          <w:bCs/>
        </w:rPr>
        <w:t xml:space="preserve">paper </w:t>
      </w:r>
      <w:r w:rsidRPr="00263E20">
        <w:rPr>
          <w:rFonts w:ascii="Times New Roman" w:hAnsi="Times New Roman"/>
          <w:bCs/>
        </w:rPr>
        <w:t>NOA</w:t>
      </w:r>
      <w:r w:rsidR="00DA04B1">
        <w:rPr>
          <w:rFonts w:ascii="Times New Roman" w:hAnsi="Times New Roman"/>
          <w:bCs/>
        </w:rPr>
        <w:t>s</w:t>
      </w:r>
      <w:r w:rsidRPr="00263E20">
        <w:rPr>
          <w:rFonts w:ascii="Times New Roman" w:hAnsi="Times New Roman"/>
          <w:bCs/>
        </w:rPr>
        <w:t xml:space="preserve"> submitted to EPA and that as few as 2.5% to 5% of shipments are held at the port annually due to resolving issues associated with the NOA review. </w:t>
      </w:r>
      <w:r w:rsidR="00A64AF5" w:rsidRPr="00263E20">
        <w:rPr>
          <w:rFonts w:ascii="Times New Roman" w:hAnsi="Times New Roman"/>
          <w:bCs/>
        </w:rPr>
        <w:t xml:space="preserve">In many instances, if the importer has submitted </w:t>
      </w:r>
      <w:r w:rsidR="00DA04B1">
        <w:rPr>
          <w:rFonts w:ascii="Times New Roman" w:hAnsi="Times New Roman"/>
          <w:bCs/>
        </w:rPr>
        <w:t>a paper</w:t>
      </w:r>
      <w:r w:rsidR="00DA04B1" w:rsidRPr="00263E20">
        <w:rPr>
          <w:rFonts w:ascii="Times New Roman" w:hAnsi="Times New Roman"/>
          <w:bCs/>
        </w:rPr>
        <w:t xml:space="preserve"> </w:t>
      </w:r>
      <w:r w:rsidR="00A64AF5" w:rsidRPr="00263E20">
        <w:rPr>
          <w:rFonts w:ascii="Times New Roman" w:hAnsi="Times New Roman"/>
          <w:bCs/>
        </w:rPr>
        <w:t xml:space="preserve">NOA prior to the arrival of shipment at the port of entry, issues can be resolved quickly </w:t>
      </w:r>
      <w:r w:rsidRPr="00263E20">
        <w:rPr>
          <w:rFonts w:ascii="Times New Roman" w:hAnsi="Times New Roman"/>
          <w:bCs/>
        </w:rPr>
        <w:t>and there is a little likelihood that</w:t>
      </w:r>
      <w:r w:rsidR="00A64AF5" w:rsidRPr="00263E20">
        <w:rPr>
          <w:rFonts w:ascii="Times New Roman" w:hAnsi="Times New Roman"/>
          <w:bCs/>
        </w:rPr>
        <w:t xml:space="preserve"> delays and associated costs </w:t>
      </w:r>
      <w:r w:rsidRPr="00263E20">
        <w:rPr>
          <w:rFonts w:ascii="Times New Roman" w:hAnsi="Times New Roman"/>
          <w:bCs/>
        </w:rPr>
        <w:t>will be</w:t>
      </w:r>
      <w:r w:rsidR="00A64AF5" w:rsidRPr="00263E20">
        <w:rPr>
          <w:rFonts w:ascii="Times New Roman" w:hAnsi="Times New Roman"/>
          <w:bCs/>
        </w:rPr>
        <w:t xml:space="preserve"> incurred.</w:t>
      </w:r>
      <w:r w:rsidR="00DA04B1">
        <w:rPr>
          <w:rFonts w:ascii="Times New Roman" w:hAnsi="Times New Roman"/>
          <w:bCs/>
        </w:rPr>
        <w:t xml:space="preserve"> EPA expects delays to be minimal for electronic filings</w:t>
      </w:r>
      <w:r w:rsidR="00F40A8E">
        <w:rPr>
          <w:rFonts w:ascii="Times New Roman" w:hAnsi="Times New Roman"/>
          <w:bCs/>
        </w:rPr>
        <w:t xml:space="preserve">, but </w:t>
      </w:r>
      <w:r w:rsidR="00094464">
        <w:rPr>
          <w:rFonts w:ascii="Times New Roman" w:hAnsi="Times New Roman"/>
          <w:bCs/>
        </w:rPr>
        <w:t xml:space="preserve">the Agency </w:t>
      </w:r>
      <w:r w:rsidR="00F40A8E">
        <w:rPr>
          <w:rFonts w:ascii="Times New Roman" w:hAnsi="Times New Roman"/>
          <w:bCs/>
        </w:rPr>
        <w:t>is unable to determine this until electronic filings become more routine</w:t>
      </w:r>
      <w:r w:rsidR="00DA04B1">
        <w:rPr>
          <w:rFonts w:ascii="Times New Roman" w:hAnsi="Times New Roman"/>
          <w:bCs/>
        </w:rPr>
        <w:t xml:space="preserve">. </w:t>
      </w:r>
      <w:r w:rsidR="00A64AF5" w:rsidRPr="00263E20">
        <w:rPr>
          <w:rFonts w:ascii="Times New Roman" w:hAnsi="Times New Roman"/>
          <w:bCs/>
        </w:rPr>
        <w:t xml:space="preserve">  </w:t>
      </w:r>
    </w:p>
    <w:p w14:paraId="651F8018" w14:textId="77777777" w:rsidR="00F91098" w:rsidRPr="00263E20" w:rsidRDefault="00F91098">
      <w:pPr>
        <w:tabs>
          <w:tab w:val="left" w:pos="-1440"/>
          <w:tab w:val="left" w:pos="-720"/>
          <w:tab w:val="decimal" w:pos="0"/>
        </w:tabs>
        <w:rPr>
          <w:rFonts w:ascii="Times New Roman" w:hAnsi="Times New Roman"/>
          <w:b/>
          <w:bCs/>
        </w:rPr>
      </w:pPr>
    </w:p>
    <w:p w14:paraId="04820DB0" w14:textId="6A3C5512" w:rsidR="00F53E3C" w:rsidRPr="00263E20" w:rsidRDefault="00BE7FD6" w:rsidP="00F53E3C">
      <w:pPr>
        <w:tabs>
          <w:tab w:val="left" w:pos="-1440"/>
          <w:tab w:val="left" w:pos="-720"/>
          <w:tab w:val="decimal" w:pos="0"/>
        </w:tabs>
        <w:ind w:firstLine="720"/>
        <w:rPr>
          <w:rFonts w:ascii="Times New Roman" w:hAnsi="Times New Roman"/>
          <w:b/>
          <w:bCs/>
        </w:rPr>
      </w:pPr>
      <w:r w:rsidRPr="00263E20">
        <w:rPr>
          <w:rFonts w:ascii="Times New Roman" w:hAnsi="Times New Roman"/>
          <w:b/>
          <w:bCs/>
        </w:rPr>
        <w:t xml:space="preserve">6(c) Estimating Agency Burden </w:t>
      </w:r>
    </w:p>
    <w:p w14:paraId="0C53BACF" w14:textId="77777777" w:rsidR="005F3366" w:rsidRPr="00263E20" w:rsidRDefault="005F3366" w:rsidP="005B772A">
      <w:pPr>
        <w:tabs>
          <w:tab w:val="left" w:pos="-1440"/>
          <w:tab w:val="left" w:pos="-720"/>
          <w:tab w:val="decimal" w:pos="0"/>
        </w:tabs>
        <w:rPr>
          <w:rFonts w:ascii="Times New Roman" w:hAnsi="Times New Roman"/>
        </w:rPr>
      </w:pPr>
    </w:p>
    <w:p w14:paraId="4D3FE871" w14:textId="2C303E3A" w:rsidR="000F2551" w:rsidRPr="00E43C21" w:rsidRDefault="005F3366" w:rsidP="0065123D">
      <w:pPr>
        <w:tabs>
          <w:tab w:val="left" w:pos="-1440"/>
          <w:tab w:val="left" w:pos="-720"/>
          <w:tab w:val="decimal" w:pos="0"/>
        </w:tabs>
        <w:rPr>
          <w:rFonts w:ascii="Times New Roman" w:hAnsi="Times New Roman"/>
        </w:rPr>
      </w:pPr>
      <w:r w:rsidRPr="00263E20">
        <w:rPr>
          <w:rFonts w:ascii="Times New Roman" w:hAnsi="Times New Roman"/>
        </w:rPr>
        <w:tab/>
      </w:r>
      <w:r w:rsidR="0065123D" w:rsidRPr="00263E20">
        <w:rPr>
          <w:rFonts w:ascii="Times New Roman" w:hAnsi="Times New Roman"/>
        </w:rPr>
        <w:t>EPA estimates that</w:t>
      </w:r>
      <w:r w:rsidR="00E43C21">
        <w:rPr>
          <w:rFonts w:ascii="Times New Roman" w:hAnsi="Times New Roman"/>
        </w:rPr>
        <w:t>,</w:t>
      </w:r>
      <w:r w:rsidR="0065123D" w:rsidRPr="00263E20">
        <w:rPr>
          <w:rFonts w:ascii="Times New Roman" w:hAnsi="Times New Roman"/>
        </w:rPr>
        <w:t xml:space="preserve"> in total</w:t>
      </w:r>
      <w:r w:rsidR="00E43C21">
        <w:rPr>
          <w:rFonts w:ascii="Times New Roman" w:hAnsi="Times New Roman"/>
        </w:rPr>
        <w:t>,</w:t>
      </w:r>
      <w:r w:rsidR="0065123D" w:rsidRPr="00263E20">
        <w:rPr>
          <w:rFonts w:ascii="Times New Roman" w:hAnsi="Times New Roman"/>
        </w:rPr>
        <w:t xml:space="preserve"> </w:t>
      </w:r>
      <w:r w:rsidR="00B5646A" w:rsidRPr="00263E20">
        <w:rPr>
          <w:rFonts w:ascii="Times New Roman" w:hAnsi="Times New Roman"/>
        </w:rPr>
        <w:t>10</w:t>
      </w:r>
      <w:r w:rsidR="005B772A" w:rsidRPr="00263E20">
        <w:rPr>
          <w:rFonts w:ascii="Times New Roman" w:hAnsi="Times New Roman"/>
        </w:rPr>
        <w:t xml:space="preserve"> FTEs</w:t>
      </w:r>
      <w:r w:rsidR="0065123D" w:rsidRPr="00263E20">
        <w:rPr>
          <w:rFonts w:ascii="Times New Roman" w:hAnsi="Times New Roman"/>
        </w:rPr>
        <w:t xml:space="preserve"> across EPA regional offices</w:t>
      </w:r>
      <w:r w:rsidR="005B772A" w:rsidRPr="00263E20">
        <w:rPr>
          <w:rFonts w:ascii="Times New Roman" w:hAnsi="Times New Roman"/>
        </w:rPr>
        <w:t xml:space="preserve"> </w:t>
      </w:r>
      <w:r w:rsidR="0065123D" w:rsidRPr="00263E20">
        <w:rPr>
          <w:rFonts w:ascii="Times New Roman" w:hAnsi="Times New Roman"/>
        </w:rPr>
        <w:t>are allocated for processing data submitted under this information collection</w:t>
      </w:r>
      <w:r w:rsidR="005B772A" w:rsidRPr="00263E20">
        <w:rPr>
          <w:rFonts w:ascii="Times New Roman" w:hAnsi="Times New Roman"/>
        </w:rPr>
        <w:t xml:space="preserve">. </w:t>
      </w:r>
      <w:bookmarkStart w:id="3" w:name="_Toc303260671"/>
      <w:bookmarkStart w:id="4" w:name="_Toc303260753"/>
      <w:bookmarkStart w:id="5" w:name="_Toc303608912"/>
      <w:r w:rsidR="00C7726C" w:rsidRPr="00263E20">
        <w:rPr>
          <w:rFonts w:ascii="Times New Roman" w:hAnsi="Times New Roman"/>
        </w:rPr>
        <w:t>The estimated number of federal government FTEs</w:t>
      </w:r>
      <w:r w:rsidR="00CB1C96" w:rsidRPr="00E43C21">
        <w:rPr>
          <w:rFonts w:ascii="Times New Roman" w:hAnsi="Times New Roman"/>
        </w:rPr>
        <w:t xml:space="preserve"> (full time equivalents)</w:t>
      </w:r>
      <w:r w:rsidR="00C7726C" w:rsidRPr="00263E20">
        <w:rPr>
          <w:rFonts w:ascii="Times New Roman" w:hAnsi="Times New Roman"/>
        </w:rPr>
        <w:t xml:space="preserve"> needed to process and review </w:t>
      </w:r>
      <w:r w:rsidR="00C219B7">
        <w:rPr>
          <w:rFonts w:ascii="Times New Roman" w:hAnsi="Times New Roman"/>
        </w:rPr>
        <w:t>NOAs</w:t>
      </w:r>
      <w:r w:rsidR="00C7726C" w:rsidRPr="00263E20">
        <w:rPr>
          <w:rFonts w:ascii="Times New Roman" w:hAnsi="Times New Roman"/>
        </w:rPr>
        <w:t xml:space="preserve"> on an annual basis was increased from the previous estimate of 8</w:t>
      </w:r>
      <w:r w:rsidR="0014337E" w:rsidRPr="00263E20">
        <w:rPr>
          <w:rFonts w:ascii="Times New Roman" w:hAnsi="Times New Roman"/>
        </w:rPr>
        <w:t xml:space="preserve"> to 10</w:t>
      </w:r>
      <w:r w:rsidR="00C7726C" w:rsidRPr="00263E20">
        <w:rPr>
          <w:rFonts w:ascii="Times New Roman" w:hAnsi="Times New Roman"/>
        </w:rPr>
        <w:t xml:space="preserve">. The number of EPA FTEs was estimated </w:t>
      </w:r>
      <w:r w:rsidR="00CB1C96" w:rsidRPr="00E43C21">
        <w:rPr>
          <w:rFonts w:ascii="Times New Roman" w:hAnsi="Times New Roman"/>
        </w:rPr>
        <w:t xml:space="preserve">upward to </w:t>
      </w:r>
      <w:r w:rsidR="0014337E" w:rsidRPr="00263E20">
        <w:rPr>
          <w:rFonts w:ascii="Times New Roman" w:hAnsi="Times New Roman"/>
        </w:rPr>
        <w:t>10</w:t>
      </w:r>
      <w:r w:rsidR="00C7726C" w:rsidRPr="00263E20">
        <w:rPr>
          <w:rFonts w:ascii="Times New Roman" w:hAnsi="Times New Roman"/>
        </w:rPr>
        <w:t xml:space="preserve"> based on input from EPA regional offices</w:t>
      </w:r>
      <w:r w:rsidR="0014337E" w:rsidRPr="00263E20">
        <w:rPr>
          <w:rFonts w:ascii="Times New Roman" w:hAnsi="Times New Roman"/>
        </w:rPr>
        <w:t xml:space="preserve"> and the </w:t>
      </w:r>
      <w:r w:rsidR="00CB1C96" w:rsidRPr="00E43C21">
        <w:rPr>
          <w:rFonts w:ascii="Times New Roman" w:hAnsi="Times New Roman"/>
        </w:rPr>
        <w:t xml:space="preserve">increase in the </w:t>
      </w:r>
      <w:r w:rsidR="0014337E" w:rsidRPr="00263E20">
        <w:rPr>
          <w:rFonts w:ascii="Times New Roman" w:hAnsi="Times New Roman"/>
        </w:rPr>
        <w:t>number of NOAs received</w:t>
      </w:r>
      <w:r w:rsidR="00CB1C96" w:rsidRPr="00E43C21">
        <w:rPr>
          <w:rFonts w:ascii="Times New Roman" w:hAnsi="Times New Roman"/>
        </w:rPr>
        <w:t xml:space="preserve"> annually</w:t>
      </w:r>
      <w:r w:rsidR="00E43C21">
        <w:rPr>
          <w:rFonts w:ascii="Times New Roman" w:hAnsi="Times New Roman"/>
        </w:rPr>
        <w:t xml:space="preserve"> in comparison to the previous renewal cycle</w:t>
      </w:r>
      <w:r w:rsidR="00C7726C" w:rsidRPr="00263E20">
        <w:rPr>
          <w:rFonts w:ascii="Times New Roman" w:hAnsi="Times New Roman"/>
        </w:rPr>
        <w:t xml:space="preserve">. </w:t>
      </w:r>
      <w:r w:rsidR="000F2551" w:rsidRPr="00E43C21">
        <w:rPr>
          <w:rFonts w:ascii="Times New Roman" w:hAnsi="Times New Roman"/>
        </w:rPr>
        <w:t xml:space="preserve">To </w:t>
      </w:r>
      <w:r w:rsidR="00E43C21">
        <w:rPr>
          <w:rFonts w:ascii="Times New Roman" w:hAnsi="Times New Roman"/>
        </w:rPr>
        <w:t>estimate</w:t>
      </w:r>
      <w:r w:rsidR="000F2551" w:rsidRPr="00E43C21">
        <w:rPr>
          <w:rFonts w:ascii="Times New Roman" w:hAnsi="Times New Roman"/>
        </w:rPr>
        <w:t xml:space="preserve"> the </w:t>
      </w:r>
      <w:r w:rsidR="00CB1C96" w:rsidRPr="00E43C21">
        <w:rPr>
          <w:rFonts w:ascii="Times New Roman" w:hAnsi="Times New Roman"/>
        </w:rPr>
        <w:t>Agency</w:t>
      </w:r>
      <w:r w:rsidR="000F2551" w:rsidRPr="00E43C21">
        <w:rPr>
          <w:rFonts w:ascii="Times New Roman" w:hAnsi="Times New Roman"/>
        </w:rPr>
        <w:t xml:space="preserve"> burden hours for this ICR, the number of FTEs, </w:t>
      </w:r>
      <w:r w:rsidR="00CB1C96" w:rsidRPr="00E43C21">
        <w:rPr>
          <w:rFonts w:ascii="Times New Roman" w:hAnsi="Times New Roman"/>
        </w:rPr>
        <w:t>10, was multiplied by the number of workday hours in a year, 2</w:t>
      </w:r>
      <w:r w:rsidR="00C219B7">
        <w:rPr>
          <w:rFonts w:ascii="Times New Roman" w:hAnsi="Times New Roman"/>
        </w:rPr>
        <w:t>,</w:t>
      </w:r>
      <w:r w:rsidR="00CB1C96" w:rsidRPr="00E43C21">
        <w:rPr>
          <w:rFonts w:ascii="Times New Roman" w:hAnsi="Times New Roman"/>
        </w:rPr>
        <w:t>080 hours (52</w:t>
      </w:r>
      <w:r w:rsidR="00E43C21">
        <w:rPr>
          <w:rFonts w:ascii="Times New Roman" w:hAnsi="Times New Roman"/>
        </w:rPr>
        <w:t xml:space="preserve"> </w:t>
      </w:r>
      <w:r w:rsidR="00CB1C96" w:rsidRPr="00E43C21">
        <w:rPr>
          <w:rFonts w:ascii="Times New Roman" w:hAnsi="Times New Roman"/>
        </w:rPr>
        <w:t xml:space="preserve">weeks </w:t>
      </w:r>
      <w:r w:rsidR="00E43C21">
        <w:rPr>
          <w:rFonts w:ascii="Times New Roman" w:hAnsi="Times New Roman"/>
        </w:rPr>
        <w:t>multiplied by</w:t>
      </w:r>
      <w:r w:rsidR="00CB1C96" w:rsidRPr="00E43C21">
        <w:rPr>
          <w:rFonts w:ascii="Times New Roman" w:hAnsi="Times New Roman"/>
        </w:rPr>
        <w:t xml:space="preserve"> 40hrs/week), to get a total of 20,800 Agency burden hours. </w:t>
      </w:r>
      <w:r w:rsidR="00C7726C" w:rsidRPr="00263E20">
        <w:rPr>
          <w:rFonts w:ascii="Times New Roman" w:hAnsi="Times New Roman"/>
        </w:rPr>
        <w:t xml:space="preserve"> </w:t>
      </w:r>
    </w:p>
    <w:p w14:paraId="0E1A5FAB" w14:textId="77777777" w:rsidR="000F2551" w:rsidRPr="00263E20" w:rsidRDefault="000F2551" w:rsidP="0065123D">
      <w:pPr>
        <w:tabs>
          <w:tab w:val="left" w:pos="-1440"/>
          <w:tab w:val="left" w:pos="-720"/>
          <w:tab w:val="decimal" w:pos="0"/>
        </w:tabs>
        <w:rPr>
          <w:rFonts w:ascii="Times New Roman" w:hAnsi="Times New Roman"/>
          <w:color w:val="FF0000"/>
        </w:rPr>
      </w:pPr>
    </w:p>
    <w:p w14:paraId="2992A4E3" w14:textId="77777777" w:rsidR="00C5483C" w:rsidRDefault="00C5483C" w:rsidP="00E43C21">
      <w:pPr>
        <w:tabs>
          <w:tab w:val="left" w:pos="-1440"/>
          <w:tab w:val="left" w:pos="-720"/>
          <w:tab w:val="decimal" w:pos="0"/>
        </w:tabs>
        <w:rPr>
          <w:rFonts w:ascii="Times New Roman" w:hAnsi="Times New Roman"/>
          <w:b/>
          <w:bCs/>
        </w:rPr>
        <w:sectPr w:rsidR="00C5483C" w:rsidSect="00F86BA1">
          <w:headerReference w:type="default" r:id="rId9"/>
          <w:footerReference w:type="default" r:id="rId10"/>
          <w:type w:val="continuous"/>
          <w:pgSz w:w="12240" w:h="15840" w:code="1"/>
          <w:pgMar w:top="1080" w:right="1080" w:bottom="1080" w:left="1080" w:header="720" w:footer="720" w:gutter="0"/>
          <w:cols w:space="720"/>
          <w:noEndnote/>
        </w:sectPr>
      </w:pPr>
    </w:p>
    <w:p w14:paraId="096351EC" w14:textId="4181BF3F" w:rsidR="00CB1C96" w:rsidRPr="00263E20" w:rsidRDefault="00E43C21" w:rsidP="00E43C21">
      <w:pPr>
        <w:tabs>
          <w:tab w:val="left" w:pos="-1440"/>
          <w:tab w:val="left" w:pos="-720"/>
          <w:tab w:val="decimal" w:pos="0"/>
        </w:tabs>
        <w:rPr>
          <w:rFonts w:ascii="Times New Roman" w:hAnsi="Times New Roman"/>
          <w:b/>
          <w:bCs/>
        </w:rPr>
      </w:pPr>
      <w:r>
        <w:rPr>
          <w:rFonts w:ascii="Times New Roman" w:hAnsi="Times New Roman"/>
          <w:b/>
          <w:bCs/>
        </w:rPr>
        <w:t xml:space="preserve">  </w:t>
      </w:r>
      <w:r w:rsidR="00CB1C96" w:rsidRPr="00263E20">
        <w:rPr>
          <w:rFonts w:ascii="Times New Roman" w:hAnsi="Times New Roman"/>
          <w:b/>
          <w:bCs/>
        </w:rPr>
        <w:t xml:space="preserve">Table 7: Agency Burden </w:t>
      </w:r>
      <w:r w:rsidR="00CB1C96" w:rsidRPr="00E43C21">
        <w:rPr>
          <w:rFonts w:ascii="Times New Roman" w:hAnsi="Times New Roman"/>
          <w:b/>
          <w:bCs/>
        </w:rPr>
        <w:t>Estimate</w:t>
      </w:r>
    </w:p>
    <w:p w14:paraId="424A6FAD" w14:textId="77777777" w:rsidR="00CB1C96" w:rsidRPr="00E43C21" w:rsidRDefault="00CB1C96" w:rsidP="00E43C21">
      <w:pPr>
        <w:tabs>
          <w:tab w:val="left" w:pos="-1440"/>
          <w:tab w:val="left" w:pos="-720"/>
          <w:tab w:val="decimal" w:pos="0"/>
        </w:tabs>
        <w:rPr>
          <w:rFonts w:ascii="Times New Roman" w:hAnsi="Times New Roman"/>
          <w:b/>
          <w:bCs/>
          <w:sz w:val="12"/>
          <w:szCs w:val="12"/>
        </w:rPr>
      </w:pPr>
    </w:p>
    <w:tbl>
      <w:tblPr>
        <w:tblW w:w="0" w:type="auto"/>
        <w:tblInd w:w="145" w:type="dxa"/>
        <w:tblLayout w:type="fixed"/>
        <w:tblCellMar>
          <w:left w:w="145" w:type="dxa"/>
          <w:right w:w="145" w:type="dxa"/>
        </w:tblCellMar>
        <w:tblLook w:val="0000" w:firstRow="0" w:lastRow="0" w:firstColumn="0" w:lastColumn="0" w:noHBand="0" w:noVBand="0"/>
      </w:tblPr>
      <w:tblGrid>
        <w:gridCol w:w="3420"/>
        <w:gridCol w:w="4880"/>
      </w:tblGrid>
      <w:tr w:rsidR="00D74D04" w:rsidRPr="00263E20" w14:paraId="02FA16B4" w14:textId="77777777" w:rsidTr="004C0BBA">
        <w:trPr>
          <w:trHeight w:val="357"/>
        </w:trPr>
        <w:tc>
          <w:tcPr>
            <w:tcW w:w="3420" w:type="dxa"/>
            <w:tcBorders>
              <w:top w:val="double" w:sz="4" w:space="0" w:color="000000"/>
              <w:left w:val="double" w:sz="4" w:space="0" w:color="000000"/>
              <w:bottom w:val="nil"/>
              <w:right w:val="single" w:sz="6" w:space="0" w:color="FFFFFF"/>
            </w:tcBorders>
          </w:tcPr>
          <w:p w14:paraId="3FE52136" w14:textId="77777777" w:rsidR="00D74D04" w:rsidRPr="00263E20" w:rsidRDefault="00D74D04" w:rsidP="008A30A2">
            <w:pPr>
              <w:keepNext/>
              <w:widowControl/>
              <w:tabs>
                <w:tab w:val="left" w:pos="-1440"/>
                <w:tab w:val="left" w:pos="-720"/>
                <w:tab w:val="decimal" w:pos="0"/>
              </w:tabs>
              <w:rPr>
                <w:rFonts w:ascii="Times New Roman" w:hAnsi="Times New Roman"/>
                <w:bCs/>
              </w:rPr>
            </w:pPr>
          </w:p>
        </w:tc>
        <w:tc>
          <w:tcPr>
            <w:tcW w:w="4880" w:type="dxa"/>
            <w:tcBorders>
              <w:top w:val="double" w:sz="4" w:space="0" w:color="000000"/>
              <w:left w:val="single" w:sz="6" w:space="0" w:color="000000"/>
              <w:bottom w:val="single" w:sz="6" w:space="0" w:color="FFFFFF"/>
              <w:right w:val="double" w:sz="4" w:space="0" w:color="000000"/>
            </w:tcBorders>
          </w:tcPr>
          <w:p w14:paraId="5437FD37" w14:textId="2CFDC8D6" w:rsidR="00D74D04" w:rsidRPr="00263E20" w:rsidRDefault="00D74D04" w:rsidP="008A30A2">
            <w:pPr>
              <w:keepNext/>
              <w:widowControl/>
              <w:tabs>
                <w:tab w:val="left" w:pos="-1440"/>
                <w:tab w:val="left" w:pos="-720"/>
                <w:tab w:val="decimal" w:pos="0"/>
              </w:tabs>
              <w:jc w:val="center"/>
              <w:rPr>
                <w:rFonts w:ascii="Times New Roman" w:hAnsi="Times New Roman"/>
                <w:bCs/>
              </w:rPr>
            </w:pPr>
            <w:r w:rsidRPr="00263E20">
              <w:rPr>
                <w:rFonts w:ascii="Times New Roman" w:hAnsi="Times New Roman"/>
                <w:bCs/>
              </w:rPr>
              <w:t>Total Burden Hours</w:t>
            </w:r>
          </w:p>
        </w:tc>
      </w:tr>
      <w:tr w:rsidR="00D74D04" w:rsidRPr="00263E20" w14:paraId="19122D10" w14:textId="77777777" w:rsidTr="00E43C21">
        <w:tc>
          <w:tcPr>
            <w:tcW w:w="3420" w:type="dxa"/>
            <w:tcBorders>
              <w:top w:val="single" w:sz="6" w:space="0" w:color="000000"/>
              <w:left w:val="double" w:sz="4" w:space="0" w:color="000000"/>
              <w:bottom w:val="single" w:sz="6" w:space="0" w:color="000000"/>
              <w:right w:val="single" w:sz="6" w:space="0" w:color="FFFFFF"/>
            </w:tcBorders>
          </w:tcPr>
          <w:p w14:paraId="7A9F7E48" w14:textId="11830757" w:rsidR="00D74D04" w:rsidRPr="00263E20" w:rsidRDefault="00D74D04" w:rsidP="00D74D04">
            <w:pPr>
              <w:keepNext/>
              <w:widowControl/>
              <w:tabs>
                <w:tab w:val="left" w:pos="-1440"/>
                <w:tab w:val="left" w:pos="-720"/>
                <w:tab w:val="decimal" w:pos="0"/>
              </w:tabs>
              <w:rPr>
                <w:rFonts w:ascii="Times New Roman" w:hAnsi="Times New Roman"/>
                <w:bCs/>
              </w:rPr>
            </w:pPr>
            <w:r w:rsidRPr="00263E20">
              <w:rPr>
                <w:rFonts w:ascii="Times New Roman" w:hAnsi="Times New Roman"/>
              </w:rPr>
              <w:t>FTEs (full time equivalents)</w:t>
            </w:r>
          </w:p>
        </w:tc>
        <w:tc>
          <w:tcPr>
            <w:tcW w:w="4880" w:type="dxa"/>
            <w:tcBorders>
              <w:top w:val="single" w:sz="6" w:space="0" w:color="000000"/>
              <w:left w:val="single" w:sz="6" w:space="0" w:color="000000"/>
              <w:bottom w:val="single" w:sz="6" w:space="0" w:color="000000"/>
              <w:right w:val="double" w:sz="4" w:space="0" w:color="000000"/>
            </w:tcBorders>
            <w:vAlign w:val="center"/>
          </w:tcPr>
          <w:p w14:paraId="02F556DE" w14:textId="3053EA42" w:rsidR="00D74D04" w:rsidRPr="00263E20" w:rsidRDefault="00D74D04" w:rsidP="00E43C21">
            <w:pPr>
              <w:keepNext/>
              <w:widowControl/>
              <w:tabs>
                <w:tab w:val="left" w:pos="-1440"/>
                <w:tab w:val="left" w:pos="-720"/>
                <w:tab w:val="decimal" w:pos="0"/>
              </w:tabs>
              <w:jc w:val="center"/>
              <w:rPr>
                <w:rFonts w:ascii="Times New Roman" w:hAnsi="Times New Roman"/>
              </w:rPr>
            </w:pPr>
            <w:r w:rsidRPr="00263E20">
              <w:rPr>
                <w:rFonts w:ascii="Times New Roman" w:hAnsi="Times New Roman"/>
              </w:rPr>
              <w:t>10 FTEs</w:t>
            </w:r>
          </w:p>
        </w:tc>
      </w:tr>
      <w:tr w:rsidR="00D74D04" w:rsidRPr="00263E20" w14:paraId="5170EEF2" w14:textId="77777777" w:rsidTr="00E43C21">
        <w:tc>
          <w:tcPr>
            <w:tcW w:w="3420" w:type="dxa"/>
            <w:tcBorders>
              <w:top w:val="single" w:sz="6" w:space="0" w:color="000000"/>
              <w:left w:val="double" w:sz="4" w:space="0" w:color="000000"/>
              <w:bottom w:val="single" w:sz="6" w:space="0" w:color="000000"/>
              <w:right w:val="single" w:sz="6" w:space="0" w:color="FFFFFF"/>
            </w:tcBorders>
          </w:tcPr>
          <w:p w14:paraId="5FC2FC2B" w14:textId="14DDA492" w:rsidR="00D74D04" w:rsidRPr="00263E20" w:rsidRDefault="00D74D04" w:rsidP="004C0BBA">
            <w:pPr>
              <w:keepNext/>
              <w:widowControl/>
              <w:tabs>
                <w:tab w:val="left" w:pos="-1440"/>
                <w:tab w:val="left" w:pos="-720"/>
                <w:tab w:val="decimal" w:pos="0"/>
              </w:tabs>
              <w:rPr>
                <w:rFonts w:ascii="Times New Roman" w:hAnsi="Times New Roman"/>
                <w:bCs/>
              </w:rPr>
            </w:pPr>
            <w:r w:rsidRPr="00263E20">
              <w:rPr>
                <w:rFonts w:ascii="Times New Roman" w:hAnsi="Times New Roman"/>
              </w:rPr>
              <w:t>Workday hours</w:t>
            </w:r>
            <w:r w:rsidR="004C0BBA">
              <w:rPr>
                <w:rFonts w:ascii="Times New Roman" w:hAnsi="Times New Roman"/>
              </w:rPr>
              <w:t xml:space="preserve"> per FTE </w:t>
            </w:r>
          </w:p>
        </w:tc>
        <w:tc>
          <w:tcPr>
            <w:tcW w:w="4880" w:type="dxa"/>
            <w:tcBorders>
              <w:top w:val="single" w:sz="6" w:space="0" w:color="000000"/>
              <w:left w:val="single" w:sz="6" w:space="0" w:color="000000"/>
              <w:bottom w:val="single" w:sz="6" w:space="0" w:color="000000"/>
              <w:right w:val="double" w:sz="4" w:space="0" w:color="000000"/>
            </w:tcBorders>
          </w:tcPr>
          <w:p w14:paraId="76F934F1" w14:textId="4058F8F7" w:rsidR="00D74D04" w:rsidRPr="00E43C21" w:rsidRDefault="00D74D04" w:rsidP="00862768">
            <w:pPr>
              <w:keepNext/>
              <w:widowControl/>
              <w:tabs>
                <w:tab w:val="left" w:pos="-1440"/>
                <w:tab w:val="left" w:pos="-720"/>
                <w:tab w:val="decimal" w:pos="0"/>
              </w:tabs>
              <w:jc w:val="center"/>
              <w:rPr>
                <w:rFonts w:ascii="Times New Roman" w:hAnsi="Times New Roman"/>
              </w:rPr>
            </w:pPr>
            <w:r w:rsidRPr="00E43C21">
              <w:rPr>
                <w:rFonts w:ascii="Times New Roman" w:hAnsi="Times New Roman"/>
              </w:rPr>
              <w:t>2</w:t>
            </w:r>
            <w:r w:rsidRPr="00263E20">
              <w:rPr>
                <w:rFonts w:ascii="Times New Roman" w:hAnsi="Times New Roman"/>
              </w:rPr>
              <w:t>,</w:t>
            </w:r>
            <w:r w:rsidRPr="00E43C21">
              <w:rPr>
                <w:rFonts w:ascii="Times New Roman" w:hAnsi="Times New Roman"/>
              </w:rPr>
              <w:t>080</w:t>
            </w:r>
            <w:r w:rsidRPr="00263E20">
              <w:rPr>
                <w:rFonts w:ascii="Times New Roman" w:hAnsi="Times New Roman"/>
              </w:rPr>
              <w:t xml:space="preserve"> hours</w:t>
            </w:r>
          </w:p>
        </w:tc>
      </w:tr>
      <w:tr w:rsidR="00D74D04" w:rsidRPr="00263E20" w14:paraId="02AFD810" w14:textId="77777777" w:rsidTr="00E43C21">
        <w:tc>
          <w:tcPr>
            <w:tcW w:w="3420" w:type="dxa"/>
            <w:tcBorders>
              <w:top w:val="single" w:sz="6" w:space="0" w:color="000000"/>
              <w:left w:val="double" w:sz="4" w:space="0" w:color="000000"/>
              <w:bottom w:val="double" w:sz="4" w:space="0" w:color="000000"/>
              <w:right w:val="single" w:sz="6" w:space="0" w:color="FFFFFF"/>
            </w:tcBorders>
          </w:tcPr>
          <w:p w14:paraId="463DFA63" w14:textId="3CC4B5B7" w:rsidR="00D74D04" w:rsidRPr="00263E20" w:rsidRDefault="004C0BBA" w:rsidP="00D74D04">
            <w:pPr>
              <w:keepNext/>
              <w:widowControl/>
              <w:tabs>
                <w:tab w:val="left" w:pos="-1440"/>
                <w:tab w:val="left" w:pos="-720"/>
                <w:tab w:val="decimal" w:pos="0"/>
              </w:tabs>
              <w:rPr>
                <w:rFonts w:ascii="Times New Roman" w:hAnsi="Times New Roman"/>
                <w:bCs/>
              </w:rPr>
            </w:pPr>
            <w:r>
              <w:rPr>
                <w:rFonts w:ascii="Times New Roman" w:hAnsi="Times New Roman"/>
                <w:bCs/>
              </w:rPr>
              <w:t>Total Workday Hours Annually</w:t>
            </w:r>
          </w:p>
        </w:tc>
        <w:tc>
          <w:tcPr>
            <w:tcW w:w="4880" w:type="dxa"/>
            <w:tcBorders>
              <w:top w:val="single" w:sz="6" w:space="0" w:color="000000"/>
              <w:left w:val="single" w:sz="6" w:space="0" w:color="000000"/>
              <w:bottom w:val="double" w:sz="4" w:space="0" w:color="000000"/>
              <w:right w:val="double" w:sz="4" w:space="0" w:color="000000"/>
            </w:tcBorders>
            <w:vAlign w:val="center"/>
          </w:tcPr>
          <w:p w14:paraId="7FD3FD78" w14:textId="4C08251D" w:rsidR="00D74D04" w:rsidRPr="00E43C21" w:rsidRDefault="00D74D04" w:rsidP="00862768">
            <w:pPr>
              <w:keepNext/>
              <w:widowControl/>
              <w:tabs>
                <w:tab w:val="left" w:pos="-1440"/>
                <w:tab w:val="left" w:pos="-720"/>
                <w:tab w:val="decimal" w:pos="0"/>
              </w:tabs>
              <w:jc w:val="center"/>
              <w:rPr>
                <w:rFonts w:ascii="Times New Roman" w:hAnsi="Times New Roman"/>
                <w:b/>
              </w:rPr>
            </w:pPr>
            <w:r w:rsidRPr="00E43C21">
              <w:rPr>
                <w:rFonts w:ascii="Times New Roman" w:hAnsi="Times New Roman"/>
                <w:b/>
              </w:rPr>
              <w:t>20,800 hours</w:t>
            </w:r>
          </w:p>
        </w:tc>
      </w:tr>
    </w:tbl>
    <w:p w14:paraId="083A4E93" w14:textId="77777777" w:rsidR="00CB1C96" w:rsidRPr="00263E20" w:rsidRDefault="00CB1C96" w:rsidP="0065123D">
      <w:pPr>
        <w:tabs>
          <w:tab w:val="left" w:pos="-1440"/>
          <w:tab w:val="left" w:pos="-720"/>
          <w:tab w:val="decimal" w:pos="0"/>
        </w:tabs>
        <w:rPr>
          <w:rFonts w:ascii="Times New Roman" w:hAnsi="Times New Roman"/>
          <w:color w:val="FF0000"/>
        </w:rPr>
      </w:pPr>
    </w:p>
    <w:p w14:paraId="59AEB63B" w14:textId="026BC6D7" w:rsidR="00CB1C96" w:rsidRPr="00263E20" w:rsidRDefault="00CB1C96" w:rsidP="000F2551">
      <w:pPr>
        <w:ind w:firstLine="720"/>
        <w:rPr>
          <w:rFonts w:ascii="Times New Roman" w:hAnsi="Times New Roman"/>
          <w:bCs/>
        </w:rPr>
      </w:pPr>
      <w:r w:rsidRPr="00263E20">
        <w:rPr>
          <w:rFonts w:ascii="Times New Roman" w:hAnsi="Times New Roman"/>
          <w:b/>
          <w:bCs/>
        </w:rPr>
        <w:t>6(d) Estimating Agency Costs</w:t>
      </w:r>
    </w:p>
    <w:p w14:paraId="1E91D9FD" w14:textId="77777777" w:rsidR="00CB1C96" w:rsidRPr="00263E20" w:rsidRDefault="00CB1C96" w:rsidP="000F2551">
      <w:pPr>
        <w:ind w:firstLine="720"/>
        <w:rPr>
          <w:rFonts w:ascii="Times New Roman" w:hAnsi="Times New Roman"/>
          <w:bCs/>
        </w:rPr>
      </w:pPr>
    </w:p>
    <w:p w14:paraId="53CC5967" w14:textId="7A4C7477" w:rsidR="000F2551" w:rsidRPr="00E43C21" w:rsidRDefault="000F2551" w:rsidP="000F2551">
      <w:pPr>
        <w:ind w:firstLine="720"/>
        <w:rPr>
          <w:rFonts w:ascii="Times New Roman" w:hAnsi="Times New Roman"/>
        </w:rPr>
      </w:pPr>
      <w:r w:rsidRPr="00263E20">
        <w:rPr>
          <w:rFonts w:ascii="Times New Roman" w:hAnsi="Times New Roman"/>
          <w:bCs/>
        </w:rPr>
        <w:t xml:space="preserve">The methodology for calculating the wage rates in this renewal of the ICR has been updated to be consistent with the method for wage calculation for all ICRs managed by the Office of Pesticide Programs (OPP). The previous ICR used the </w:t>
      </w:r>
      <w:r w:rsidR="00095B0B" w:rsidRPr="00263E20">
        <w:rPr>
          <w:rFonts w:ascii="Times New Roman" w:hAnsi="Times New Roman"/>
          <w:bCs/>
        </w:rPr>
        <w:t xml:space="preserve">2011 </w:t>
      </w:r>
      <w:r w:rsidRPr="00E43C21">
        <w:rPr>
          <w:rFonts w:ascii="Times New Roman" w:hAnsi="Times New Roman"/>
        </w:rPr>
        <w:t>annual salary for a federal employee at the GS-13, Step 1 level ($71,674</w:t>
      </w:r>
      <w:r w:rsidR="009E2B12">
        <w:rPr>
          <w:rFonts w:ascii="Times New Roman" w:hAnsi="Times New Roman"/>
        </w:rPr>
        <w:t xml:space="preserve"> annually, or $34/hr, $74/hr when fully loaded</w:t>
      </w:r>
      <w:r w:rsidRPr="00E43C21">
        <w:rPr>
          <w:rFonts w:ascii="Times New Roman" w:hAnsi="Times New Roman"/>
        </w:rPr>
        <w:t xml:space="preserve">). </w:t>
      </w:r>
      <w:r w:rsidR="00D74D04" w:rsidRPr="00263E20">
        <w:rPr>
          <w:rFonts w:ascii="Times New Roman" w:hAnsi="Times New Roman"/>
        </w:rPr>
        <w:t>This ICR uses the fully loaded hourly</w:t>
      </w:r>
      <w:r w:rsidR="00095B0B" w:rsidRPr="00263E20">
        <w:rPr>
          <w:rFonts w:ascii="Times New Roman" w:hAnsi="Times New Roman"/>
        </w:rPr>
        <w:t xml:space="preserve"> (flh)</w:t>
      </w:r>
      <w:r w:rsidR="00D74D04" w:rsidRPr="00263E20">
        <w:rPr>
          <w:rFonts w:ascii="Times New Roman" w:hAnsi="Times New Roman"/>
        </w:rPr>
        <w:t xml:space="preserve"> wage rate for technical staff in the federal government</w:t>
      </w:r>
      <w:r w:rsidR="00095B0B" w:rsidRPr="00263E20">
        <w:rPr>
          <w:rFonts w:ascii="Times New Roman" w:hAnsi="Times New Roman"/>
        </w:rPr>
        <w:t xml:space="preserve"> ($77,272, $37/hr</w:t>
      </w:r>
      <w:r w:rsidR="00095B0B" w:rsidRPr="00E43C21">
        <w:rPr>
          <w:rFonts w:ascii="Times New Roman" w:hAnsi="Times New Roman"/>
        </w:rPr>
        <w:t>, $82/flh)</w:t>
      </w:r>
      <w:r w:rsidR="001729D2" w:rsidRPr="00E43C21">
        <w:rPr>
          <w:rFonts w:ascii="Times New Roman" w:hAnsi="Times New Roman"/>
        </w:rPr>
        <w:t xml:space="preserve"> to</w:t>
      </w:r>
      <w:r w:rsidR="001729D2">
        <w:rPr>
          <w:rFonts w:ascii="Times New Roman" w:hAnsi="Times New Roman"/>
        </w:rPr>
        <w:t xml:space="preserve"> represent the wage rates for relevant Agency staff</w:t>
      </w:r>
      <w:r w:rsidR="00D74D04" w:rsidRPr="00263E20">
        <w:rPr>
          <w:rFonts w:ascii="Times New Roman" w:hAnsi="Times New Roman"/>
        </w:rPr>
        <w:t>.</w:t>
      </w:r>
    </w:p>
    <w:p w14:paraId="6663209A" w14:textId="77777777" w:rsidR="000F2551" w:rsidRPr="00263E20" w:rsidRDefault="000F2551" w:rsidP="0032665A">
      <w:pPr>
        <w:ind w:firstLine="720"/>
        <w:jc w:val="center"/>
        <w:rPr>
          <w:rFonts w:ascii="Times New Roman" w:hAnsi="Times New Roman"/>
          <w:bCs/>
        </w:rPr>
      </w:pPr>
    </w:p>
    <w:p w14:paraId="4EB865E7" w14:textId="51CFFE07" w:rsidR="000F2551" w:rsidRPr="00263E20" w:rsidRDefault="000F2551" w:rsidP="000F2551">
      <w:pPr>
        <w:ind w:firstLine="720"/>
        <w:rPr>
          <w:rFonts w:ascii="Times New Roman" w:hAnsi="Times New Roman"/>
          <w:bCs/>
        </w:rPr>
      </w:pPr>
      <w:r w:rsidRPr="00263E20">
        <w:rPr>
          <w:rFonts w:ascii="Times New Roman" w:hAnsi="Times New Roman"/>
          <w:bCs/>
        </w:rPr>
        <w:t xml:space="preserve"> The current wage estimates are based on the most recent </w:t>
      </w:r>
      <w:r w:rsidR="009E2B12">
        <w:rPr>
          <w:rFonts w:ascii="Times New Roman" w:hAnsi="Times New Roman"/>
          <w:bCs/>
        </w:rPr>
        <w:t xml:space="preserve">2014 wage </w:t>
      </w:r>
      <w:r w:rsidRPr="00263E20">
        <w:rPr>
          <w:rFonts w:ascii="Times New Roman" w:hAnsi="Times New Roman"/>
          <w:bCs/>
        </w:rPr>
        <w:t xml:space="preserve">data, accessed online in 2016. The calculation of the wage rate uses base wage data for each sector and labor type for an </w:t>
      </w:r>
      <w:r w:rsidRPr="00263E20">
        <w:rPr>
          <w:rFonts w:ascii="Times New Roman" w:hAnsi="Times New Roman"/>
          <w:bCs/>
          <w:i/>
        </w:rPr>
        <w:t>Unloaded wage rate</w:t>
      </w:r>
      <w:r w:rsidRPr="00263E20">
        <w:rPr>
          <w:rFonts w:ascii="Times New Roman" w:hAnsi="Times New Roman"/>
          <w:bCs/>
        </w:rPr>
        <w:t xml:space="preserve"> (hourly wage rate) and calculates the </w:t>
      </w:r>
      <w:r w:rsidRPr="00263E20">
        <w:rPr>
          <w:rFonts w:ascii="Times New Roman" w:hAnsi="Times New Roman"/>
          <w:bCs/>
          <w:i/>
        </w:rPr>
        <w:t>Loaded wage rate</w:t>
      </w:r>
      <w:r w:rsidRPr="00263E20">
        <w:rPr>
          <w:rFonts w:ascii="Times New Roman" w:hAnsi="Times New Roman"/>
          <w:bCs/>
        </w:rPr>
        <w:t xml:space="preserve"> (unloaded wage rate + benefits) and the </w:t>
      </w:r>
      <w:r w:rsidRPr="00263E20">
        <w:rPr>
          <w:rFonts w:ascii="Times New Roman" w:hAnsi="Times New Roman"/>
          <w:bCs/>
          <w:i/>
        </w:rPr>
        <w:t>Fully loaded wage rate</w:t>
      </w:r>
      <w:r w:rsidRPr="00263E20">
        <w:rPr>
          <w:rFonts w:ascii="Times New Roman" w:hAnsi="Times New Roman"/>
          <w:bCs/>
        </w:rPr>
        <w:t xml:space="preserve"> (loaded wage rate + overhead) based on that data.  </w:t>
      </w:r>
    </w:p>
    <w:p w14:paraId="0D008B82" w14:textId="77777777" w:rsidR="000F2551" w:rsidRPr="00263E20" w:rsidRDefault="000F2551" w:rsidP="000F2551">
      <w:pPr>
        <w:ind w:firstLine="720"/>
        <w:rPr>
          <w:rFonts w:ascii="Times New Roman" w:hAnsi="Times New Roman"/>
          <w:bCs/>
        </w:rPr>
      </w:pPr>
    </w:p>
    <w:p w14:paraId="03324E93" w14:textId="094A71B6" w:rsidR="005B772A" w:rsidRPr="009E2B12" w:rsidRDefault="000F2551" w:rsidP="0065123D">
      <w:pPr>
        <w:tabs>
          <w:tab w:val="left" w:pos="-1440"/>
          <w:tab w:val="left" w:pos="-720"/>
          <w:tab w:val="decimal" w:pos="0"/>
        </w:tabs>
        <w:rPr>
          <w:rFonts w:ascii="Times New Roman" w:hAnsi="Times New Roman"/>
          <w:bCs/>
        </w:rPr>
      </w:pPr>
      <w:r w:rsidRPr="00263E20">
        <w:rPr>
          <w:rFonts w:ascii="Times New Roman" w:hAnsi="Times New Roman"/>
          <w:bCs/>
          <w:i/>
        </w:rPr>
        <w:tab/>
        <w:t>Fully Loaded Wage Rate:</w:t>
      </w:r>
      <w:r w:rsidRPr="00263E20">
        <w:rPr>
          <w:rFonts w:ascii="Times New Roman" w:hAnsi="Times New Roman"/>
          <w:bCs/>
        </w:rPr>
        <w:t xml:space="preserve">  OPP multiplies the loaded wage rate by 50% (EPA guidelines 20-70%) to get overhead costs. </w:t>
      </w:r>
      <w:r w:rsidRPr="00263E20">
        <w:rPr>
          <w:rFonts w:ascii="Times New Roman" w:hAnsi="Times New Roman"/>
        </w:rPr>
        <w:t xml:space="preserve">NAICS code </w:t>
      </w:r>
      <w:r w:rsidRPr="00263E20">
        <w:rPr>
          <w:rFonts w:ascii="Times New Roman" w:hAnsi="Times New Roman"/>
          <w:bCs/>
        </w:rPr>
        <w:t xml:space="preserve">999100 for the Federal Government was used to calculate </w:t>
      </w:r>
      <w:r w:rsidRPr="00263E20">
        <w:rPr>
          <w:rFonts w:ascii="Times New Roman" w:hAnsi="Times New Roman"/>
        </w:rPr>
        <w:t xml:space="preserve">hourly wage rates for the Agency. The fully loaded hourly wage rates for management, technical, and clerical occupations for </w:t>
      </w:r>
      <w:r w:rsidRPr="009E2B12">
        <w:rPr>
          <w:rFonts w:ascii="Times New Roman" w:hAnsi="Times New Roman"/>
        </w:rPr>
        <w:t xml:space="preserve">NAICS </w:t>
      </w:r>
      <w:r w:rsidRPr="00263E20">
        <w:rPr>
          <w:rFonts w:ascii="Times New Roman" w:hAnsi="Times New Roman"/>
          <w:bCs/>
        </w:rPr>
        <w:t xml:space="preserve">999100 </w:t>
      </w:r>
      <w:r w:rsidRPr="009E2B12">
        <w:rPr>
          <w:rFonts w:ascii="Times New Roman" w:hAnsi="Times New Roman"/>
        </w:rPr>
        <w:t>are $124.09, $81.53, and $46.42</w:t>
      </w:r>
      <w:r w:rsidRPr="00263E20">
        <w:rPr>
          <w:rFonts w:ascii="Times New Roman" w:hAnsi="Times New Roman"/>
        </w:rPr>
        <w:t xml:space="preserve">, respectively. See </w:t>
      </w:r>
      <w:r w:rsidRPr="009E2B12">
        <w:rPr>
          <w:rFonts w:ascii="Times New Roman" w:hAnsi="Times New Roman"/>
        </w:rPr>
        <w:t xml:space="preserve">Attachment </w:t>
      </w:r>
      <w:r w:rsidR="006D203F">
        <w:rPr>
          <w:rFonts w:ascii="Times New Roman" w:hAnsi="Times New Roman"/>
        </w:rPr>
        <w:t>G</w:t>
      </w:r>
      <w:r w:rsidRPr="00263E20">
        <w:rPr>
          <w:rFonts w:ascii="Times New Roman" w:hAnsi="Times New Roman"/>
        </w:rPr>
        <w:t xml:space="preserve"> for labor wage calculations.  </w:t>
      </w:r>
      <w:bookmarkEnd w:id="3"/>
      <w:bookmarkEnd w:id="4"/>
      <w:bookmarkEnd w:id="5"/>
    </w:p>
    <w:p w14:paraId="33A9A210" w14:textId="77777777" w:rsidR="000F2551" w:rsidRPr="009E2B12" w:rsidRDefault="000F2551" w:rsidP="00D74D04">
      <w:pPr>
        <w:tabs>
          <w:tab w:val="left" w:pos="-1440"/>
          <w:tab w:val="left" w:pos="-720"/>
          <w:tab w:val="decimal" w:pos="0"/>
        </w:tabs>
        <w:rPr>
          <w:rFonts w:ascii="Times New Roman" w:hAnsi="Times New Roman"/>
        </w:rPr>
      </w:pPr>
    </w:p>
    <w:p w14:paraId="38AD187F" w14:textId="4C349C5E" w:rsidR="005B772A" w:rsidRPr="009E2B12" w:rsidRDefault="00AA3D8D">
      <w:pPr>
        <w:tabs>
          <w:tab w:val="left" w:pos="-1440"/>
          <w:tab w:val="left" w:pos="-720"/>
          <w:tab w:val="decimal" w:pos="0"/>
        </w:tabs>
        <w:rPr>
          <w:rFonts w:ascii="Times New Roman" w:hAnsi="Times New Roman"/>
        </w:rPr>
      </w:pPr>
      <w:r w:rsidRPr="009E2B12">
        <w:rPr>
          <w:rFonts w:ascii="Times New Roman" w:hAnsi="Times New Roman"/>
        </w:rPr>
        <w:tab/>
      </w:r>
      <w:r w:rsidR="005B772A" w:rsidRPr="009E2B12">
        <w:rPr>
          <w:rFonts w:ascii="Times New Roman" w:hAnsi="Times New Roman"/>
        </w:rPr>
        <w:t xml:space="preserve">Table </w:t>
      </w:r>
      <w:r w:rsidR="00F54901" w:rsidRPr="009E2B12">
        <w:rPr>
          <w:rFonts w:ascii="Times New Roman" w:hAnsi="Times New Roman"/>
        </w:rPr>
        <w:t>7</w:t>
      </w:r>
      <w:r w:rsidR="005B772A" w:rsidRPr="009E2B12">
        <w:rPr>
          <w:rFonts w:ascii="Times New Roman" w:hAnsi="Times New Roman"/>
        </w:rPr>
        <w:t xml:space="preserve"> sh</w:t>
      </w:r>
      <w:r w:rsidR="0065123D" w:rsidRPr="009E2B12">
        <w:rPr>
          <w:rFonts w:ascii="Times New Roman" w:hAnsi="Times New Roman"/>
        </w:rPr>
        <w:t>ows</w:t>
      </w:r>
      <w:r w:rsidR="005B772A" w:rsidRPr="009E2B12">
        <w:rPr>
          <w:rFonts w:ascii="Times New Roman" w:hAnsi="Times New Roman"/>
        </w:rPr>
        <w:t xml:space="preserve"> the total cost of federal government labor for processing NOA forms. At a fully loaded annual wage rate of $1</w:t>
      </w:r>
      <w:r w:rsidR="009E2B12" w:rsidRPr="009E2B12">
        <w:rPr>
          <w:rFonts w:ascii="Times New Roman" w:hAnsi="Times New Roman"/>
        </w:rPr>
        <w:t>69</w:t>
      </w:r>
      <w:r w:rsidR="005B772A" w:rsidRPr="009E2B12">
        <w:rPr>
          <w:rFonts w:ascii="Times New Roman" w:hAnsi="Times New Roman"/>
        </w:rPr>
        <w:t>,</w:t>
      </w:r>
      <w:r w:rsidR="009E2B12" w:rsidRPr="009E2B12">
        <w:rPr>
          <w:rFonts w:ascii="Times New Roman" w:hAnsi="Times New Roman"/>
        </w:rPr>
        <w:t>589 per FTE</w:t>
      </w:r>
      <w:r w:rsidR="005B772A" w:rsidRPr="009E2B12">
        <w:rPr>
          <w:rFonts w:ascii="Times New Roman" w:hAnsi="Times New Roman"/>
        </w:rPr>
        <w:t xml:space="preserve"> </w:t>
      </w:r>
      <w:r w:rsidR="009E2B12" w:rsidRPr="009E2B12">
        <w:rPr>
          <w:rFonts w:ascii="Times New Roman" w:hAnsi="Times New Roman"/>
        </w:rPr>
        <w:t>annually</w:t>
      </w:r>
      <w:r w:rsidR="009E662F" w:rsidRPr="009E2B12">
        <w:rPr>
          <w:rFonts w:ascii="Times New Roman" w:hAnsi="Times New Roman"/>
        </w:rPr>
        <w:t>, the total annual</w:t>
      </w:r>
      <w:r w:rsidR="0065123D" w:rsidRPr="009E2B12">
        <w:rPr>
          <w:rFonts w:ascii="Times New Roman" w:hAnsi="Times New Roman"/>
        </w:rPr>
        <w:t xml:space="preserve"> cost of </w:t>
      </w:r>
      <w:r w:rsidR="009E2B12" w:rsidRPr="009E2B12">
        <w:rPr>
          <w:rFonts w:ascii="Times New Roman" w:hAnsi="Times New Roman"/>
        </w:rPr>
        <w:t>10</w:t>
      </w:r>
      <w:r w:rsidR="009E662F" w:rsidRPr="009E2B12">
        <w:rPr>
          <w:rFonts w:ascii="Times New Roman" w:hAnsi="Times New Roman"/>
        </w:rPr>
        <w:t xml:space="preserve">.0 </w:t>
      </w:r>
      <w:r w:rsidR="005B772A" w:rsidRPr="009E2B12">
        <w:rPr>
          <w:rFonts w:ascii="Times New Roman" w:hAnsi="Times New Roman"/>
        </w:rPr>
        <w:t>FTEs to the federal g</w:t>
      </w:r>
      <w:r w:rsidR="009E662F" w:rsidRPr="009E2B12">
        <w:rPr>
          <w:rFonts w:ascii="Times New Roman" w:hAnsi="Times New Roman"/>
        </w:rPr>
        <w:t>overnment is approximately $1.</w:t>
      </w:r>
      <w:r w:rsidR="009E2B12" w:rsidRPr="009E2B12">
        <w:rPr>
          <w:rFonts w:ascii="Times New Roman" w:hAnsi="Times New Roman"/>
        </w:rPr>
        <w:t>7</w:t>
      </w:r>
      <w:r w:rsidR="005B772A" w:rsidRPr="009E2B12">
        <w:rPr>
          <w:rFonts w:ascii="Times New Roman" w:hAnsi="Times New Roman"/>
        </w:rPr>
        <w:t xml:space="preserve"> million.</w:t>
      </w:r>
    </w:p>
    <w:p w14:paraId="6391969A" w14:textId="77777777" w:rsidR="00C7726C" w:rsidRPr="00263E20" w:rsidRDefault="00C7726C" w:rsidP="005B772A">
      <w:pPr>
        <w:tabs>
          <w:tab w:val="left" w:pos="-1440"/>
          <w:tab w:val="left" w:pos="-720"/>
          <w:tab w:val="decimal" w:pos="0"/>
        </w:tabs>
        <w:rPr>
          <w:rFonts w:ascii="Times New Roman" w:hAnsi="Times New Roman"/>
        </w:rPr>
      </w:pPr>
    </w:p>
    <w:p w14:paraId="634B834F" w14:textId="4924E8E9" w:rsidR="005B772A" w:rsidRPr="00263E20" w:rsidRDefault="00DE7075" w:rsidP="005B772A">
      <w:pPr>
        <w:tabs>
          <w:tab w:val="left" w:pos="-1440"/>
          <w:tab w:val="left" w:pos="-720"/>
          <w:tab w:val="decimal" w:pos="0"/>
        </w:tabs>
        <w:rPr>
          <w:rFonts w:ascii="Times New Roman" w:hAnsi="Times New Roman"/>
          <w:b/>
        </w:rPr>
      </w:pPr>
      <w:r>
        <w:rPr>
          <w:rFonts w:ascii="Times New Roman" w:hAnsi="Times New Roman"/>
          <w:b/>
        </w:rPr>
        <w:t xml:space="preserve">   </w:t>
      </w:r>
      <w:r w:rsidR="005B772A" w:rsidRPr="00263E20">
        <w:rPr>
          <w:rFonts w:ascii="Times New Roman" w:hAnsi="Times New Roman"/>
          <w:b/>
        </w:rPr>
        <w:t xml:space="preserve">Table </w:t>
      </w:r>
      <w:r w:rsidR="00095B0B" w:rsidRPr="00263E20">
        <w:rPr>
          <w:rFonts w:ascii="Times New Roman" w:hAnsi="Times New Roman"/>
          <w:b/>
        </w:rPr>
        <w:t>8</w:t>
      </w:r>
      <w:r w:rsidR="00F54901" w:rsidRPr="00263E20">
        <w:rPr>
          <w:rFonts w:ascii="Times New Roman" w:hAnsi="Times New Roman"/>
          <w:b/>
        </w:rPr>
        <w:t>:</w:t>
      </w:r>
      <w:r w:rsidR="005B772A" w:rsidRPr="00263E20">
        <w:rPr>
          <w:rFonts w:ascii="Times New Roman" w:hAnsi="Times New Roman"/>
          <w:b/>
        </w:rPr>
        <w:t xml:space="preserve">  Federal Government (Agency) Labor Costs </w:t>
      </w:r>
    </w:p>
    <w:tbl>
      <w:tblPr>
        <w:tblStyle w:val="TableGrid"/>
        <w:tblW w:w="9360" w:type="dxa"/>
        <w:tblInd w:w="198" w:type="dxa"/>
        <w:tblLook w:val="04A0" w:firstRow="1" w:lastRow="0" w:firstColumn="1" w:lastColumn="0" w:noHBand="0" w:noVBand="1"/>
      </w:tblPr>
      <w:tblGrid>
        <w:gridCol w:w="7336"/>
        <w:gridCol w:w="2024"/>
      </w:tblGrid>
      <w:tr w:rsidR="005B772A" w:rsidRPr="00263E20" w14:paraId="0120BE33" w14:textId="77777777" w:rsidTr="007A1B24">
        <w:tc>
          <w:tcPr>
            <w:tcW w:w="5220" w:type="dxa"/>
            <w:tcBorders>
              <w:top w:val="double" w:sz="4" w:space="0" w:color="auto"/>
              <w:left w:val="double" w:sz="4" w:space="0" w:color="auto"/>
              <w:bottom w:val="single" w:sz="6" w:space="0" w:color="auto"/>
              <w:right w:val="single" w:sz="6" w:space="0" w:color="auto"/>
            </w:tcBorders>
            <w:vAlign w:val="center"/>
          </w:tcPr>
          <w:p w14:paraId="62F96715" w14:textId="77777777" w:rsidR="005B772A" w:rsidRPr="00263E20" w:rsidRDefault="005B772A" w:rsidP="005B772A">
            <w:pPr>
              <w:tabs>
                <w:tab w:val="left" w:pos="-1440"/>
                <w:tab w:val="left" w:pos="-720"/>
                <w:tab w:val="decimal" w:pos="0"/>
              </w:tabs>
              <w:rPr>
                <w:rFonts w:ascii="Times New Roman" w:hAnsi="Times New Roman"/>
                <w:b/>
              </w:rPr>
            </w:pPr>
            <w:r w:rsidRPr="00263E20">
              <w:rPr>
                <w:rFonts w:ascii="Times New Roman" w:hAnsi="Times New Roman"/>
                <w:b/>
              </w:rPr>
              <w:t>Data Category</w:t>
            </w:r>
          </w:p>
        </w:tc>
        <w:tc>
          <w:tcPr>
            <w:tcW w:w="1440" w:type="dxa"/>
            <w:tcBorders>
              <w:top w:val="double" w:sz="4" w:space="0" w:color="auto"/>
              <w:left w:val="single" w:sz="6" w:space="0" w:color="auto"/>
              <w:bottom w:val="single" w:sz="6" w:space="0" w:color="auto"/>
              <w:right w:val="double" w:sz="4" w:space="0" w:color="auto"/>
            </w:tcBorders>
            <w:vAlign w:val="center"/>
          </w:tcPr>
          <w:p w14:paraId="14F4745D" w14:textId="77777777" w:rsidR="005B772A" w:rsidRPr="00263E20" w:rsidRDefault="005B772A" w:rsidP="009E2B12">
            <w:pPr>
              <w:tabs>
                <w:tab w:val="left" w:pos="-1440"/>
                <w:tab w:val="left" w:pos="-720"/>
                <w:tab w:val="decimal" w:pos="0"/>
              </w:tabs>
              <w:jc w:val="center"/>
              <w:rPr>
                <w:rFonts w:ascii="Times New Roman" w:hAnsi="Times New Roman"/>
                <w:b/>
              </w:rPr>
            </w:pPr>
            <w:r w:rsidRPr="00263E20">
              <w:rPr>
                <w:rFonts w:ascii="Times New Roman" w:hAnsi="Times New Roman"/>
                <w:b/>
              </w:rPr>
              <w:t>Value</w:t>
            </w:r>
          </w:p>
        </w:tc>
      </w:tr>
      <w:tr w:rsidR="005B772A" w:rsidRPr="00263E20" w14:paraId="48A49AD6" w14:textId="77777777" w:rsidTr="007A1B24">
        <w:tc>
          <w:tcPr>
            <w:tcW w:w="5220" w:type="dxa"/>
            <w:tcBorders>
              <w:top w:val="single" w:sz="6" w:space="0" w:color="auto"/>
              <w:left w:val="double" w:sz="4" w:space="0" w:color="auto"/>
              <w:bottom w:val="single" w:sz="6" w:space="0" w:color="auto"/>
              <w:right w:val="single" w:sz="6" w:space="0" w:color="auto"/>
            </w:tcBorders>
            <w:vAlign w:val="center"/>
          </w:tcPr>
          <w:p w14:paraId="602D56A9" w14:textId="77777777" w:rsidR="005B772A" w:rsidRPr="00263E20" w:rsidRDefault="005B772A" w:rsidP="005B772A">
            <w:pPr>
              <w:tabs>
                <w:tab w:val="left" w:pos="-1440"/>
                <w:tab w:val="left" w:pos="-720"/>
                <w:tab w:val="decimal" w:pos="0"/>
              </w:tabs>
              <w:rPr>
                <w:rFonts w:ascii="Times New Roman" w:hAnsi="Times New Roman"/>
              </w:rPr>
            </w:pPr>
            <w:r w:rsidRPr="00263E20">
              <w:rPr>
                <w:rFonts w:ascii="Times New Roman" w:hAnsi="Times New Roman"/>
              </w:rPr>
              <w:t>Fully Loaded Annual Rate ($/year per FTE) *</w:t>
            </w:r>
          </w:p>
        </w:tc>
        <w:tc>
          <w:tcPr>
            <w:tcW w:w="1440" w:type="dxa"/>
            <w:tcBorders>
              <w:top w:val="single" w:sz="6" w:space="0" w:color="auto"/>
              <w:left w:val="single" w:sz="6" w:space="0" w:color="auto"/>
              <w:bottom w:val="single" w:sz="6" w:space="0" w:color="auto"/>
              <w:right w:val="double" w:sz="4" w:space="0" w:color="auto"/>
            </w:tcBorders>
            <w:vAlign w:val="center"/>
          </w:tcPr>
          <w:p w14:paraId="46626AB6" w14:textId="6AC54D56" w:rsidR="005B772A" w:rsidRPr="00263E20" w:rsidRDefault="00095B0B" w:rsidP="009E2B12">
            <w:pPr>
              <w:tabs>
                <w:tab w:val="left" w:pos="-1440"/>
                <w:tab w:val="left" w:pos="-720"/>
                <w:tab w:val="decimal" w:pos="0"/>
              </w:tabs>
              <w:jc w:val="center"/>
              <w:rPr>
                <w:rFonts w:ascii="Times New Roman" w:hAnsi="Times New Roman"/>
              </w:rPr>
            </w:pPr>
            <w:r w:rsidRPr="00263E20">
              <w:rPr>
                <w:rFonts w:ascii="Times New Roman" w:hAnsi="Times New Roman"/>
              </w:rPr>
              <w:t xml:space="preserve">$169,589 </w:t>
            </w:r>
          </w:p>
        </w:tc>
      </w:tr>
      <w:tr w:rsidR="005B772A" w:rsidRPr="00263E20" w14:paraId="1F890A46" w14:textId="77777777" w:rsidTr="007A1B24">
        <w:tc>
          <w:tcPr>
            <w:tcW w:w="5220" w:type="dxa"/>
            <w:tcBorders>
              <w:top w:val="single" w:sz="6" w:space="0" w:color="auto"/>
              <w:left w:val="double" w:sz="4" w:space="0" w:color="auto"/>
              <w:bottom w:val="single" w:sz="6" w:space="0" w:color="auto"/>
              <w:right w:val="single" w:sz="6" w:space="0" w:color="auto"/>
            </w:tcBorders>
            <w:vAlign w:val="center"/>
          </w:tcPr>
          <w:p w14:paraId="6DD4F1F6" w14:textId="77777777" w:rsidR="005B772A" w:rsidRPr="00263E20" w:rsidRDefault="005B772A" w:rsidP="005B772A">
            <w:pPr>
              <w:tabs>
                <w:tab w:val="left" w:pos="-1440"/>
                <w:tab w:val="left" w:pos="-720"/>
                <w:tab w:val="decimal" w:pos="0"/>
              </w:tabs>
              <w:rPr>
                <w:rFonts w:ascii="Times New Roman" w:hAnsi="Times New Roman"/>
              </w:rPr>
            </w:pPr>
            <w:r w:rsidRPr="00263E20">
              <w:rPr>
                <w:rFonts w:ascii="Times New Roman" w:hAnsi="Times New Roman"/>
              </w:rPr>
              <w:t>Total EPA FTEs</w:t>
            </w:r>
          </w:p>
        </w:tc>
        <w:tc>
          <w:tcPr>
            <w:tcW w:w="1440" w:type="dxa"/>
            <w:tcBorders>
              <w:top w:val="single" w:sz="6" w:space="0" w:color="auto"/>
              <w:left w:val="single" w:sz="6" w:space="0" w:color="auto"/>
              <w:bottom w:val="single" w:sz="6" w:space="0" w:color="auto"/>
              <w:right w:val="double" w:sz="4" w:space="0" w:color="auto"/>
            </w:tcBorders>
            <w:vAlign w:val="center"/>
          </w:tcPr>
          <w:p w14:paraId="1D534BA0" w14:textId="3D10D220" w:rsidR="005B772A" w:rsidRPr="00263E20" w:rsidRDefault="00675D6F" w:rsidP="009E2B12">
            <w:pPr>
              <w:tabs>
                <w:tab w:val="left" w:pos="-1440"/>
                <w:tab w:val="left" w:pos="-720"/>
                <w:tab w:val="decimal" w:pos="0"/>
              </w:tabs>
              <w:jc w:val="center"/>
              <w:rPr>
                <w:rFonts w:ascii="Times New Roman" w:hAnsi="Times New Roman"/>
              </w:rPr>
            </w:pPr>
            <w:r w:rsidRPr="00263E20">
              <w:rPr>
                <w:rFonts w:ascii="Times New Roman" w:hAnsi="Times New Roman"/>
              </w:rPr>
              <w:t>10</w:t>
            </w:r>
          </w:p>
        </w:tc>
      </w:tr>
      <w:tr w:rsidR="005B772A" w:rsidRPr="00263E20" w14:paraId="41AC3AE7" w14:textId="77777777" w:rsidTr="007A1B24">
        <w:tc>
          <w:tcPr>
            <w:tcW w:w="5220" w:type="dxa"/>
            <w:tcBorders>
              <w:top w:val="single" w:sz="6" w:space="0" w:color="auto"/>
              <w:left w:val="double" w:sz="4" w:space="0" w:color="auto"/>
              <w:bottom w:val="double" w:sz="4" w:space="0" w:color="auto"/>
              <w:right w:val="single" w:sz="6" w:space="0" w:color="auto"/>
            </w:tcBorders>
            <w:vAlign w:val="center"/>
          </w:tcPr>
          <w:p w14:paraId="675BEE67" w14:textId="77777777" w:rsidR="005B772A" w:rsidRPr="00263E20" w:rsidRDefault="00F53E3C" w:rsidP="005B772A">
            <w:pPr>
              <w:tabs>
                <w:tab w:val="left" w:pos="-1440"/>
                <w:tab w:val="left" w:pos="-720"/>
                <w:tab w:val="decimal" w:pos="0"/>
              </w:tabs>
              <w:rPr>
                <w:rFonts w:ascii="Times New Roman" w:hAnsi="Times New Roman"/>
                <w:b/>
              </w:rPr>
            </w:pPr>
            <w:r w:rsidRPr="00263E20">
              <w:rPr>
                <w:rFonts w:ascii="Times New Roman" w:hAnsi="Times New Roman"/>
                <w:b/>
              </w:rPr>
              <w:t>Total Federal Government Labor Costs</w:t>
            </w:r>
          </w:p>
        </w:tc>
        <w:tc>
          <w:tcPr>
            <w:tcW w:w="1440" w:type="dxa"/>
            <w:tcBorders>
              <w:top w:val="single" w:sz="6" w:space="0" w:color="auto"/>
              <w:left w:val="single" w:sz="6" w:space="0" w:color="auto"/>
              <w:bottom w:val="double" w:sz="4" w:space="0" w:color="auto"/>
              <w:right w:val="double" w:sz="4" w:space="0" w:color="auto"/>
            </w:tcBorders>
            <w:vAlign w:val="center"/>
          </w:tcPr>
          <w:p w14:paraId="4CD5D07D" w14:textId="077EB12B" w:rsidR="005B772A" w:rsidRPr="00DE7075" w:rsidRDefault="00095B0B" w:rsidP="009E2B12">
            <w:pPr>
              <w:tabs>
                <w:tab w:val="left" w:pos="-1440"/>
                <w:tab w:val="left" w:pos="-720"/>
                <w:tab w:val="decimal" w:pos="0"/>
              </w:tabs>
              <w:jc w:val="center"/>
              <w:rPr>
                <w:rFonts w:ascii="Times New Roman" w:hAnsi="Times New Roman"/>
                <w:b/>
              </w:rPr>
            </w:pPr>
            <w:r w:rsidRPr="00DE7075">
              <w:rPr>
                <w:rFonts w:ascii="Times New Roman" w:hAnsi="Times New Roman"/>
                <w:b/>
              </w:rPr>
              <w:t xml:space="preserve">$1,695,890 </w:t>
            </w:r>
          </w:p>
        </w:tc>
      </w:tr>
      <w:tr w:rsidR="005B772A" w:rsidRPr="00263E20" w14:paraId="05BB9688" w14:textId="77777777" w:rsidTr="00F84508">
        <w:tblPrEx>
          <w:tblBorders>
            <w:top w:val="none" w:sz="0" w:space="0" w:color="auto"/>
            <w:left w:val="none" w:sz="0" w:space="0" w:color="auto"/>
            <w:bottom w:val="single" w:sz="6" w:space="0" w:color="auto"/>
            <w:right w:val="none" w:sz="0" w:space="0" w:color="auto"/>
            <w:insideH w:val="none" w:sz="0" w:space="0" w:color="auto"/>
            <w:insideV w:val="none" w:sz="0" w:space="0" w:color="auto"/>
          </w:tblBorders>
        </w:tblPrEx>
        <w:tc>
          <w:tcPr>
            <w:tcW w:w="6660" w:type="dxa"/>
            <w:gridSpan w:val="2"/>
            <w:vAlign w:val="center"/>
          </w:tcPr>
          <w:p w14:paraId="075C948D" w14:textId="07F8F823" w:rsidR="005B772A" w:rsidRPr="00263E20" w:rsidRDefault="005B772A" w:rsidP="006D203F">
            <w:pPr>
              <w:tabs>
                <w:tab w:val="left" w:pos="-1440"/>
                <w:tab w:val="left" w:pos="-720"/>
                <w:tab w:val="decimal" w:pos="0"/>
              </w:tabs>
              <w:rPr>
                <w:rFonts w:ascii="Times New Roman" w:hAnsi="Times New Roman"/>
              </w:rPr>
            </w:pPr>
            <w:r w:rsidRPr="00263E20">
              <w:rPr>
                <w:rFonts w:ascii="Times New Roman" w:hAnsi="Times New Roman"/>
              </w:rPr>
              <w:t xml:space="preserve">* For calculation of Fully Loaded Annual Rate from base salary, see </w:t>
            </w:r>
            <w:r w:rsidR="00BE7FD6" w:rsidRPr="00263E20">
              <w:rPr>
                <w:rFonts w:ascii="Times New Roman" w:hAnsi="Times New Roman"/>
              </w:rPr>
              <w:t xml:space="preserve">Attachment </w:t>
            </w:r>
            <w:r w:rsidR="006D203F">
              <w:rPr>
                <w:rFonts w:ascii="Times New Roman" w:hAnsi="Times New Roman"/>
              </w:rPr>
              <w:t>G</w:t>
            </w:r>
          </w:p>
        </w:tc>
      </w:tr>
    </w:tbl>
    <w:p w14:paraId="088A8074" w14:textId="77777777" w:rsidR="00F53E3C" w:rsidRPr="00263E20" w:rsidRDefault="00F53E3C" w:rsidP="00F53E3C">
      <w:pPr>
        <w:tabs>
          <w:tab w:val="left" w:pos="-1440"/>
          <w:tab w:val="left" w:pos="-720"/>
          <w:tab w:val="decimal" w:pos="0"/>
        </w:tabs>
        <w:ind w:firstLine="720"/>
        <w:rPr>
          <w:rFonts w:ascii="Times New Roman" w:hAnsi="Times New Roman"/>
          <w:b/>
          <w:bCs/>
        </w:rPr>
      </w:pPr>
    </w:p>
    <w:p w14:paraId="446E9996" w14:textId="4A1ADC4A" w:rsidR="005F3366" w:rsidRDefault="005F3366" w:rsidP="005B772A">
      <w:pPr>
        <w:tabs>
          <w:tab w:val="left" w:pos="-1440"/>
          <w:tab w:val="left" w:pos="-720"/>
          <w:tab w:val="decimal" w:pos="0"/>
        </w:tabs>
        <w:rPr>
          <w:rFonts w:ascii="Times New Roman" w:hAnsi="Times New Roman"/>
        </w:rPr>
      </w:pPr>
      <w:r w:rsidRPr="00263E20">
        <w:rPr>
          <w:rFonts w:ascii="Times New Roman" w:hAnsi="Times New Roman"/>
        </w:rPr>
        <w:tab/>
      </w:r>
      <w:r w:rsidR="005B772A" w:rsidRPr="00263E20">
        <w:rPr>
          <w:rFonts w:ascii="Times New Roman" w:hAnsi="Times New Roman"/>
        </w:rPr>
        <w:t>In addition to labor costs, there are direct costs of printing instructions and reporting forms. I</w:t>
      </w:r>
      <w:r w:rsidR="009E662F" w:rsidRPr="00263E20">
        <w:rPr>
          <w:rFonts w:ascii="Times New Roman" w:hAnsi="Times New Roman"/>
        </w:rPr>
        <w:t>n the previous ICR renewal</w:t>
      </w:r>
      <w:r w:rsidR="005B772A" w:rsidRPr="00263E20">
        <w:rPr>
          <w:rFonts w:ascii="Times New Roman" w:hAnsi="Times New Roman"/>
        </w:rPr>
        <w:t xml:space="preserve">, this cost was estimated at </w:t>
      </w:r>
      <w:r w:rsidR="00862768" w:rsidRPr="00263E20">
        <w:rPr>
          <w:rFonts w:ascii="Times New Roman" w:hAnsi="Times New Roman"/>
        </w:rPr>
        <w:t>$70,482</w:t>
      </w:r>
      <w:r w:rsidR="005B772A" w:rsidRPr="00263E20">
        <w:rPr>
          <w:rFonts w:ascii="Times New Roman" w:hAnsi="Times New Roman"/>
        </w:rPr>
        <w:t>. Adjusting for inflation using the Consumer Price Index, the direct cost of processing NOA forms for this ICR renewal is estimated at</w:t>
      </w:r>
      <w:r w:rsidR="00862768" w:rsidRPr="00263E20">
        <w:rPr>
          <w:rFonts w:ascii="Times New Roman" w:hAnsi="Times New Roman"/>
        </w:rPr>
        <w:t xml:space="preserve"> $74,438</w:t>
      </w:r>
      <w:r w:rsidR="005B772A" w:rsidRPr="00263E20">
        <w:rPr>
          <w:rFonts w:ascii="Times New Roman" w:hAnsi="Times New Roman"/>
        </w:rPr>
        <w:t>.</w:t>
      </w:r>
      <w:r w:rsidR="005B772A" w:rsidRPr="00263E20">
        <w:rPr>
          <w:rFonts w:ascii="Times New Roman" w:hAnsi="Times New Roman"/>
          <w:vertAlign w:val="superscript"/>
        </w:rPr>
        <w:footnoteReference w:id="2"/>
      </w:r>
      <w:r w:rsidR="005B772A" w:rsidRPr="00263E20">
        <w:rPr>
          <w:rFonts w:ascii="Times New Roman" w:hAnsi="Times New Roman"/>
        </w:rPr>
        <w:t xml:space="preserve"> Updating the number to account for the increase in NOAs, the value for this renewal is</w:t>
      </w:r>
      <w:r w:rsidR="00862768" w:rsidRPr="00263E20">
        <w:rPr>
          <w:rFonts w:ascii="Times New Roman" w:hAnsi="Times New Roman"/>
        </w:rPr>
        <w:t xml:space="preserve"> $76,352</w:t>
      </w:r>
      <w:r w:rsidR="005B772A" w:rsidRPr="00263E20">
        <w:rPr>
          <w:rFonts w:ascii="Times New Roman" w:hAnsi="Times New Roman"/>
        </w:rPr>
        <w:t>.</w:t>
      </w:r>
    </w:p>
    <w:p w14:paraId="0B1CFF9A" w14:textId="77777777" w:rsidR="00DA28C9" w:rsidRDefault="00DA28C9" w:rsidP="005B772A">
      <w:pPr>
        <w:tabs>
          <w:tab w:val="left" w:pos="-1440"/>
          <w:tab w:val="left" w:pos="-720"/>
          <w:tab w:val="decimal" w:pos="0"/>
        </w:tabs>
        <w:rPr>
          <w:rFonts w:ascii="Times New Roman" w:hAnsi="Times New Roman"/>
        </w:rPr>
      </w:pPr>
    </w:p>
    <w:p w14:paraId="3EEEE5D7" w14:textId="67E2F6F3" w:rsidR="00DA28C9" w:rsidRPr="00DA28C9" w:rsidRDefault="00DA28C9" w:rsidP="00AD64A8">
      <w:pPr>
        <w:autoSpaceDE/>
        <w:autoSpaceDN/>
        <w:adjustRightInd/>
        <w:snapToGrid w:val="0"/>
        <w:ind w:firstLine="720"/>
        <w:rPr>
          <w:rFonts w:ascii="Times New Roman" w:hAnsi="Times New Roman"/>
          <w:szCs w:val="20"/>
        </w:rPr>
      </w:pPr>
      <w:r w:rsidRPr="00DA28C9">
        <w:rPr>
          <w:rFonts w:ascii="Times New Roman" w:hAnsi="Times New Roman"/>
          <w:szCs w:val="20"/>
        </w:rPr>
        <w:t xml:space="preserve">With electronic NOAs, EPA estimates an additional </w:t>
      </w:r>
      <w:r w:rsidRPr="00DA28C9">
        <w:rPr>
          <w:rFonts w:ascii="Times New Roman" w:hAnsi="Times New Roman"/>
          <w:color w:val="000000"/>
          <w:szCs w:val="20"/>
        </w:rPr>
        <w:t xml:space="preserve">$5,000 in </w:t>
      </w:r>
      <w:r w:rsidRPr="00DA28C9">
        <w:rPr>
          <w:rFonts w:ascii="Times New Roman" w:hAnsi="Times New Roman"/>
          <w:szCs w:val="20"/>
        </w:rPr>
        <w:t xml:space="preserve">annual operations and maintenance costs to the federal government. These costs are associated with the electronic NOA reference file that will be sent from the Pesticide Registration Information System to </w:t>
      </w:r>
      <w:r w:rsidR="00D14EBE">
        <w:rPr>
          <w:rFonts w:ascii="Times New Roman" w:hAnsi="Times New Roman"/>
          <w:szCs w:val="20"/>
        </w:rPr>
        <w:t>Customs</w:t>
      </w:r>
      <w:r w:rsidR="00D14EBE" w:rsidRPr="00DA28C9">
        <w:rPr>
          <w:rFonts w:ascii="Times New Roman" w:hAnsi="Times New Roman"/>
          <w:szCs w:val="20"/>
        </w:rPr>
        <w:t xml:space="preserve"> </w:t>
      </w:r>
      <w:r w:rsidRPr="00DA28C9">
        <w:rPr>
          <w:rFonts w:ascii="Times New Roman" w:hAnsi="Times New Roman"/>
          <w:szCs w:val="20"/>
        </w:rPr>
        <w:t xml:space="preserve">via EPA’s Central Data Exchange and received in ACE. There will be cost reductions from switching to electronic NOAs in the form of reduced printing costs and review time. These cost reductions will be estimated as the ACE system is implemented and will be reflected in future updates of this ICR. </w:t>
      </w:r>
    </w:p>
    <w:p w14:paraId="72867C7A" w14:textId="77777777" w:rsidR="00DA28C9" w:rsidRPr="00263E20" w:rsidRDefault="00DA28C9" w:rsidP="005B772A">
      <w:pPr>
        <w:tabs>
          <w:tab w:val="left" w:pos="-1440"/>
          <w:tab w:val="left" w:pos="-720"/>
          <w:tab w:val="decimal" w:pos="0"/>
        </w:tabs>
        <w:rPr>
          <w:rFonts w:ascii="Times New Roman" w:hAnsi="Times New Roman"/>
          <w:b/>
        </w:rPr>
      </w:pPr>
    </w:p>
    <w:p w14:paraId="40939822" w14:textId="274B3EE6" w:rsidR="005F3366" w:rsidRPr="00263E20" w:rsidRDefault="005F3366" w:rsidP="005B772A">
      <w:pPr>
        <w:tabs>
          <w:tab w:val="left" w:pos="-1440"/>
          <w:tab w:val="left" w:pos="-720"/>
          <w:tab w:val="decimal" w:pos="0"/>
        </w:tabs>
        <w:rPr>
          <w:rFonts w:ascii="Times New Roman" w:hAnsi="Times New Roman"/>
        </w:rPr>
      </w:pPr>
      <w:r w:rsidRPr="00263E20">
        <w:rPr>
          <w:rFonts w:ascii="Times New Roman" w:hAnsi="Times New Roman"/>
        </w:rPr>
        <w:tab/>
        <w:t xml:space="preserve">Table </w:t>
      </w:r>
      <w:r w:rsidR="001729D2">
        <w:rPr>
          <w:rFonts w:ascii="Times New Roman" w:hAnsi="Times New Roman"/>
        </w:rPr>
        <w:t>9</w:t>
      </w:r>
      <w:r w:rsidRPr="00263E20">
        <w:rPr>
          <w:rFonts w:ascii="Times New Roman" w:hAnsi="Times New Roman"/>
        </w:rPr>
        <w:t xml:space="preserve"> combines the labor costs and direct costs to the federal government of processing Notice of Arrival forms. The total cost is approximately $1.</w:t>
      </w:r>
      <w:r w:rsidR="001729D2">
        <w:rPr>
          <w:rFonts w:ascii="Times New Roman" w:hAnsi="Times New Roman"/>
        </w:rPr>
        <w:t>8</w:t>
      </w:r>
      <w:r w:rsidRPr="00263E20">
        <w:rPr>
          <w:rFonts w:ascii="Times New Roman" w:hAnsi="Times New Roman"/>
        </w:rPr>
        <w:t xml:space="preserve"> million per year, assuming an average of </w:t>
      </w:r>
      <w:r w:rsidR="00DA0C25" w:rsidRPr="00263E20">
        <w:rPr>
          <w:rFonts w:ascii="Times New Roman" w:hAnsi="Times New Roman"/>
        </w:rPr>
        <w:t>3</w:t>
      </w:r>
      <w:r w:rsidR="001729D2">
        <w:rPr>
          <w:rFonts w:ascii="Times New Roman" w:hAnsi="Times New Roman"/>
        </w:rPr>
        <w:t>8</w:t>
      </w:r>
      <w:r w:rsidRPr="00263E20">
        <w:rPr>
          <w:rFonts w:ascii="Times New Roman" w:hAnsi="Times New Roman"/>
        </w:rPr>
        <w:t>,000 Notice of Arrival forms are processed each year.</w:t>
      </w:r>
    </w:p>
    <w:p w14:paraId="7940326E" w14:textId="77777777" w:rsidR="005F3366" w:rsidRPr="00263E20" w:rsidRDefault="005F3366" w:rsidP="005B772A">
      <w:pPr>
        <w:tabs>
          <w:tab w:val="left" w:pos="-1440"/>
          <w:tab w:val="left" w:pos="-720"/>
          <w:tab w:val="decimal" w:pos="0"/>
        </w:tabs>
        <w:rPr>
          <w:rFonts w:ascii="Times New Roman" w:hAnsi="Times New Roman"/>
        </w:rPr>
      </w:pPr>
    </w:p>
    <w:p w14:paraId="2EDB9D40" w14:textId="76A84A09" w:rsidR="005B772A" w:rsidRPr="00263E20" w:rsidRDefault="005B772A" w:rsidP="007F7DB9">
      <w:pPr>
        <w:keepNext/>
        <w:widowControl/>
        <w:tabs>
          <w:tab w:val="left" w:pos="-1440"/>
          <w:tab w:val="left" w:pos="-720"/>
          <w:tab w:val="decimal" w:pos="0"/>
        </w:tabs>
        <w:rPr>
          <w:rFonts w:ascii="Times New Roman" w:hAnsi="Times New Roman"/>
          <w:b/>
        </w:rPr>
      </w:pPr>
      <w:r w:rsidRPr="00263E20">
        <w:rPr>
          <w:rFonts w:ascii="Times New Roman" w:hAnsi="Times New Roman"/>
          <w:b/>
        </w:rPr>
        <w:t xml:space="preserve"> </w:t>
      </w:r>
      <w:r w:rsidR="00DE7075">
        <w:rPr>
          <w:rFonts w:ascii="Times New Roman" w:hAnsi="Times New Roman"/>
          <w:b/>
        </w:rPr>
        <w:t xml:space="preserve">  </w:t>
      </w:r>
      <w:r w:rsidRPr="00263E20">
        <w:rPr>
          <w:rFonts w:ascii="Times New Roman" w:hAnsi="Times New Roman"/>
          <w:b/>
        </w:rPr>
        <w:t xml:space="preserve">Table </w:t>
      </w:r>
      <w:r w:rsidR="00BF67C1" w:rsidRPr="00263E20">
        <w:rPr>
          <w:rFonts w:ascii="Times New Roman" w:hAnsi="Times New Roman"/>
          <w:b/>
        </w:rPr>
        <w:t>9</w:t>
      </w:r>
      <w:r w:rsidR="00F54901" w:rsidRPr="00263E20">
        <w:rPr>
          <w:rFonts w:ascii="Times New Roman" w:hAnsi="Times New Roman"/>
          <w:b/>
        </w:rPr>
        <w:t>:</w:t>
      </w:r>
      <w:r w:rsidRPr="00263E20">
        <w:rPr>
          <w:rFonts w:ascii="Times New Roman" w:hAnsi="Times New Roman"/>
          <w:b/>
        </w:rPr>
        <w:t xml:space="preserve">  Total </w:t>
      </w:r>
      <w:r w:rsidR="00574985">
        <w:rPr>
          <w:rFonts w:ascii="Times New Roman" w:hAnsi="Times New Roman"/>
          <w:b/>
        </w:rPr>
        <w:t xml:space="preserve">Annual </w:t>
      </w:r>
      <w:r w:rsidR="009E662F" w:rsidRPr="00263E20">
        <w:rPr>
          <w:rFonts w:ascii="Times New Roman" w:hAnsi="Times New Roman"/>
          <w:b/>
        </w:rPr>
        <w:t>Agency</w:t>
      </w:r>
      <w:r w:rsidRPr="00263E20">
        <w:rPr>
          <w:rFonts w:ascii="Times New Roman" w:hAnsi="Times New Roman"/>
          <w:b/>
        </w:rPr>
        <w:t xml:space="preserve"> Costs </w:t>
      </w:r>
    </w:p>
    <w:tbl>
      <w:tblPr>
        <w:tblStyle w:val="TableGrid"/>
        <w:tblW w:w="9360" w:type="dxa"/>
        <w:tblInd w:w="19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336"/>
        <w:gridCol w:w="2024"/>
      </w:tblGrid>
      <w:tr w:rsidR="005B772A" w:rsidRPr="00263E20" w14:paraId="3E6D024B" w14:textId="77777777" w:rsidTr="00675D6F">
        <w:tc>
          <w:tcPr>
            <w:tcW w:w="7336" w:type="dxa"/>
            <w:vAlign w:val="center"/>
          </w:tcPr>
          <w:p w14:paraId="3A2C5A52" w14:textId="77777777" w:rsidR="005B772A" w:rsidRPr="00263E20" w:rsidRDefault="005B772A" w:rsidP="007F7DB9">
            <w:pPr>
              <w:keepNext/>
              <w:widowControl/>
              <w:tabs>
                <w:tab w:val="left" w:pos="-1440"/>
                <w:tab w:val="left" w:pos="-720"/>
                <w:tab w:val="decimal" w:pos="0"/>
              </w:tabs>
              <w:rPr>
                <w:rFonts w:ascii="Times New Roman" w:hAnsi="Times New Roman"/>
                <w:b/>
              </w:rPr>
            </w:pPr>
            <w:r w:rsidRPr="00263E20">
              <w:rPr>
                <w:rFonts w:ascii="Times New Roman" w:hAnsi="Times New Roman"/>
                <w:b/>
              </w:rPr>
              <w:t>Data Category</w:t>
            </w:r>
          </w:p>
        </w:tc>
        <w:tc>
          <w:tcPr>
            <w:tcW w:w="2024" w:type="dxa"/>
            <w:vAlign w:val="center"/>
          </w:tcPr>
          <w:p w14:paraId="5291CCDC" w14:textId="77777777" w:rsidR="005B772A" w:rsidRPr="00263E20" w:rsidRDefault="005B772A" w:rsidP="009E2B12">
            <w:pPr>
              <w:keepNext/>
              <w:widowControl/>
              <w:tabs>
                <w:tab w:val="left" w:pos="-1440"/>
                <w:tab w:val="left" w:pos="-720"/>
                <w:tab w:val="decimal" w:pos="0"/>
              </w:tabs>
              <w:jc w:val="center"/>
              <w:rPr>
                <w:rFonts w:ascii="Times New Roman" w:hAnsi="Times New Roman"/>
                <w:b/>
              </w:rPr>
            </w:pPr>
            <w:r w:rsidRPr="00263E20">
              <w:rPr>
                <w:rFonts w:ascii="Times New Roman" w:hAnsi="Times New Roman"/>
                <w:b/>
              </w:rPr>
              <w:t>Value</w:t>
            </w:r>
          </w:p>
        </w:tc>
      </w:tr>
      <w:tr w:rsidR="00675D6F" w:rsidRPr="00263E20" w14:paraId="4B75100B" w14:textId="77777777" w:rsidTr="00675D6F">
        <w:tc>
          <w:tcPr>
            <w:tcW w:w="7336" w:type="dxa"/>
            <w:vAlign w:val="center"/>
          </w:tcPr>
          <w:p w14:paraId="76FDC013" w14:textId="77777777" w:rsidR="00675D6F" w:rsidRPr="00263E20" w:rsidRDefault="00675D6F" w:rsidP="00675D6F">
            <w:pPr>
              <w:keepNext/>
              <w:widowControl/>
              <w:tabs>
                <w:tab w:val="left" w:pos="-1440"/>
                <w:tab w:val="left" w:pos="-720"/>
                <w:tab w:val="decimal" w:pos="0"/>
              </w:tabs>
              <w:rPr>
                <w:rFonts w:ascii="Times New Roman" w:hAnsi="Times New Roman"/>
              </w:rPr>
            </w:pPr>
            <w:r w:rsidRPr="00263E20">
              <w:rPr>
                <w:rFonts w:ascii="Times New Roman" w:hAnsi="Times New Roman"/>
              </w:rPr>
              <w:t>Total Federal Government Labor Costs</w:t>
            </w:r>
          </w:p>
        </w:tc>
        <w:tc>
          <w:tcPr>
            <w:tcW w:w="2024" w:type="dxa"/>
            <w:vAlign w:val="center"/>
          </w:tcPr>
          <w:p w14:paraId="7FBE8804" w14:textId="5CF862A0" w:rsidR="00675D6F" w:rsidRPr="00263E20" w:rsidRDefault="00095B0B" w:rsidP="009E2B12">
            <w:pPr>
              <w:keepNext/>
              <w:widowControl/>
              <w:tabs>
                <w:tab w:val="left" w:pos="-1440"/>
                <w:tab w:val="left" w:pos="-720"/>
                <w:tab w:val="decimal" w:pos="0"/>
              </w:tabs>
              <w:jc w:val="center"/>
              <w:rPr>
                <w:rFonts w:ascii="Times New Roman" w:hAnsi="Times New Roman"/>
              </w:rPr>
            </w:pPr>
            <w:r w:rsidRPr="00263E20">
              <w:rPr>
                <w:rFonts w:ascii="Times New Roman" w:hAnsi="Times New Roman"/>
              </w:rPr>
              <w:t xml:space="preserve">$1,695,890 </w:t>
            </w:r>
          </w:p>
        </w:tc>
      </w:tr>
      <w:tr w:rsidR="00B52226" w:rsidRPr="00263E20" w14:paraId="5DBC14B4" w14:textId="77777777" w:rsidTr="00675D6F">
        <w:tc>
          <w:tcPr>
            <w:tcW w:w="7336" w:type="dxa"/>
            <w:vAlign w:val="center"/>
          </w:tcPr>
          <w:p w14:paraId="64F542F2" w14:textId="77777777" w:rsidR="00B52226" w:rsidRPr="00263E20" w:rsidRDefault="00B52226" w:rsidP="00B52226">
            <w:pPr>
              <w:keepNext/>
              <w:widowControl/>
              <w:tabs>
                <w:tab w:val="left" w:pos="-1440"/>
                <w:tab w:val="left" w:pos="-720"/>
                <w:tab w:val="decimal" w:pos="0"/>
              </w:tabs>
              <w:rPr>
                <w:rFonts w:ascii="Times New Roman" w:hAnsi="Times New Roman"/>
              </w:rPr>
            </w:pPr>
            <w:r w:rsidRPr="00263E20">
              <w:rPr>
                <w:rFonts w:ascii="Times New Roman" w:hAnsi="Times New Roman"/>
              </w:rPr>
              <w:t xml:space="preserve">Total Federal Government Direct Costs </w:t>
            </w:r>
          </w:p>
        </w:tc>
        <w:tc>
          <w:tcPr>
            <w:tcW w:w="2024" w:type="dxa"/>
            <w:vAlign w:val="center"/>
          </w:tcPr>
          <w:p w14:paraId="30162CA9" w14:textId="6EB05277" w:rsidR="00B52226" w:rsidRPr="00263E20" w:rsidRDefault="00095B0B" w:rsidP="009E2B12">
            <w:pPr>
              <w:keepNext/>
              <w:widowControl/>
              <w:tabs>
                <w:tab w:val="left" w:pos="-1440"/>
                <w:tab w:val="left" w:pos="-720"/>
                <w:tab w:val="decimal" w:pos="0"/>
              </w:tabs>
              <w:jc w:val="center"/>
              <w:rPr>
                <w:rFonts w:ascii="Times New Roman" w:hAnsi="Times New Roman"/>
              </w:rPr>
            </w:pPr>
            <w:r w:rsidRPr="009E2B12">
              <w:rPr>
                <w:rFonts w:ascii="Times New Roman" w:hAnsi="Times New Roman"/>
              </w:rPr>
              <w:t xml:space="preserve">$76,352 </w:t>
            </w:r>
          </w:p>
        </w:tc>
      </w:tr>
      <w:tr w:rsidR="00DA28C9" w:rsidRPr="00263E20" w14:paraId="3519C500" w14:textId="77777777" w:rsidTr="00675D6F">
        <w:tc>
          <w:tcPr>
            <w:tcW w:w="7336" w:type="dxa"/>
            <w:vAlign w:val="center"/>
          </w:tcPr>
          <w:p w14:paraId="7EE03DE6" w14:textId="08AC57F0" w:rsidR="00DA28C9" w:rsidRPr="00263E20" w:rsidRDefault="00DA28C9" w:rsidP="00B52226">
            <w:pPr>
              <w:keepNext/>
              <w:widowControl/>
              <w:tabs>
                <w:tab w:val="left" w:pos="-1440"/>
                <w:tab w:val="left" w:pos="-720"/>
                <w:tab w:val="decimal" w:pos="0"/>
              </w:tabs>
              <w:rPr>
                <w:rFonts w:ascii="Times New Roman" w:hAnsi="Times New Roman"/>
              </w:rPr>
            </w:pPr>
            <w:r>
              <w:rPr>
                <w:rFonts w:ascii="Times New Roman" w:hAnsi="Times New Roman"/>
              </w:rPr>
              <w:t>Total Federal Government Operations and Maintenance Costs</w:t>
            </w:r>
          </w:p>
        </w:tc>
        <w:tc>
          <w:tcPr>
            <w:tcW w:w="2024" w:type="dxa"/>
            <w:vAlign w:val="center"/>
          </w:tcPr>
          <w:p w14:paraId="7BB3A04E" w14:textId="38A763CC" w:rsidR="00DA28C9" w:rsidRPr="009E2B12" w:rsidRDefault="00DA28C9" w:rsidP="009E2B12">
            <w:pPr>
              <w:keepNext/>
              <w:widowControl/>
              <w:tabs>
                <w:tab w:val="left" w:pos="-1440"/>
                <w:tab w:val="left" w:pos="-720"/>
                <w:tab w:val="decimal" w:pos="0"/>
              </w:tabs>
              <w:jc w:val="center"/>
              <w:rPr>
                <w:rFonts w:ascii="Times New Roman" w:hAnsi="Times New Roman"/>
              </w:rPr>
            </w:pPr>
            <w:r>
              <w:rPr>
                <w:rFonts w:ascii="Times New Roman" w:hAnsi="Times New Roman"/>
              </w:rPr>
              <w:t>$5,000</w:t>
            </w:r>
          </w:p>
        </w:tc>
      </w:tr>
      <w:tr w:rsidR="00B52226" w:rsidRPr="00263E20" w14:paraId="6FD71236" w14:textId="77777777" w:rsidTr="00675D6F">
        <w:tc>
          <w:tcPr>
            <w:tcW w:w="7336" w:type="dxa"/>
            <w:vAlign w:val="center"/>
          </w:tcPr>
          <w:p w14:paraId="137317E8" w14:textId="77777777" w:rsidR="00B52226" w:rsidRPr="00263E20" w:rsidRDefault="00B52226" w:rsidP="00B52226">
            <w:pPr>
              <w:keepNext/>
              <w:widowControl/>
              <w:tabs>
                <w:tab w:val="left" w:pos="-1440"/>
                <w:tab w:val="left" w:pos="-720"/>
                <w:tab w:val="decimal" w:pos="0"/>
              </w:tabs>
              <w:rPr>
                <w:rFonts w:ascii="Times New Roman" w:hAnsi="Times New Roman"/>
                <w:b/>
              </w:rPr>
            </w:pPr>
            <w:r w:rsidRPr="00263E20">
              <w:rPr>
                <w:rFonts w:ascii="Times New Roman" w:hAnsi="Times New Roman"/>
                <w:b/>
              </w:rPr>
              <w:t>TOTAL AGENCY COSTS</w:t>
            </w:r>
          </w:p>
        </w:tc>
        <w:tc>
          <w:tcPr>
            <w:tcW w:w="2024" w:type="dxa"/>
            <w:vAlign w:val="center"/>
          </w:tcPr>
          <w:p w14:paraId="4168E2F1" w14:textId="50B25E3E" w:rsidR="00B52226" w:rsidRPr="00A77B8B" w:rsidRDefault="00095B0B" w:rsidP="00DA28C9">
            <w:pPr>
              <w:keepNext/>
              <w:widowControl/>
              <w:tabs>
                <w:tab w:val="left" w:pos="-1440"/>
                <w:tab w:val="left" w:pos="-720"/>
                <w:tab w:val="decimal" w:pos="0"/>
              </w:tabs>
              <w:jc w:val="center"/>
              <w:rPr>
                <w:rFonts w:ascii="Times New Roman" w:hAnsi="Times New Roman"/>
                <w:b/>
              </w:rPr>
            </w:pPr>
            <w:r w:rsidRPr="009E2B12">
              <w:rPr>
                <w:rFonts w:ascii="Times New Roman" w:hAnsi="Times New Roman"/>
                <w:b/>
              </w:rPr>
              <w:t>$1,</w:t>
            </w:r>
            <w:r w:rsidR="00DA28C9" w:rsidRPr="009E2B12">
              <w:rPr>
                <w:rFonts w:ascii="Times New Roman" w:hAnsi="Times New Roman"/>
                <w:b/>
              </w:rPr>
              <w:t>77</w:t>
            </w:r>
            <w:r w:rsidR="00DA28C9">
              <w:rPr>
                <w:rFonts w:ascii="Times New Roman" w:hAnsi="Times New Roman"/>
                <w:b/>
              </w:rPr>
              <w:t>7</w:t>
            </w:r>
            <w:r w:rsidRPr="009E2B12">
              <w:rPr>
                <w:rFonts w:ascii="Times New Roman" w:hAnsi="Times New Roman"/>
                <w:b/>
              </w:rPr>
              <w:t xml:space="preserve">,242 </w:t>
            </w:r>
          </w:p>
        </w:tc>
      </w:tr>
    </w:tbl>
    <w:p w14:paraId="28E29994" w14:textId="77777777" w:rsidR="005B772A" w:rsidRPr="00263E20" w:rsidRDefault="005B772A" w:rsidP="005B772A">
      <w:pPr>
        <w:tabs>
          <w:tab w:val="left" w:pos="-1440"/>
          <w:tab w:val="left" w:pos="-720"/>
          <w:tab w:val="decimal" w:pos="0"/>
        </w:tabs>
        <w:rPr>
          <w:rFonts w:ascii="Times New Roman" w:hAnsi="Times New Roman"/>
        </w:rPr>
      </w:pPr>
    </w:p>
    <w:p w14:paraId="182A9544" w14:textId="0F6321A9" w:rsidR="00772F14" w:rsidRPr="00263E20" w:rsidRDefault="00BE7FD6">
      <w:pPr>
        <w:tabs>
          <w:tab w:val="left" w:pos="-1440"/>
          <w:tab w:val="left" w:pos="-720"/>
          <w:tab w:val="decimal" w:pos="0"/>
        </w:tabs>
        <w:rPr>
          <w:rFonts w:ascii="Times New Roman" w:hAnsi="Times New Roman"/>
          <w:b/>
          <w:bCs/>
        </w:rPr>
      </w:pPr>
      <w:r w:rsidRPr="00263E20">
        <w:rPr>
          <w:rFonts w:ascii="Times New Roman" w:hAnsi="Times New Roman"/>
          <w:b/>
          <w:bCs/>
        </w:rPr>
        <w:tab/>
        <w:t>6(</w:t>
      </w:r>
      <w:r w:rsidR="00BF67C1" w:rsidRPr="00263E20">
        <w:rPr>
          <w:rFonts w:ascii="Times New Roman" w:hAnsi="Times New Roman"/>
          <w:b/>
          <w:bCs/>
        </w:rPr>
        <w:t>e</w:t>
      </w:r>
      <w:r w:rsidRPr="00263E20">
        <w:rPr>
          <w:rFonts w:ascii="Times New Roman" w:hAnsi="Times New Roman"/>
          <w:b/>
          <w:bCs/>
        </w:rPr>
        <w:t>) Bottom Line Burden Hours and Cost</w:t>
      </w:r>
    </w:p>
    <w:p w14:paraId="34AD04A8" w14:textId="77777777" w:rsidR="005F3366" w:rsidRPr="00263E20" w:rsidRDefault="005F3366">
      <w:pPr>
        <w:tabs>
          <w:tab w:val="left" w:pos="-1440"/>
          <w:tab w:val="left" w:pos="-720"/>
          <w:tab w:val="decimal" w:pos="0"/>
        </w:tabs>
        <w:rPr>
          <w:rFonts w:ascii="Times New Roman" w:hAnsi="Times New Roman"/>
          <w:b/>
          <w:bCs/>
        </w:rPr>
      </w:pPr>
    </w:p>
    <w:p w14:paraId="6C986849" w14:textId="77777777" w:rsidR="005F3366" w:rsidRPr="00263E20" w:rsidRDefault="00BE7FD6">
      <w:pPr>
        <w:tabs>
          <w:tab w:val="left" w:pos="-1440"/>
          <w:tab w:val="left" w:pos="-720"/>
          <w:tab w:val="decimal" w:pos="0"/>
        </w:tabs>
        <w:rPr>
          <w:rFonts w:ascii="Times New Roman" w:hAnsi="Times New Roman"/>
          <w:b/>
        </w:rPr>
      </w:pPr>
      <w:r w:rsidRPr="00263E20">
        <w:tab/>
      </w:r>
      <w:r w:rsidRPr="00263E20">
        <w:rPr>
          <w:rFonts w:ascii="Times New Roman" w:hAnsi="Times New Roman"/>
          <w:b/>
        </w:rPr>
        <w:t>(i) Respondent Burden</w:t>
      </w:r>
    </w:p>
    <w:p w14:paraId="2DE5AEC2" w14:textId="77777777" w:rsidR="005F3366" w:rsidRPr="00263E20" w:rsidRDefault="005F3366">
      <w:pPr>
        <w:tabs>
          <w:tab w:val="left" w:pos="-1440"/>
          <w:tab w:val="left" w:pos="-720"/>
          <w:tab w:val="decimal" w:pos="0"/>
        </w:tabs>
        <w:rPr>
          <w:rFonts w:ascii="Times New Roman" w:hAnsi="Times New Roman"/>
          <w:u w:val="single"/>
        </w:rPr>
      </w:pPr>
    </w:p>
    <w:p w14:paraId="5F6E143A" w14:textId="0CB8C9E9" w:rsidR="005F3366" w:rsidRPr="00DC195C" w:rsidRDefault="00BE7FD6" w:rsidP="00CA6132">
      <w:pPr>
        <w:ind w:firstLine="720"/>
        <w:rPr>
          <w:rFonts w:ascii="Times New Roman" w:hAnsi="Times New Roman"/>
          <w:bCs/>
        </w:rPr>
      </w:pPr>
      <w:r w:rsidRPr="00DC195C">
        <w:rPr>
          <w:rFonts w:ascii="Times New Roman" w:hAnsi="Times New Roman"/>
        </w:rPr>
        <w:t xml:space="preserve">The total annual respondent burden hours for this ICR are estimated at </w:t>
      </w:r>
      <w:r w:rsidR="00D52FC9" w:rsidRPr="00DC195C">
        <w:rPr>
          <w:rFonts w:ascii="Times New Roman" w:hAnsi="Times New Roman"/>
          <w:bCs/>
        </w:rPr>
        <w:t xml:space="preserve">16,340 </w:t>
      </w:r>
      <w:r w:rsidRPr="00DC195C">
        <w:rPr>
          <w:rFonts w:ascii="Times New Roman" w:hAnsi="Times New Roman"/>
        </w:rPr>
        <w:t xml:space="preserve">hours. The total annual respondent cost for this ICR is estimated to be </w:t>
      </w:r>
      <w:r w:rsidR="00D52FC9" w:rsidRPr="00DC195C">
        <w:rPr>
          <w:rFonts w:ascii="Times New Roman" w:hAnsi="Times New Roman"/>
          <w:bCs/>
        </w:rPr>
        <w:t>$1,006,034</w:t>
      </w:r>
      <w:r w:rsidRPr="00DC195C">
        <w:rPr>
          <w:rFonts w:ascii="Times New Roman" w:hAnsi="Times New Roman"/>
        </w:rPr>
        <w:t xml:space="preserve">.  </w:t>
      </w:r>
    </w:p>
    <w:p w14:paraId="1D0AE76A" w14:textId="77777777" w:rsidR="008D2CC7" w:rsidRPr="00263E20" w:rsidRDefault="008D2CC7" w:rsidP="005F3366">
      <w:pPr>
        <w:tabs>
          <w:tab w:val="left" w:pos="-1440"/>
          <w:tab w:val="left" w:pos="-720"/>
          <w:tab w:val="decimal" w:pos="0"/>
        </w:tabs>
        <w:rPr>
          <w:rFonts w:ascii="Times New Roman" w:hAnsi="Times New Roman"/>
          <w:bCs/>
        </w:rPr>
      </w:pPr>
    </w:p>
    <w:p w14:paraId="465C8807" w14:textId="577AA6BA" w:rsidR="005F3366" w:rsidRPr="00263E20" w:rsidRDefault="00DE7075" w:rsidP="00B81E19">
      <w:pPr>
        <w:keepNext/>
        <w:widowControl/>
        <w:tabs>
          <w:tab w:val="left" w:pos="-1440"/>
          <w:tab w:val="left" w:pos="-720"/>
          <w:tab w:val="decimal" w:pos="0"/>
        </w:tabs>
        <w:rPr>
          <w:rFonts w:ascii="Times New Roman" w:hAnsi="Times New Roman"/>
          <w:b/>
          <w:bCs/>
        </w:rPr>
      </w:pPr>
      <w:r>
        <w:rPr>
          <w:rFonts w:ascii="Times New Roman" w:hAnsi="Times New Roman"/>
          <w:b/>
          <w:bCs/>
        </w:rPr>
        <w:t xml:space="preserve"> </w:t>
      </w:r>
      <w:r w:rsidR="00BE7FD6" w:rsidRPr="00263E20">
        <w:rPr>
          <w:rFonts w:ascii="Times New Roman" w:hAnsi="Times New Roman"/>
          <w:b/>
          <w:bCs/>
        </w:rPr>
        <w:t xml:space="preserve">Table </w:t>
      </w:r>
      <w:r w:rsidR="00BF67C1" w:rsidRPr="00263E20">
        <w:rPr>
          <w:rFonts w:ascii="Times New Roman" w:hAnsi="Times New Roman"/>
          <w:b/>
          <w:bCs/>
        </w:rPr>
        <w:t>10</w:t>
      </w:r>
      <w:r w:rsidR="00F54901" w:rsidRPr="00263E20">
        <w:rPr>
          <w:rFonts w:ascii="Times New Roman" w:hAnsi="Times New Roman"/>
          <w:b/>
          <w:bCs/>
        </w:rPr>
        <w:t>:</w:t>
      </w:r>
      <w:r w:rsidR="00BE7FD6" w:rsidRPr="00263E20">
        <w:rPr>
          <w:rFonts w:ascii="Times New Roman" w:hAnsi="Times New Roman"/>
          <w:b/>
          <w:bCs/>
        </w:rPr>
        <w:t xml:space="preserve"> </w:t>
      </w:r>
      <w:r w:rsidR="005F3366" w:rsidRPr="00263E20">
        <w:rPr>
          <w:rFonts w:ascii="Times New Roman" w:hAnsi="Times New Roman"/>
          <w:b/>
          <w:bCs/>
        </w:rPr>
        <w:t xml:space="preserve">Total </w:t>
      </w:r>
      <w:r w:rsidR="00BE7FD6" w:rsidRPr="00263E20">
        <w:rPr>
          <w:rFonts w:ascii="Times New Roman" w:hAnsi="Times New Roman"/>
          <w:b/>
          <w:bCs/>
        </w:rPr>
        <w:t>Annual</w:t>
      </w:r>
      <w:r w:rsidR="005F3366" w:rsidRPr="00263E20">
        <w:rPr>
          <w:rFonts w:ascii="Times New Roman" w:hAnsi="Times New Roman"/>
          <w:b/>
          <w:bCs/>
        </w:rPr>
        <w:t xml:space="preserve"> Respondent</w:t>
      </w:r>
      <w:r w:rsidR="00BE7FD6" w:rsidRPr="00263E20">
        <w:rPr>
          <w:rFonts w:ascii="Times New Roman" w:hAnsi="Times New Roman"/>
          <w:b/>
          <w:bCs/>
        </w:rPr>
        <w:t xml:space="preserve"> Burden and Costs</w:t>
      </w:r>
    </w:p>
    <w:tbl>
      <w:tblPr>
        <w:tblW w:w="9360" w:type="dxa"/>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2367"/>
        <w:gridCol w:w="1506"/>
        <w:gridCol w:w="1614"/>
        <w:gridCol w:w="1721"/>
        <w:gridCol w:w="2152"/>
      </w:tblGrid>
      <w:tr w:rsidR="00B56B6B" w:rsidRPr="00B738E1" w14:paraId="08C4E3E9" w14:textId="77777777" w:rsidTr="00F84508">
        <w:trPr>
          <w:cantSplit/>
        </w:trPr>
        <w:tc>
          <w:tcPr>
            <w:tcW w:w="2367" w:type="dxa"/>
            <w:vAlign w:val="center"/>
          </w:tcPr>
          <w:p w14:paraId="66DB490F" w14:textId="77777777" w:rsidR="000C60AF" w:rsidRPr="00B738E1" w:rsidRDefault="00F53E3C" w:rsidP="00B81E19">
            <w:pPr>
              <w:keepNext/>
              <w:widowControl/>
              <w:tabs>
                <w:tab w:val="left" w:pos="-1440"/>
                <w:tab w:val="left" w:pos="-720"/>
                <w:tab w:val="decimal" w:pos="0"/>
              </w:tabs>
              <w:jc w:val="center"/>
              <w:rPr>
                <w:rFonts w:ascii="Times New Roman" w:hAnsi="Times New Roman"/>
                <w:b/>
                <w:bCs/>
                <w:szCs w:val="22"/>
              </w:rPr>
            </w:pPr>
            <w:r w:rsidRPr="00B738E1">
              <w:rPr>
                <w:rFonts w:ascii="Times New Roman" w:hAnsi="Times New Roman"/>
                <w:b/>
                <w:bCs/>
                <w:szCs w:val="22"/>
              </w:rPr>
              <w:t>Information Collection</w:t>
            </w:r>
          </w:p>
        </w:tc>
        <w:tc>
          <w:tcPr>
            <w:tcW w:w="1506" w:type="dxa"/>
            <w:vAlign w:val="center"/>
          </w:tcPr>
          <w:p w14:paraId="058EC076" w14:textId="77777777" w:rsidR="000C60AF" w:rsidRPr="00B738E1" w:rsidRDefault="00F53E3C" w:rsidP="00B81E19">
            <w:pPr>
              <w:keepNext/>
              <w:widowControl/>
              <w:tabs>
                <w:tab w:val="left" w:pos="-1440"/>
                <w:tab w:val="left" w:pos="-720"/>
                <w:tab w:val="decimal" w:pos="0"/>
              </w:tabs>
              <w:jc w:val="center"/>
              <w:rPr>
                <w:rFonts w:ascii="Times New Roman" w:hAnsi="Times New Roman"/>
                <w:b/>
                <w:bCs/>
                <w:szCs w:val="22"/>
              </w:rPr>
            </w:pPr>
            <w:r w:rsidRPr="00B738E1">
              <w:rPr>
                <w:rFonts w:ascii="Times New Roman" w:hAnsi="Times New Roman"/>
                <w:b/>
                <w:bCs/>
                <w:szCs w:val="22"/>
              </w:rPr>
              <w:t>Responses Per Year</w:t>
            </w:r>
          </w:p>
        </w:tc>
        <w:tc>
          <w:tcPr>
            <w:tcW w:w="1614" w:type="dxa"/>
            <w:vAlign w:val="center"/>
          </w:tcPr>
          <w:p w14:paraId="507A1395" w14:textId="77777777" w:rsidR="000C60AF" w:rsidRPr="00B738E1" w:rsidRDefault="00F53E3C" w:rsidP="00B81E19">
            <w:pPr>
              <w:keepNext/>
              <w:widowControl/>
              <w:tabs>
                <w:tab w:val="left" w:pos="-1440"/>
                <w:tab w:val="left" w:pos="-720"/>
                <w:tab w:val="decimal" w:pos="0"/>
              </w:tabs>
              <w:jc w:val="center"/>
              <w:rPr>
                <w:rFonts w:ascii="Times New Roman" w:hAnsi="Times New Roman"/>
                <w:b/>
                <w:bCs/>
                <w:szCs w:val="20"/>
              </w:rPr>
            </w:pPr>
            <w:r w:rsidRPr="00B738E1">
              <w:rPr>
                <w:rFonts w:ascii="Times New Roman" w:hAnsi="Times New Roman"/>
                <w:b/>
                <w:bCs/>
                <w:szCs w:val="20"/>
              </w:rPr>
              <w:t>Burden Per Response (hours)</w:t>
            </w:r>
          </w:p>
        </w:tc>
        <w:tc>
          <w:tcPr>
            <w:tcW w:w="1721" w:type="dxa"/>
            <w:vAlign w:val="center"/>
          </w:tcPr>
          <w:p w14:paraId="764E151D" w14:textId="77777777" w:rsidR="000C60AF" w:rsidRPr="00B738E1" w:rsidRDefault="00F53E3C" w:rsidP="00B81E19">
            <w:pPr>
              <w:keepNext/>
              <w:widowControl/>
              <w:tabs>
                <w:tab w:val="left" w:pos="-1440"/>
                <w:tab w:val="left" w:pos="-720"/>
                <w:tab w:val="decimal" w:pos="0"/>
              </w:tabs>
              <w:jc w:val="center"/>
              <w:rPr>
                <w:rFonts w:ascii="Times New Roman" w:hAnsi="Times New Roman"/>
                <w:b/>
                <w:bCs/>
                <w:szCs w:val="22"/>
              </w:rPr>
            </w:pPr>
            <w:r w:rsidRPr="00B738E1">
              <w:rPr>
                <w:rFonts w:ascii="Times New Roman" w:hAnsi="Times New Roman"/>
                <w:b/>
                <w:bCs/>
                <w:szCs w:val="22"/>
              </w:rPr>
              <w:t>Annual Burden</w:t>
            </w:r>
          </w:p>
          <w:p w14:paraId="2C8CFF82" w14:textId="77777777" w:rsidR="000C60AF" w:rsidRPr="00B738E1" w:rsidRDefault="00F53E3C" w:rsidP="00B81E19">
            <w:pPr>
              <w:keepNext/>
              <w:widowControl/>
              <w:tabs>
                <w:tab w:val="left" w:pos="-1440"/>
                <w:tab w:val="left" w:pos="-720"/>
                <w:tab w:val="decimal" w:pos="0"/>
              </w:tabs>
              <w:jc w:val="center"/>
              <w:rPr>
                <w:rFonts w:ascii="Times New Roman" w:hAnsi="Times New Roman"/>
                <w:b/>
                <w:bCs/>
                <w:szCs w:val="22"/>
              </w:rPr>
            </w:pPr>
            <w:r w:rsidRPr="00B738E1">
              <w:rPr>
                <w:rFonts w:ascii="Times New Roman" w:hAnsi="Times New Roman"/>
                <w:b/>
                <w:bCs/>
                <w:szCs w:val="22"/>
              </w:rPr>
              <w:t>(hours)</w:t>
            </w:r>
          </w:p>
        </w:tc>
        <w:tc>
          <w:tcPr>
            <w:tcW w:w="2152" w:type="dxa"/>
            <w:vAlign w:val="center"/>
          </w:tcPr>
          <w:p w14:paraId="3832EF60" w14:textId="77777777" w:rsidR="000C60AF" w:rsidRPr="00B738E1" w:rsidRDefault="00F53E3C" w:rsidP="00B81E19">
            <w:pPr>
              <w:keepNext/>
              <w:widowControl/>
              <w:tabs>
                <w:tab w:val="left" w:pos="-1440"/>
                <w:tab w:val="left" w:pos="-720"/>
                <w:tab w:val="decimal" w:pos="0"/>
              </w:tabs>
              <w:jc w:val="center"/>
              <w:rPr>
                <w:rFonts w:ascii="Times New Roman" w:hAnsi="Times New Roman"/>
                <w:b/>
                <w:bCs/>
                <w:szCs w:val="22"/>
              </w:rPr>
            </w:pPr>
            <w:r w:rsidRPr="00B738E1">
              <w:rPr>
                <w:rFonts w:ascii="Times New Roman" w:hAnsi="Times New Roman"/>
                <w:b/>
                <w:bCs/>
                <w:szCs w:val="22"/>
              </w:rPr>
              <w:t>Total</w:t>
            </w:r>
          </w:p>
          <w:p w14:paraId="151604DA" w14:textId="77777777" w:rsidR="000C60AF" w:rsidRPr="00B738E1" w:rsidRDefault="00F53E3C" w:rsidP="00B81E19">
            <w:pPr>
              <w:keepNext/>
              <w:widowControl/>
              <w:tabs>
                <w:tab w:val="left" w:pos="-1440"/>
                <w:tab w:val="left" w:pos="-720"/>
                <w:tab w:val="decimal" w:pos="0"/>
              </w:tabs>
              <w:jc w:val="center"/>
              <w:rPr>
                <w:rFonts w:ascii="Times New Roman" w:hAnsi="Times New Roman"/>
                <w:b/>
                <w:bCs/>
                <w:szCs w:val="22"/>
              </w:rPr>
            </w:pPr>
            <w:r w:rsidRPr="00B738E1">
              <w:rPr>
                <w:rFonts w:ascii="Times New Roman" w:hAnsi="Times New Roman"/>
                <w:b/>
                <w:bCs/>
                <w:szCs w:val="22"/>
              </w:rPr>
              <w:t>Costs</w:t>
            </w:r>
          </w:p>
        </w:tc>
      </w:tr>
      <w:tr w:rsidR="00675D6F" w:rsidRPr="00B738E1" w14:paraId="0A3ADE71" w14:textId="77777777" w:rsidTr="00B738E1">
        <w:trPr>
          <w:cantSplit/>
          <w:trHeight w:val="570"/>
        </w:trPr>
        <w:tc>
          <w:tcPr>
            <w:tcW w:w="2367" w:type="dxa"/>
            <w:vAlign w:val="center"/>
          </w:tcPr>
          <w:p w14:paraId="0468046A" w14:textId="544F6436" w:rsidR="00675D6F" w:rsidRPr="00B738E1" w:rsidRDefault="00675D6F" w:rsidP="00675D6F">
            <w:pPr>
              <w:keepNext/>
              <w:widowControl/>
              <w:tabs>
                <w:tab w:val="left" w:pos="-1440"/>
                <w:tab w:val="left" w:pos="-720"/>
                <w:tab w:val="decimal" w:pos="0"/>
              </w:tabs>
              <w:jc w:val="center"/>
              <w:rPr>
                <w:rFonts w:ascii="Times New Roman" w:hAnsi="Times New Roman"/>
                <w:bCs/>
                <w:szCs w:val="22"/>
              </w:rPr>
            </w:pPr>
            <w:r w:rsidRPr="00B738E1">
              <w:rPr>
                <w:rFonts w:ascii="Times New Roman" w:hAnsi="Times New Roman"/>
                <w:bCs/>
                <w:szCs w:val="22"/>
              </w:rPr>
              <w:t>Notice of Arrival for Registered Pesticides and Pesticidal Devices</w:t>
            </w:r>
          </w:p>
        </w:tc>
        <w:tc>
          <w:tcPr>
            <w:tcW w:w="1506" w:type="dxa"/>
          </w:tcPr>
          <w:p w14:paraId="1734A107" w14:textId="77777777" w:rsidR="00D52FC9" w:rsidRPr="00B738E1" w:rsidRDefault="00D52FC9" w:rsidP="00675D6F">
            <w:pPr>
              <w:keepNext/>
              <w:widowControl/>
              <w:tabs>
                <w:tab w:val="left" w:pos="-1440"/>
                <w:tab w:val="left" w:pos="-720"/>
                <w:tab w:val="decimal" w:pos="0"/>
              </w:tabs>
              <w:jc w:val="center"/>
              <w:rPr>
                <w:rFonts w:ascii="Times New Roman" w:hAnsi="Times New Roman"/>
                <w:bCs/>
                <w:szCs w:val="22"/>
              </w:rPr>
            </w:pPr>
          </w:p>
          <w:p w14:paraId="257E14C6" w14:textId="6E3239CE" w:rsidR="00675D6F" w:rsidRPr="00B738E1" w:rsidRDefault="00675D6F" w:rsidP="00675D6F">
            <w:pPr>
              <w:keepNext/>
              <w:widowControl/>
              <w:tabs>
                <w:tab w:val="left" w:pos="-1440"/>
                <w:tab w:val="left" w:pos="-720"/>
                <w:tab w:val="decimal" w:pos="0"/>
              </w:tabs>
              <w:jc w:val="center"/>
              <w:rPr>
                <w:rFonts w:ascii="Times New Roman" w:hAnsi="Times New Roman"/>
                <w:bCs/>
                <w:szCs w:val="22"/>
              </w:rPr>
            </w:pPr>
            <w:r w:rsidRPr="00B738E1">
              <w:rPr>
                <w:rFonts w:ascii="Times New Roman" w:hAnsi="Times New Roman"/>
                <w:bCs/>
                <w:szCs w:val="22"/>
              </w:rPr>
              <w:t>26,600</w:t>
            </w:r>
          </w:p>
        </w:tc>
        <w:tc>
          <w:tcPr>
            <w:tcW w:w="1614" w:type="dxa"/>
          </w:tcPr>
          <w:p w14:paraId="5912506D" w14:textId="77777777" w:rsidR="00D52FC9" w:rsidRPr="00B738E1" w:rsidRDefault="00D52FC9" w:rsidP="00675D6F">
            <w:pPr>
              <w:keepNext/>
              <w:widowControl/>
              <w:tabs>
                <w:tab w:val="left" w:pos="-1440"/>
                <w:tab w:val="left" w:pos="-720"/>
                <w:tab w:val="decimal" w:pos="0"/>
              </w:tabs>
              <w:jc w:val="center"/>
              <w:rPr>
                <w:rFonts w:ascii="Times New Roman" w:hAnsi="Times New Roman"/>
                <w:bCs/>
                <w:szCs w:val="22"/>
              </w:rPr>
            </w:pPr>
          </w:p>
          <w:p w14:paraId="70EFC798" w14:textId="17E0819C" w:rsidR="00675D6F" w:rsidRPr="00B738E1" w:rsidRDefault="00675D6F" w:rsidP="00675D6F">
            <w:pPr>
              <w:keepNext/>
              <w:widowControl/>
              <w:tabs>
                <w:tab w:val="left" w:pos="-1440"/>
                <w:tab w:val="left" w:pos="-720"/>
                <w:tab w:val="decimal" w:pos="0"/>
              </w:tabs>
              <w:jc w:val="center"/>
              <w:rPr>
                <w:rFonts w:ascii="Times New Roman" w:hAnsi="Times New Roman"/>
                <w:bCs/>
                <w:szCs w:val="22"/>
              </w:rPr>
            </w:pPr>
            <w:r w:rsidRPr="00B738E1">
              <w:rPr>
                <w:rFonts w:ascii="Times New Roman" w:hAnsi="Times New Roman"/>
                <w:bCs/>
                <w:szCs w:val="22"/>
              </w:rPr>
              <w:t>0.40</w:t>
            </w:r>
          </w:p>
        </w:tc>
        <w:tc>
          <w:tcPr>
            <w:tcW w:w="1721" w:type="dxa"/>
          </w:tcPr>
          <w:p w14:paraId="2EA44FFF" w14:textId="77777777" w:rsidR="00D52FC9" w:rsidRPr="00B738E1" w:rsidRDefault="00D52FC9" w:rsidP="00675D6F">
            <w:pPr>
              <w:keepNext/>
              <w:widowControl/>
              <w:tabs>
                <w:tab w:val="left" w:pos="-1440"/>
                <w:tab w:val="left" w:pos="-720"/>
                <w:tab w:val="decimal" w:pos="0"/>
              </w:tabs>
              <w:jc w:val="center"/>
              <w:rPr>
                <w:rFonts w:ascii="Times New Roman" w:hAnsi="Times New Roman"/>
                <w:bCs/>
                <w:szCs w:val="22"/>
              </w:rPr>
            </w:pPr>
          </w:p>
          <w:p w14:paraId="39C8FFFD" w14:textId="1AD8F532" w:rsidR="00675D6F" w:rsidRPr="00B738E1" w:rsidRDefault="00675D6F" w:rsidP="00675D6F">
            <w:pPr>
              <w:keepNext/>
              <w:widowControl/>
              <w:tabs>
                <w:tab w:val="left" w:pos="-1440"/>
                <w:tab w:val="left" w:pos="-720"/>
                <w:tab w:val="decimal" w:pos="0"/>
              </w:tabs>
              <w:jc w:val="center"/>
              <w:rPr>
                <w:rFonts w:ascii="Times New Roman" w:hAnsi="Times New Roman"/>
                <w:bCs/>
                <w:szCs w:val="22"/>
              </w:rPr>
            </w:pPr>
            <w:r w:rsidRPr="00B738E1">
              <w:rPr>
                <w:rFonts w:ascii="Times New Roman" w:hAnsi="Times New Roman"/>
                <w:bCs/>
                <w:szCs w:val="22"/>
              </w:rPr>
              <w:t xml:space="preserve"> 10,640 </w:t>
            </w:r>
          </w:p>
        </w:tc>
        <w:tc>
          <w:tcPr>
            <w:tcW w:w="2152" w:type="dxa"/>
          </w:tcPr>
          <w:p w14:paraId="709DC0C7" w14:textId="77777777" w:rsidR="00D52FC9" w:rsidRPr="00B738E1" w:rsidRDefault="00D52FC9" w:rsidP="00675D6F">
            <w:pPr>
              <w:keepNext/>
              <w:widowControl/>
              <w:tabs>
                <w:tab w:val="left" w:pos="-1440"/>
                <w:tab w:val="left" w:pos="-720"/>
                <w:tab w:val="decimal" w:pos="0"/>
              </w:tabs>
              <w:jc w:val="center"/>
              <w:rPr>
                <w:rFonts w:ascii="Times New Roman" w:hAnsi="Times New Roman"/>
                <w:bCs/>
                <w:szCs w:val="22"/>
              </w:rPr>
            </w:pPr>
          </w:p>
          <w:p w14:paraId="6F116ACB" w14:textId="006747CF" w:rsidR="00675D6F" w:rsidRPr="00B738E1" w:rsidRDefault="00675D6F" w:rsidP="00675D6F">
            <w:pPr>
              <w:keepNext/>
              <w:widowControl/>
              <w:tabs>
                <w:tab w:val="left" w:pos="-1440"/>
                <w:tab w:val="left" w:pos="-720"/>
                <w:tab w:val="decimal" w:pos="0"/>
              </w:tabs>
              <w:jc w:val="center"/>
              <w:rPr>
                <w:rFonts w:ascii="Times New Roman" w:hAnsi="Times New Roman"/>
                <w:bCs/>
                <w:szCs w:val="22"/>
              </w:rPr>
            </w:pPr>
            <w:r w:rsidRPr="00B738E1">
              <w:rPr>
                <w:rFonts w:ascii="Times New Roman" w:hAnsi="Times New Roman"/>
                <w:bCs/>
                <w:szCs w:val="22"/>
              </w:rPr>
              <w:t xml:space="preserve">$644,161 </w:t>
            </w:r>
          </w:p>
        </w:tc>
      </w:tr>
      <w:tr w:rsidR="00675D6F" w:rsidRPr="00B738E1" w14:paraId="38AA9EC4" w14:textId="77777777" w:rsidTr="00F84508">
        <w:trPr>
          <w:cantSplit/>
          <w:trHeight w:val="570"/>
        </w:trPr>
        <w:tc>
          <w:tcPr>
            <w:tcW w:w="2367" w:type="dxa"/>
            <w:vAlign w:val="center"/>
          </w:tcPr>
          <w:p w14:paraId="0F744FB9" w14:textId="77777777" w:rsidR="00675D6F" w:rsidRPr="00B738E1" w:rsidRDefault="00675D6F" w:rsidP="00675D6F">
            <w:pPr>
              <w:keepNext/>
              <w:widowControl/>
              <w:tabs>
                <w:tab w:val="left" w:pos="-1440"/>
                <w:tab w:val="left" w:pos="-720"/>
                <w:tab w:val="decimal" w:pos="0"/>
              </w:tabs>
              <w:jc w:val="center"/>
              <w:rPr>
                <w:rFonts w:ascii="Times New Roman" w:hAnsi="Times New Roman"/>
                <w:bCs/>
                <w:szCs w:val="22"/>
              </w:rPr>
            </w:pPr>
            <w:r w:rsidRPr="00B738E1">
              <w:rPr>
                <w:rFonts w:ascii="Times New Roman" w:hAnsi="Times New Roman"/>
                <w:bCs/>
                <w:szCs w:val="22"/>
              </w:rPr>
              <w:t>Notice of Arrival for Unregistered Pesticides</w:t>
            </w:r>
          </w:p>
        </w:tc>
        <w:tc>
          <w:tcPr>
            <w:tcW w:w="1506" w:type="dxa"/>
            <w:vAlign w:val="center"/>
          </w:tcPr>
          <w:p w14:paraId="7C23284C" w14:textId="153A8C4B" w:rsidR="00675D6F" w:rsidRPr="00B738E1" w:rsidRDefault="00675D6F" w:rsidP="00675D6F">
            <w:pPr>
              <w:keepNext/>
              <w:widowControl/>
              <w:tabs>
                <w:tab w:val="left" w:pos="-1440"/>
                <w:tab w:val="left" w:pos="-720"/>
                <w:tab w:val="decimal" w:pos="0"/>
              </w:tabs>
              <w:jc w:val="center"/>
              <w:rPr>
                <w:rFonts w:ascii="Times New Roman" w:hAnsi="Times New Roman"/>
                <w:bCs/>
                <w:szCs w:val="22"/>
              </w:rPr>
            </w:pPr>
            <w:r w:rsidRPr="00B738E1">
              <w:rPr>
                <w:rFonts w:ascii="Times New Roman" w:hAnsi="Times New Roman"/>
                <w:bCs/>
                <w:szCs w:val="22"/>
              </w:rPr>
              <w:t>11,400</w:t>
            </w:r>
          </w:p>
        </w:tc>
        <w:tc>
          <w:tcPr>
            <w:tcW w:w="1614" w:type="dxa"/>
            <w:vAlign w:val="center"/>
          </w:tcPr>
          <w:p w14:paraId="6BCDDF5F" w14:textId="0224E6A7" w:rsidR="00675D6F" w:rsidRPr="00B738E1" w:rsidRDefault="00675D6F" w:rsidP="00675D6F">
            <w:pPr>
              <w:keepNext/>
              <w:widowControl/>
              <w:tabs>
                <w:tab w:val="left" w:pos="-1440"/>
                <w:tab w:val="left" w:pos="-720"/>
                <w:tab w:val="decimal" w:pos="0"/>
              </w:tabs>
              <w:jc w:val="center"/>
              <w:rPr>
                <w:rFonts w:ascii="Times New Roman" w:hAnsi="Times New Roman"/>
                <w:bCs/>
                <w:szCs w:val="22"/>
              </w:rPr>
            </w:pPr>
            <w:r w:rsidRPr="00B738E1">
              <w:rPr>
                <w:rFonts w:ascii="Times New Roman" w:hAnsi="Times New Roman"/>
                <w:bCs/>
                <w:szCs w:val="22"/>
              </w:rPr>
              <w:t>0.50</w:t>
            </w:r>
          </w:p>
        </w:tc>
        <w:tc>
          <w:tcPr>
            <w:tcW w:w="1721" w:type="dxa"/>
            <w:vAlign w:val="center"/>
          </w:tcPr>
          <w:p w14:paraId="53FF31C7" w14:textId="18372C81" w:rsidR="00675D6F" w:rsidRPr="00B738E1" w:rsidRDefault="00675D6F" w:rsidP="00DC195C">
            <w:pPr>
              <w:keepNext/>
              <w:widowControl/>
              <w:tabs>
                <w:tab w:val="left" w:pos="-1440"/>
                <w:tab w:val="left" w:pos="-720"/>
                <w:tab w:val="decimal" w:pos="0"/>
              </w:tabs>
              <w:rPr>
                <w:rFonts w:ascii="Times New Roman" w:hAnsi="Times New Roman"/>
                <w:bCs/>
                <w:szCs w:val="22"/>
              </w:rPr>
            </w:pPr>
            <w:r w:rsidRPr="00B738E1">
              <w:rPr>
                <w:rFonts w:ascii="Times New Roman" w:hAnsi="Times New Roman"/>
                <w:bCs/>
                <w:szCs w:val="22"/>
              </w:rPr>
              <w:t xml:space="preserve">  </w:t>
            </w:r>
            <w:r w:rsidR="00D52FC9" w:rsidRPr="00B738E1">
              <w:rPr>
                <w:rFonts w:ascii="Times New Roman" w:hAnsi="Times New Roman"/>
                <w:bCs/>
                <w:szCs w:val="22"/>
              </w:rPr>
              <w:t xml:space="preserve">        </w:t>
            </w:r>
            <w:r w:rsidRPr="00B738E1">
              <w:rPr>
                <w:rFonts w:ascii="Times New Roman" w:hAnsi="Times New Roman"/>
                <w:bCs/>
                <w:szCs w:val="22"/>
              </w:rPr>
              <w:t xml:space="preserve">5,700 </w:t>
            </w:r>
          </w:p>
        </w:tc>
        <w:tc>
          <w:tcPr>
            <w:tcW w:w="2152" w:type="dxa"/>
            <w:vAlign w:val="center"/>
          </w:tcPr>
          <w:p w14:paraId="00257949" w14:textId="17B310EE" w:rsidR="00675D6F" w:rsidRPr="00B738E1" w:rsidRDefault="00675D6F" w:rsidP="00675D6F">
            <w:pPr>
              <w:keepNext/>
              <w:widowControl/>
              <w:tabs>
                <w:tab w:val="left" w:pos="-1440"/>
                <w:tab w:val="left" w:pos="-720"/>
                <w:tab w:val="decimal" w:pos="0"/>
              </w:tabs>
              <w:jc w:val="center"/>
              <w:rPr>
                <w:rFonts w:ascii="Times New Roman" w:hAnsi="Times New Roman"/>
                <w:bCs/>
                <w:szCs w:val="22"/>
              </w:rPr>
            </w:pPr>
            <w:r w:rsidRPr="00B738E1">
              <w:rPr>
                <w:rFonts w:ascii="Times New Roman" w:hAnsi="Times New Roman"/>
                <w:bCs/>
                <w:szCs w:val="22"/>
              </w:rPr>
              <w:t xml:space="preserve">$361,874 </w:t>
            </w:r>
          </w:p>
        </w:tc>
      </w:tr>
      <w:tr w:rsidR="00675D6F" w:rsidRPr="00B738E1" w14:paraId="41BA024D" w14:textId="77777777" w:rsidTr="00F84508">
        <w:trPr>
          <w:cantSplit/>
          <w:trHeight w:val="570"/>
        </w:trPr>
        <w:tc>
          <w:tcPr>
            <w:tcW w:w="5487" w:type="dxa"/>
            <w:gridSpan w:val="3"/>
            <w:vAlign w:val="center"/>
          </w:tcPr>
          <w:p w14:paraId="0499965B" w14:textId="77777777" w:rsidR="00675D6F" w:rsidRPr="00B738E1" w:rsidRDefault="00675D6F" w:rsidP="00675D6F">
            <w:pPr>
              <w:keepNext/>
              <w:widowControl/>
              <w:tabs>
                <w:tab w:val="left" w:pos="-1440"/>
                <w:tab w:val="left" w:pos="-720"/>
                <w:tab w:val="decimal" w:pos="0"/>
                <w:tab w:val="center" w:pos="4320"/>
                <w:tab w:val="right" w:pos="8640"/>
              </w:tabs>
              <w:jc w:val="center"/>
              <w:rPr>
                <w:rFonts w:ascii="Times New Roman" w:hAnsi="Times New Roman"/>
                <w:b/>
                <w:bCs/>
                <w:szCs w:val="22"/>
              </w:rPr>
            </w:pPr>
            <w:r w:rsidRPr="00B738E1">
              <w:rPr>
                <w:rFonts w:ascii="Times New Roman" w:hAnsi="Times New Roman"/>
                <w:b/>
                <w:bCs/>
                <w:szCs w:val="22"/>
              </w:rPr>
              <w:t>Total Annual Respondent Burden</w:t>
            </w:r>
          </w:p>
        </w:tc>
        <w:tc>
          <w:tcPr>
            <w:tcW w:w="1721" w:type="dxa"/>
            <w:vAlign w:val="center"/>
          </w:tcPr>
          <w:p w14:paraId="1329D80F" w14:textId="4B9D398D" w:rsidR="00675D6F" w:rsidRPr="00DE7075" w:rsidRDefault="00675D6F" w:rsidP="00C01ED7">
            <w:pPr>
              <w:keepNext/>
              <w:widowControl/>
              <w:tabs>
                <w:tab w:val="left" w:pos="-1440"/>
                <w:tab w:val="left" w:pos="-720"/>
                <w:tab w:val="decimal" w:pos="0"/>
              </w:tabs>
              <w:jc w:val="center"/>
              <w:rPr>
                <w:rFonts w:ascii="Times New Roman" w:hAnsi="Times New Roman"/>
                <w:b/>
                <w:bCs/>
                <w:szCs w:val="22"/>
              </w:rPr>
            </w:pPr>
            <w:r w:rsidRPr="00DE7075">
              <w:rPr>
                <w:rFonts w:ascii="Times New Roman" w:hAnsi="Times New Roman"/>
                <w:b/>
                <w:bCs/>
                <w:szCs w:val="22"/>
              </w:rPr>
              <w:t xml:space="preserve">16,340 </w:t>
            </w:r>
          </w:p>
        </w:tc>
        <w:tc>
          <w:tcPr>
            <w:tcW w:w="2152" w:type="dxa"/>
            <w:vAlign w:val="center"/>
          </w:tcPr>
          <w:p w14:paraId="4752775D" w14:textId="09E079B5" w:rsidR="00675D6F" w:rsidRPr="00DE7075" w:rsidRDefault="00675D6F" w:rsidP="00DE7075">
            <w:pPr>
              <w:keepNext/>
              <w:widowControl/>
              <w:tabs>
                <w:tab w:val="left" w:pos="-1440"/>
                <w:tab w:val="left" w:pos="-720"/>
                <w:tab w:val="decimal" w:pos="0"/>
              </w:tabs>
              <w:jc w:val="center"/>
              <w:rPr>
                <w:rFonts w:ascii="Times New Roman" w:hAnsi="Times New Roman"/>
                <w:b/>
                <w:bCs/>
                <w:szCs w:val="22"/>
              </w:rPr>
            </w:pPr>
            <w:r w:rsidRPr="00DE7075">
              <w:rPr>
                <w:rFonts w:ascii="Times New Roman" w:hAnsi="Times New Roman"/>
                <w:b/>
                <w:bCs/>
                <w:szCs w:val="22"/>
              </w:rPr>
              <w:t xml:space="preserve">$1,006,034 </w:t>
            </w:r>
          </w:p>
        </w:tc>
      </w:tr>
    </w:tbl>
    <w:p w14:paraId="17F723CF" w14:textId="77777777" w:rsidR="005F3366" w:rsidRPr="00263E20" w:rsidRDefault="005F3366" w:rsidP="005F3366">
      <w:pPr>
        <w:tabs>
          <w:tab w:val="left" w:pos="-1440"/>
          <w:tab w:val="left" w:pos="-720"/>
          <w:tab w:val="decimal" w:pos="0"/>
        </w:tabs>
        <w:rPr>
          <w:rFonts w:ascii="Times New Roman" w:hAnsi="Times New Roman"/>
          <w:b/>
          <w:bCs/>
        </w:rPr>
      </w:pPr>
    </w:p>
    <w:p w14:paraId="7F257BE2" w14:textId="77777777" w:rsidR="00A936C2" w:rsidRPr="00263E20" w:rsidRDefault="005F3366">
      <w:pPr>
        <w:keepNext/>
        <w:tabs>
          <w:tab w:val="left" w:pos="-1440"/>
          <w:tab w:val="left" w:pos="-720"/>
          <w:tab w:val="decimal" w:pos="0"/>
        </w:tabs>
        <w:rPr>
          <w:rFonts w:ascii="Times New Roman" w:hAnsi="Times New Roman"/>
          <w:b/>
          <w:bCs/>
          <w:u w:val="single"/>
        </w:rPr>
      </w:pPr>
      <w:r w:rsidRPr="00263E20">
        <w:rPr>
          <w:rFonts w:ascii="Times New Roman" w:hAnsi="Times New Roman"/>
          <w:b/>
          <w:bCs/>
        </w:rPr>
        <w:tab/>
        <w:t>(ii)</w:t>
      </w:r>
      <w:r w:rsidR="0065123D" w:rsidRPr="00263E20">
        <w:rPr>
          <w:rFonts w:ascii="Times New Roman" w:hAnsi="Times New Roman"/>
          <w:b/>
          <w:bCs/>
        </w:rPr>
        <w:t xml:space="preserve"> </w:t>
      </w:r>
      <w:r w:rsidRPr="00263E20">
        <w:rPr>
          <w:rFonts w:ascii="Times New Roman" w:hAnsi="Times New Roman"/>
          <w:b/>
          <w:bCs/>
          <w:u w:val="single"/>
        </w:rPr>
        <w:t>Agency Burden</w:t>
      </w:r>
    </w:p>
    <w:p w14:paraId="5C0E9C70" w14:textId="77777777" w:rsidR="00A936C2" w:rsidRPr="00263E20" w:rsidRDefault="00A936C2">
      <w:pPr>
        <w:keepNext/>
        <w:tabs>
          <w:tab w:val="left" w:pos="-1440"/>
          <w:tab w:val="left" w:pos="-720"/>
          <w:tab w:val="decimal" w:pos="0"/>
        </w:tabs>
        <w:rPr>
          <w:rFonts w:ascii="Times New Roman" w:hAnsi="Times New Roman"/>
          <w:bCs/>
        </w:rPr>
      </w:pPr>
    </w:p>
    <w:p w14:paraId="379460F6" w14:textId="2826A6A5" w:rsidR="00A936C2" w:rsidRPr="00263E20" w:rsidRDefault="003B6727">
      <w:pPr>
        <w:keepNext/>
        <w:tabs>
          <w:tab w:val="left" w:pos="-1440"/>
          <w:tab w:val="left" w:pos="-720"/>
          <w:tab w:val="decimal" w:pos="0"/>
        </w:tabs>
        <w:rPr>
          <w:rFonts w:ascii="Times New Roman" w:hAnsi="Times New Roman"/>
          <w:bCs/>
        </w:rPr>
      </w:pPr>
      <w:r w:rsidRPr="00263E20">
        <w:rPr>
          <w:rFonts w:ascii="Times New Roman" w:hAnsi="Times New Roman"/>
          <w:bCs/>
        </w:rPr>
        <w:tab/>
      </w:r>
      <w:r w:rsidR="00BE7FD6" w:rsidRPr="00263E20">
        <w:rPr>
          <w:rFonts w:ascii="Times New Roman" w:hAnsi="Times New Roman"/>
          <w:bCs/>
        </w:rPr>
        <w:t>The total annual agency burden for this IC</w:t>
      </w:r>
      <w:r w:rsidRPr="00263E20">
        <w:rPr>
          <w:rFonts w:ascii="Times New Roman" w:hAnsi="Times New Roman"/>
          <w:bCs/>
        </w:rPr>
        <w:t xml:space="preserve">R is estimated to be </w:t>
      </w:r>
      <w:r w:rsidR="00C01ED7" w:rsidRPr="00263E20">
        <w:rPr>
          <w:rFonts w:ascii="Times New Roman" w:hAnsi="Times New Roman"/>
          <w:bCs/>
        </w:rPr>
        <w:t>10</w:t>
      </w:r>
      <w:r w:rsidRPr="00263E20">
        <w:rPr>
          <w:rFonts w:ascii="Times New Roman" w:hAnsi="Times New Roman"/>
          <w:bCs/>
        </w:rPr>
        <w:t xml:space="preserve"> FTEs</w:t>
      </w:r>
      <w:r w:rsidR="00BE7FD6" w:rsidRPr="00263E20">
        <w:rPr>
          <w:rFonts w:ascii="Times New Roman" w:hAnsi="Times New Roman"/>
          <w:bCs/>
        </w:rPr>
        <w:t xml:space="preserve">. </w:t>
      </w:r>
      <w:r w:rsidR="00C2636F" w:rsidRPr="00263E20">
        <w:rPr>
          <w:rFonts w:ascii="Times New Roman" w:hAnsi="Times New Roman"/>
          <w:bCs/>
        </w:rPr>
        <w:t>With direct costs, t</w:t>
      </w:r>
      <w:r w:rsidR="00BE7FD6" w:rsidRPr="00263E20">
        <w:rPr>
          <w:rFonts w:ascii="Times New Roman" w:hAnsi="Times New Roman"/>
          <w:bCs/>
        </w:rPr>
        <w:t xml:space="preserve">his would result in a total annual agency cost of </w:t>
      </w:r>
      <w:r w:rsidR="00C01ED7" w:rsidRPr="00263E20">
        <w:rPr>
          <w:rFonts w:ascii="Times New Roman" w:hAnsi="Times New Roman"/>
        </w:rPr>
        <w:t>$1,772,242</w:t>
      </w:r>
      <w:r w:rsidR="00BE7FD6" w:rsidRPr="00263E20">
        <w:rPr>
          <w:rFonts w:ascii="Times New Roman" w:hAnsi="Times New Roman"/>
          <w:bCs/>
        </w:rPr>
        <w:t xml:space="preserve">.  </w:t>
      </w:r>
    </w:p>
    <w:p w14:paraId="525882E6" w14:textId="175B13A0" w:rsidR="00A936C2" w:rsidRPr="00263E20" w:rsidRDefault="00DE7075">
      <w:pPr>
        <w:keepNext/>
        <w:tabs>
          <w:tab w:val="left" w:pos="-1440"/>
          <w:tab w:val="left" w:pos="-720"/>
          <w:tab w:val="decimal" w:pos="0"/>
        </w:tabs>
        <w:rPr>
          <w:rFonts w:ascii="Times New Roman" w:hAnsi="Times New Roman"/>
          <w:bCs/>
        </w:rPr>
      </w:pPr>
      <w:r>
        <w:rPr>
          <w:rFonts w:ascii="Times New Roman" w:hAnsi="Times New Roman"/>
          <w:bCs/>
        </w:rPr>
        <w:t xml:space="preserve"> </w:t>
      </w:r>
    </w:p>
    <w:p w14:paraId="28A2A0FA" w14:textId="1C0CA3BD" w:rsidR="00A936C2" w:rsidRPr="00263E20" w:rsidRDefault="00DE7075">
      <w:pPr>
        <w:keepNext/>
        <w:tabs>
          <w:tab w:val="left" w:pos="-1440"/>
          <w:tab w:val="left" w:pos="-720"/>
          <w:tab w:val="decimal" w:pos="0"/>
        </w:tabs>
        <w:rPr>
          <w:rFonts w:ascii="Times New Roman" w:hAnsi="Times New Roman"/>
          <w:b/>
          <w:bCs/>
        </w:rPr>
      </w:pPr>
      <w:r>
        <w:rPr>
          <w:rFonts w:ascii="Times New Roman" w:hAnsi="Times New Roman"/>
          <w:b/>
          <w:bCs/>
        </w:rPr>
        <w:t xml:space="preserve"> </w:t>
      </w:r>
      <w:r w:rsidR="003B6727" w:rsidRPr="00263E20">
        <w:rPr>
          <w:rFonts w:ascii="Times New Roman" w:hAnsi="Times New Roman"/>
          <w:b/>
          <w:bCs/>
        </w:rPr>
        <w:t xml:space="preserve">Table </w:t>
      </w:r>
      <w:r w:rsidR="00F54901" w:rsidRPr="00263E20">
        <w:rPr>
          <w:rFonts w:ascii="Times New Roman" w:hAnsi="Times New Roman"/>
          <w:b/>
          <w:bCs/>
        </w:rPr>
        <w:t>1</w:t>
      </w:r>
      <w:r w:rsidR="00BF67C1" w:rsidRPr="00263E20">
        <w:rPr>
          <w:rFonts w:ascii="Times New Roman" w:hAnsi="Times New Roman"/>
          <w:b/>
          <w:bCs/>
        </w:rPr>
        <w:t>1</w:t>
      </w:r>
      <w:r w:rsidR="00F54901" w:rsidRPr="00263E20">
        <w:rPr>
          <w:rFonts w:ascii="Times New Roman" w:hAnsi="Times New Roman"/>
          <w:b/>
          <w:bCs/>
        </w:rPr>
        <w:t>:</w:t>
      </w:r>
      <w:r w:rsidR="003B6727" w:rsidRPr="00263E20">
        <w:rPr>
          <w:rFonts w:ascii="Times New Roman" w:hAnsi="Times New Roman"/>
          <w:b/>
          <w:bCs/>
        </w:rPr>
        <w:t xml:space="preserve"> Total Annual Agency Burden and Costs</w:t>
      </w:r>
    </w:p>
    <w:tbl>
      <w:tblPr>
        <w:tblW w:w="9360" w:type="dxa"/>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2860"/>
        <w:gridCol w:w="1820"/>
        <w:gridCol w:w="2080"/>
        <w:gridCol w:w="2600"/>
      </w:tblGrid>
      <w:tr w:rsidR="003B6727" w:rsidRPr="00B738E1" w14:paraId="7A7D5392" w14:textId="77777777" w:rsidTr="007A1B24">
        <w:trPr>
          <w:cantSplit/>
        </w:trPr>
        <w:tc>
          <w:tcPr>
            <w:tcW w:w="1980" w:type="dxa"/>
            <w:vAlign w:val="center"/>
          </w:tcPr>
          <w:p w14:paraId="02064E1F" w14:textId="77777777" w:rsidR="00A936C2" w:rsidRPr="00B738E1" w:rsidRDefault="003B6727">
            <w:pPr>
              <w:keepNext/>
              <w:tabs>
                <w:tab w:val="left" w:pos="-1440"/>
                <w:tab w:val="left" w:pos="-720"/>
                <w:tab w:val="decimal" w:pos="0"/>
              </w:tabs>
              <w:jc w:val="center"/>
              <w:rPr>
                <w:rFonts w:ascii="Times New Roman" w:hAnsi="Times New Roman"/>
                <w:bCs/>
                <w:szCs w:val="20"/>
              </w:rPr>
            </w:pPr>
            <w:r w:rsidRPr="00B738E1">
              <w:rPr>
                <w:rFonts w:ascii="Times New Roman" w:hAnsi="Times New Roman"/>
                <w:bCs/>
                <w:szCs w:val="20"/>
              </w:rPr>
              <w:t>Information Collection</w:t>
            </w:r>
          </w:p>
        </w:tc>
        <w:tc>
          <w:tcPr>
            <w:tcW w:w="1260" w:type="dxa"/>
            <w:vAlign w:val="center"/>
          </w:tcPr>
          <w:p w14:paraId="46EFB0AF" w14:textId="77777777" w:rsidR="00A936C2" w:rsidRPr="00B738E1" w:rsidRDefault="003B6727">
            <w:pPr>
              <w:keepNext/>
              <w:tabs>
                <w:tab w:val="left" w:pos="-1440"/>
                <w:tab w:val="left" w:pos="-720"/>
                <w:tab w:val="decimal" w:pos="0"/>
              </w:tabs>
              <w:jc w:val="center"/>
              <w:rPr>
                <w:rFonts w:ascii="Times New Roman" w:hAnsi="Times New Roman"/>
                <w:bCs/>
                <w:szCs w:val="20"/>
              </w:rPr>
            </w:pPr>
            <w:r w:rsidRPr="00B738E1">
              <w:rPr>
                <w:rFonts w:ascii="Times New Roman" w:hAnsi="Times New Roman"/>
                <w:bCs/>
                <w:szCs w:val="20"/>
              </w:rPr>
              <w:t>Responses Per Year</w:t>
            </w:r>
          </w:p>
        </w:tc>
        <w:tc>
          <w:tcPr>
            <w:tcW w:w="1440" w:type="dxa"/>
            <w:vAlign w:val="center"/>
          </w:tcPr>
          <w:p w14:paraId="745A16F8" w14:textId="2CDB2B96" w:rsidR="00A936C2" w:rsidRPr="00B738E1" w:rsidRDefault="003B6727">
            <w:pPr>
              <w:keepNext/>
              <w:tabs>
                <w:tab w:val="left" w:pos="-1440"/>
                <w:tab w:val="left" w:pos="-720"/>
                <w:tab w:val="decimal" w:pos="0"/>
              </w:tabs>
              <w:jc w:val="center"/>
              <w:rPr>
                <w:rFonts w:ascii="Times New Roman" w:hAnsi="Times New Roman"/>
                <w:bCs/>
                <w:szCs w:val="20"/>
              </w:rPr>
            </w:pPr>
            <w:r w:rsidRPr="00B738E1">
              <w:rPr>
                <w:rFonts w:ascii="Times New Roman" w:hAnsi="Times New Roman"/>
                <w:bCs/>
                <w:szCs w:val="20"/>
              </w:rPr>
              <w:t>Annual Burden</w:t>
            </w:r>
            <w:r w:rsidR="00675D6F" w:rsidRPr="00B738E1">
              <w:rPr>
                <w:rFonts w:ascii="Times New Roman" w:hAnsi="Times New Roman"/>
                <w:bCs/>
                <w:szCs w:val="20"/>
              </w:rPr>
              <w:t>*</w:t>
            </w:r>
          </w:p>
          <w:p w14:paraId="3F30206E" w14:textId="69F72264" w:rsidR="00A936C2" w:rsidRPr="00B738E1" w:rsidRDefault="003B6727" w:rsidP="00B52226">
            <w:pPr>
              <w:keepNext/>
              <w:tabs>
                <w:tab w:val="left" w:pos="-1440"/>
                <w:tab w:val="left" w:pos="-720"/>
                <w:tab w:val="decimal" w:pos="0"/>
              </w:tabs>
              <w:jc w:val="center"/>
              <w:rPr>
                <w:rFonts w:ascii="Times New Roman" w:hAnsi="Times New Roman"/>
                <w:bCs/>
                <w:szCs w:val="20"/>
              </w:rPr>
            </w:pPr>
            <w:r w:rsidRPr="00B738E1">
              <w:rPr>
                <w:rFonts w:ascii="Times New Roman" w:hAnsi="Times New Roman"/>
                <w:bCs/>
                <w:szCs w:val="20"/>
              </w:rPr>
              <w:t>(</w:t>
            </w:r>
            <w:r w:rsidR="00675D6F" w:rsidRPr="00B738E1">
              <w:rPr>
                <w:rFonts w:ascii="Times New Roman" w:hAnsi="Times New Roman"/>
                <w:bCs/>
                <w:szCs w:val="20"/>
              </w:rPr>
              <w:t>hours</w:t>
            </w:r>
            <w:r w:rsidRPr="00B738E1">
              <w:rPr>
                <w:rFonts w:ascii="Times New Roman" w:hAnsi="Times New Roman"/>
                <w:bCs/>
                <w:szCs w:val="20"/>
              </w:rPr>
              <w:t>)</w:t>
            </w:r>
          </w:p>
        </w:tc>
        <w:tc>
          <w:tcPr>
            <w:tcW w:w="1800" w:type="dxa"/>
            <w:vAlign w:val="center"/>
          </w:tcPr>
          <w:p w14:paraId="3458EB03" w14:textId="77777777" w:rsidR="00A936C2" w:rsidRPr="00B738E1" w:rsidRDefault="003B6727">
            <w:pPr>
              <w:keepNext/>
              <w:tabs>
                <w:tab w:val="left" w:pos="-1440"/>
                <w:tab w:val="left" w:pos="-720"/>
                <w:tab w:val="decimal" w:pos="0"/>
              </w:tabs>
              <w:jc w:val="center"/>
              <w:rPr>
                <w:rFonts w:ascii="Times New Roman" w:hAnsi="Times New Roman"/>
                <w:bCs/>
                <w:szCs w:val="20"/>
              </w:rPr>
            </w:pPr>
            <w:r w:rsidRPr="00B738E1">
              <w:rPr>
                <w:rFonts w:ascii="Times New Roman" w:hAnsi="Times New Roman"/>
                <w:bCs/>
                <w:szCs w:val="20"/>
              </w:rPr>
              <w:t>Total</w:t>
            </w:r>
          </w:p>
          <w:p w14:paraId="523C9DC4" w14:textId="6E56D77D" w:rsidR="00A936C2" w:rsidRPr="00B738E1" w:rsidRDefault="003B6727">
            <w:pPr>
              <w:keepNext/>
              <w:tabs>
                <w:tab w:val="left" w:pos="-1440"/>
                <w:tab w:val="left" w:pos="-720"/>
                <w:tab w:val="decimal" w:pos="0"/>
              </w:tabs>
              <w:jc w:val="center"/>
              <w:rPr>
                <w:rFonts w:ascii="Times New Roman" w:hAnsi="Times New Roman"/>
                <w:bCs/>
                <w:szCs w:val="20"/>
              </w:rPr>
            </w:pPr>
            <w:r w:rsidRPr="00B738E1">
              <w:rPr>
                <w:rFonts w:ascii="Times New Roman" w:hAnsi="Times New Roman"/>
                <w:bCs/>
                <w:szCs w:val="20"/>
              </w:rPr>
              <w:t>Costs (Labor plus Direct</w:t>
            </w:r>
            <w:r w:rsidR="00DA28C9">
              <w:rPr>
                <w:rFonts w:ascii="Times New Roman" w:hAnsi="Times New Roman"/>
                <w:bCs/>
                <w:szCs w:val="20"/>
              </w:rPr>
              <w:t xml:space="preserve"> &amp; O&amp;M</w:t>
            </w:r>
            <w:r w:rsidRPr="00B738E1">
              <w:rPr>
                <w:rFonts w:ascii="Times New Roman" w:hAnsi="Times New Roman"/>
                <w:bCs/>
                <w:szCs w:val="20"/>
              </w:rPr>
              <w:t>)</w:t>
            </w:r>
          </w:p>
        </w:tc>
      </w:tr>
      <w:tr w:rsidR="003B6727" w:rsidRPr="00B738E1" w14:paraId="1BC5554C" w14:textId="77777777" w:rsidTr="007A1B24">
        <w:trPr>
          <w:cantSplit/>
          <w:trHeight w:val="570"/>
        </w:trPr>
        <w:tc>
          <w:tcPr>
            <w:tcW w:w="1980" w:type="dxa"/>
            <w:vAlign w:val="center"/>
          </w:tcPr>
          <w:p w14:paraId="34FC1368" w14:textId="77777777" w:rsidR="00A936C2" w:rsidRPr="00B738E1" w:rsidRDefault="003B6727">
            <w:pPr>
              <w:keepNext/>
              <w:tabs>
                <w:tab w:val="left" w:pos="-1440"/>
                <w:tab w:val="left" w:pos="-720"/>
                <w:tab w:val="decimal" w:pos="0"/>
              </w:tabs>
              <w:jc w:val="center"/>
              <w:rPr>
                <w:rFonts w:ascii="Times New Roman" w:hAnsi="Times New Roman"/>
                <w:b/>
                <w:bCs/>
                <w:szCs w:val="20"/>
              </w:rPr>
            </w:pPr>
            <w:r w:rsidRPr="00B738E1">
              <w:rPr>
                <w:rFonts w:ascii="Times New Roman" w:hAnsi="Times New Roman"/>
                <w:b/>
                <w:bCs/>
                <w:szCs w:val="20"/>
              </w:rPr>
              <w:t>Notice of Arrival</w:t>
            </w:r>
          </w:p>
        </w:tc>
        <w:tc>
          <w:tcPr>
            <w:tcW w:w="1260" w:type="dxa"/>
            <w:vAlign w:val="center"/>
          </w:tcPr>
          <w:p w14:paraId="458150ED" w14:textId="48EF5388" w:rsidR="00A936C2" w:rsidRPr="00B738E1" w:rsidRDefault="002D61B9" w:rsidP="00B52226">
            <w:pPr>
              <w:keepNext/>
              <w:tabs>
                <w:tab w:val="left" w:pos="-1440"/>
                <w:tab w:val="left" w:pos="-720"/>
                <w:tab w:val="decimal" w:pos="0"/>
              </w:tabs>
              <w:jc w:val="center"/>
              <w:rPr>
                <w:rFonts w:ascii="Times New Roman" w:hAnsi="Times New Roman"/>
                <w:b/>
                <w:bCs/>
                <w:szCs w:val="20"/>
              </w:rPr>
            </w:pPr>
            <w:r w:rsidRPr="00B738E1">
              <w:rPr>
                <w:rFonts w:ascii="Times New Roman" w:hAnsi="Times New Roman"/>
                <w:b/>
                <w:bCs/>
                <w:szCs w:val="20"/>
              </w:rPr>
              <w:t>3</w:t>
            </w:r>
            <w:r w:rsidR="00675D6F" w:rsidRPr="00B738E1">
              <w:rPr>
                <w:rFonts w:ascii="Times New Roman" w:hAnsi="Times New Roman"/>
                <w:b/>
                <w:bCs/>
                <w:szCs w:val="20"/>
              </w:rPr>
              <w:t>8</w:t>
            </w:r>
            <w:r w:rsidRPr="00B738E1">
              <w:rPr>
                <w:rFonts w:ascii="Times New Roman" w:hAnsi="Times New Roman"/>
                <w:b/>
                <w:bCs/>
                <w:szCs w:val="20"/>
              </w:rPr>
              <w:t>,</w:t>
            </w:r>
            <w:r w:rsidR="003B6727" w:rsidRPr="00B738E1">
              <w:rPr>
                <w:rFonts w:ascii="Times New Roman" w:hAnsi="Times New Roman"/>
                <w:b/>
                <w:bCs/>
                <w:szCs w:val="20"/>
              </w:rPr>
              <w:t>000</w:t>
            </w:r>
          </w:p>
        </w:tc>
        <w:tc>
          <w:tcPr>
            <w:tcW w:w="1440" w:type="dxa"/>
            <w:vAlign w:val="center"/>
          </w:tcPr>
          <w:p w14:paraId="0D0A6D44" w14:textId="49195A07" w:rsidR="00A936C2" w:rsidRPr="00B738E1" w:rsidRDefault="00675D6F">
            <w:pPr>
              <w:keepNext/>
              <w:tabs>
                <w:tab w:val="left" w:pos="-1440"/>
                <w:tab w:val="left" w:pos="-720"/>
                <w:tab w:val="decimal" w:pos="0"/>
              </w:tabs>
              <w:jc w:val="center"/>
              <w:rPr>
                <w:rFonts w:ascii="Times New Roman" w:hAnsi="Times New Roman"/>
                <w:b/>
                <w:bCs/>
                <w:szCs w:val="20"/>
              </w:rPr>
            </w:pPr>
            <w:r w:rsidRPr="00B738E1">
              <w:rPr>
                <w:rFonts w:ascii="Times New Roman" w:hAnsi="Times New Roman"/>
                <w:b/>
                <w:bCs/>
                <w:szCs w:val="20"/>
              </w:rPr>
              <w:t>20</w:t>
            </w:r>
            <w:r w:rsidR="005C74F6" w:rsidRPr="00B738E1">
              <w:rPr>
                <w:rFonts w:ascii="Times New Roman" w:hAnsi="Times New Roman"/>
                <w:b/>
                <w:bCs/>
                <w:szCs w:val="20"/>
              </w:rPr>
              <w:t>,</w:t>
            </w:r>
            <w:r w:rsidRPr="00B738E1">
              <w:rPr>
                <w:rFonts w:ascii="Times New Roman" w:hAnsi="Times New Roman"/>
                <w:b/>
                <w:bCs/>
                <w:szCs w:val="20"/>
              </w:rPr>
              <w:t>80</w:t>
            </w:r>
            <w:r w:rsidR="005C74F6" w:rsidRPr="00B738E1">
              <w:rPr>
                <w:rFonts w:ascii="Times New Roman" w:hAnsi="Times New Roman"/>
                <w:b/>
                <w:bCs/>
                <w:szCs w:val="20"/>
              </w:rPr>
              <w:t>0</w:t>
            </w:r>
          </w:p>
        </w:tc>
        <w:tc>
          <w:tcPr>
            <w:tcW w:w="1800" w:type="dxa"/>
            <w:vAlign w:val="center"/>
          </w:tcPr>
          <w:p w14:paraId="640E8305" w14:textId="65D65F44" w:rsidR="00A936C2" w:rsidRPr="00B738E1" w:rsidRDefault="001729D2" w:rsidP="00DA28C9">
            <w:pPr>
              <w:jc w:val="center"/>
              <w:rPr>
                <w:rFonts w:ascii="Times New Roman" w:hAnsi="Times New Roman"/>
                <w:b/>
                <w:bCs/>
                <w:szCs w:val="20"/>
              </w:rPr>
            </w:pPr>
            <w:r w:rsidRPr="00B738E1">
              <w:rPr>
                <w:rFonts w:ascii="Times New Roman" w:hAnsi="Times New Roman"/>
                <w:b/>
                <w:bCs/>
                <w:szCs w:val="20"/>
              </w:rPr>
              <w:t>$1,</w:t>
            </w:r>
            <w:r w:rsidR="00DA28C9" w:rsidRPr="00B738E1">
              <w:rPr>
                <w:rFonts w:ascii="Times New Roman" w:hAnsi="Times New Roman"/>
                <w:b/>
                <w:bCs/>
                <w:szCs w:val="20"/>
              </w:rPr>
              <w:t>77</w:t>
            </w:r>
            <w:r w:rsidR="00DA28C9">
              <w:rPr>
                <w:rFonts w:ascii="Times New Roman" w:hAnsi="Times New Roman"/>
                <w:b/>
                <w:bCs/>
                <w:szCs w:val="20"/>
              </w:rPr>
              <w:t>7</w:t>
            </w:r>
            <w:r w:rsidRPr="00B738E1">
              <w:rPr>
                <w:rFonts w:ascii="Times New Roman" w:hAnsi="Times New Roman"/>
                <w:b/>
                <w:bCs/>
                <w:szCs w:val="20"/>
              </w:rPr>
              <w:t>,242</w:t>
            </w:r>
            <w:r w:rsidRPr="00B738E1">
              <w:rPr>
                <w:rFonts w:ascii="Times New Roman" w:hAnsi="Times New Roman"/>
                <w:b/>
              </w:rPr>
              <w:t xml:space="preserve"> </w:t>
            </w:r>
          </w:p>
        </w:tc>
      </w:tr>
    </w:tbl>
    <w:p w14:paraId="526EC75F" w14:textId="77777777" w:rsidR="00C01ED7" w:rsidRPr="00263E20" w:rsidRDefault="00C01ED7" w:rsidP="005F3366">
      <w:pPr>
        <w:tabs>
          <w:tab w:val="left" w:pos="-1440"/>
          <w:tab w:val="left" w:pos="-720"/>
          <w:tab w:val="decimal" w:pos="0"/>
        </w:tabs>
        <w:rPr>
          <w:rFonts w:ascii="Times New Roman" w:hAnsi="Times New Roman"/>
          <w:b/>
          <w:bCs/>
        </w:rPr>
      </w:pPr>
    </w:p>
    <w:p w14:paraId="726C0D50" w14:textId="77777777" w:rsidR="00B56B6B" w:rsidRPr="00263E20" w:rsidRDefault="003B6727" w:rsidP="00274718">
      <w:pPr>
        <w:keepNext/>
        <w:widowControl/>
        <w:tabs>
          <w:tab w:val="left" w:pos="-1440"/>
          <w:tab w:val="left" w:pos="-720"/>
          <w:tab w:val="decimal" w:pos="0"/>
        </w:tabs>
        <w:rPr>
          <w:rFonts w:ascii="Times New Roman" w:hAnsi="Times New Roman"/>
          <w:b/>
          <w:bCs/>
        </w:rPr>
      </w:pPr>
      <w:r w:rsidRPr="00263E20">
        <w:rPr>
          <w:rFonts w:ascii="Times New Roman" w:hAnsi="Times New Roman"/>
          <w:b/>
          <w:bCs/>
        </w:rPr>
        <w:tab/>
        <w:t>(iii) Bottom Line Burden and Cost</w:t>
      </w:r>
    </w:p>
    <w:p w14:paraId="3647A22F" w14:textId="77777777" w:rsidR="003B6727" w:rsidRPr="00263E20" w:rsidRDefault="003B6727" w:rsidP="00274718">
      <w:pPr>
        <w:keepNext/>
        <w:widowControl/>
        <w:tabs>
          <w:tab w:val="left" w:pos="-1440"/>
          <w:tab w:val="left" w:pos="-720"/>
          <w:tab w:val="decimal" w:pos="0"/>
        </w:tabs>
        <w:rPr>
          <w:rFonts w:ascii="Times New Roman" w:hAnsi="Times New Roman"/>
          <w:b/>
          <w:bCs/>
        </w:rPr>
      </w:pPr>
    </w:p>
    <w:p w14:paraId="7525C31B" w14:textId="2BF24F7F" w:rsidR="003B6727" w:rsidRPr="00263E20" w:rsidRDefault="00DE7075" w:rsidP="00274718">
      <w:pPr>
        <w:keepNext/>
        <w:widowControl/>
        <w:tabs>
          <w:tab w:val="left" w:pos="-1440"/>
          <w:tab w:val="left" w:pos="-720"/>
          <w:tab w:val="decimal" w:pos="0"/>
        </w:tabs>
        <w:rPr>
          <w:rFonts w:ascii="Times New Roman" w:hAnsi="Times New Roman"/>
          <w:b/>
          <w:bCs/>
        </w:rPr>
      </w:pPr>
      <w:r>
        <w:rPr>
          <w:rFonts w:ascii="Times New Roman" w:hAnsi="Times New Roman"/>
          <w:b/>
          <w:bCs/>
        </w:rPr>
        <w:t xml:space="preserve">  </w:t>
      </w:r>
      <w:r w:rsidR="003B6727" w:rsidRPr="00263E20">
        <w:rPr>
          <w:rFonts w:ascii="Times New Roman" w:hAnsi="Times New Roman"/>
          <w:b/>
          <w:bCs/>
        </w:rPr>
        <w:t xml:space="preserve">Table </w:t>
      </w:r>
      <w:r w:rsidR="00F54901" w:rsidRPr="00263E20">
        <w:rPr>
          <w:rFonts w:ascii="Times New Roman" w:hAnsi="Times New Roman"/>
          <w:b/>
          <w:bCs/>
        </w:rPr>
        <w:t>1</w:t>
      </w:r>
      <w:r w:rsidR="00BF67C1" w:rsidRPr="00263E20">
        <w:rPr>
          <w:rFonts w:ascii="Times New Roman" w:hAnsi="Times New Roman"/>
          <w:b/>
          <w:bCs/>
        </w:rPr>
        <w:t>2</w:t>
      </w:r>
      <w:r w:rsidR="00F54901" w:rsidRPr="00263E20">
        <w:rPr>
          <w:rFonts w:ascii="Times New Roman" w:hAnsi="Times New Roman"/>
          <w:b/>
          <w:bCs/>
        </w:rPr>
        <w:t>:</w:t>
      </w:r>
      <w:r w:rsidR="005C7CB6" w:rsidRPr="00263E20">
        <w:rPr>
          <w:rFonts w:ascii="Times New Roman" w:hAnsi="Times New Roman"/>
          <w:b/>
          <w:bCs/>
        </w:rPr>
        <w:t xml:space="preserve"> </w:t>
      </w:r>
      <w:r w:rsidR="003B6727" w:rsidRPr="00263E20">
        <w:rPr>
          <w:rFonts w:ascii="Times New Roman" w:hAnsi="Times New Roman"/>
          <w:b/>
          <w:bCs/>
        </w:rPr>
        <w:t>Bottom Line Burden Hours and Cost</w:t>
      </w:r>
    </w:p>
    <w:tbl>
      <w:tblPr>
        <w:tblW w:w="0" w:type="auto"/>
        <w:tblInd w:w="145" w:type="dxa"/>
        <w:tblLayout w:type="fixed"/>
        <w:tblCellMar>
          <w:left w:w="145" w:type="dxa"/>
          <w:right w:w="145" w:type="dxa"/>
        </w:tblCellMar>
        <w:tblLook w:val="0000" w:firstRow="0" w:lastRow="0" w:firstColumn="0" w:lastColumn="0" w:noHBand="0" w:noVBand="0"/>
      </w:tblPr>
      <w:tblGrid>
        <w:gridCol w:w="3420"/>
        <w:gridCol w:w="3060"/>
        <w:gridCol w:w="2880"/>
      </w:tblGrid>
      <w:tr w:rsidR="003B6727" w:rsidRPr="00934C1C" w14:paraId="28A61145" w14:textId="77777777" w:rsidTr="005C74F6">
        <w:tc>
          <w:tcPr>
            <w:tcW w:w="3420" w:type="dxa"/>
            <w:vMerge w:val="restart"/>
            <w:tcBorders>
              <w:top w:val="double" w:sz="4" w:space="0" w:color="000000"/>
              <w:left w:val="double" w:sz="4" w:space="0" w:color="000000"/>
              <w:bottom w:val="nil"/>
              <w:right w:val="single" w:sz="6" w:space="0" w:color="FFFFFF"/>
            </w:tcBorders>
          </w:tcPr>
          <w:p w14:paraId="44BAE170" w14:textId="77777777" w:rsidR="003B6727" w:rsidRPr="00934C1C" w:rsidRDefault="003B6727" w:rsidP="00274718">
            <w:pPr>
              <w:keepNext/>
              <w:widowControl/>
              <w:tabs>
                <w:tab w:val="left" w:pos="-1440"/>
                <w:tab w:val="left" w:pos="-720"/>
                <w:tab w:val="decimal" w:pos="0"/>
              </w:tabs>
              <w:rPr>
                <w:rFonts w:ascii="Times New Roman" w:hAnsi="Times New Roman"/>
                <w:bCs/>
              </w:rPr>
            </w:pPr>
          </w:p>
        </w:tc>
        <w:tc>
          <w:tcPr>
            <w:tcW w:w="5940" w:type="dxa"/>
            <w:gridSpan w:val="2"/>
            <w:tcBorders>
              <w:top w:val="double" w:sz="4" w:space="0" w:color="000000"/>
              <w:left w:val="single" w:sz="6" w:space="0" w:color="000000"/>
              <w:bottom w:val="single" w:sz="6" w:space="0" w:color="FFFFFF"/>
              <w:right w:val="double" w:sz="4" w:space="0" w:color="000000"/>
            </w:tcBorders>
          </w:tcPr>
          <w:p w14:paraId="50675EA0" w14:textId="77777777" w:rsidR="003B6727" w:rsidRPr="00934C1C" w:rsidRDefault="00BE7FD6" w:rsidP="00DC195C">
            <w:pPr>
              <w:keepNext/>
              <w:widowControl/>
              <w:tabs>
                <w:tab w:val="left" w:pos="-1440"/>
                <w:tab w:val="left" w:pos="-720"/>
                <w:tab w:val="decimal" w:pos="0"/>
              </w:tabs>
              <w:jc w:val="center"/>
              <w:rPr>
                <w:rFonts w:ascii="Times New Roman" w:hAnsi="Times New Roman"/>
                <w:bCs/>
              </w:rPr>
            </w:pPr>
            <w:r w:rsidRPr="00934C1C">
              <w:rPr>
                <w:rFonts w:ascii="Times New Roman" w:hAnsi="Times New Roman"/>
                <w:bCs/>
              </w:rPr>
              <w:t>TOTAL</w:t>
            </w:r>
          </w:p>
        </w:tc>
      </w:tr>
      <w:tr w:rsidR="003B6727" w:rsidRPr="00934C1C" w14:paraId="072D661D" w14:textId="77777777" w:rsidTr="003B6727">
        <w:tc>
          <w:tcPr>
            <w:tcW w:w="3420" w:type="dxa"/>
            <w:vMerge/>
            <w:tcBorders>
              <w:top w:val="nil"/>
              <w:left w:val="double" w:sz="4" w:space="0" w:color="000000"/>
              <w:bottom w:val="single" w:sz="6" w:space="0" w:color="FFFFFF"/>
              <w:right w:val="single" w:sz="6" w:space="0" w:color="FFFFFF"/>
            </w:tcBorders>
          </w:tcPr>
          <w:p w14:paraId="05F14230" w14:textId="77777777" w:rsidR="003B6727" w:rsidRPr="00934C1C" w:rsidRDefault="003B6727" w:rsidP="00274718">
            <w:pPr>
              <w:keepNext/>
              <w:widowControl/>
              <w:tabs>
                <w:tab w:val="left" w:pos="-1440"/>
                <w:tab w:val="left" w:pos="-720"/>
                <w:tab w:val="decimal" w:pos="0"/>
              </w:tabs>
              <w:rPr>
                <w:rFonts w:ascii="Times New Roman" w:hAnsi="Times New Roman"/>
                <w:bCs/>
              </w:rPr>
            </w:pPr>
          </w:p>
        </w:tc>
        <w:tc>
          <w:tcPr>
            <w:tcW w:w="3060" w:type="dxa"/>
            <w:tcBorders>
              <w:top w:val="single" w:sz="6" w:space="0" w:color="000000"/>
              <w:left w:val="single" w:sz="6" w:space="0" w:color="000000"/>
              <w:bottom w:val="single" w:sz="6" w:space="0" w:color="FFFFFF"/>
              <w:right w:val="single" w:sz="6" w:space="0" w:color="FFFFFF"/>
            </w:tcBorders>
          </w:tcPr>
          <w:p w14:paraId="1384CECF" w14:textId="387D396F" w:rsidR="003B6727" w:rsidRPr="00934C1C" w:rsidRDefault="00BE7FD6" w:rsidP="00DC195C">
            <w:pPr>
              <w:keepNext/>
              <w:widowControl/>
              <w:tabs>
                <w:tab w:val="left" w:pos="-1440"/>
                <w:tab w:val="left" w:pos="-720"/>
                <w:tab w:val="decimal" w:pos="0"/>
              </w:tabs>
              <w:jc w:val="center"/>
              <w:rPr>
                <w:rFonts w:ascii="Times New Roman" w:hAnsi="Times New Roman"/>
                <w:bCs/>
              </w:rPr>
            </w:pPr>
            <w:r w:rsidRPr="00934C1C">
              <w:rPr>
                <w:rFonts w:ascii="Times New Roman" w:hAnsi="Times New Roman"/>
                <w:bCs/>
              </w:rPr>
              <w:t>Hours</w:t>
            </w:r>
          </w:p>
        </w:tc>
        <w:tc>
          <w:tcPr>
            <w:tcW w:w="2880" w:type="dxa"/>
            <w:tcBorders>
              <w:top w:val="single" w:sz="6" w:space="0" w:color="000000"/>
              <w:left w:val="single" w:sz="6" w:space="0" w:color="000000"/>
              <w:bottom w:val="single" w:sz="6" w:space="0" w:color="FFFFFF"/>
              <w:right w:val="double" w:sz="4" w:space="0" w:color="000000"/>
            </w:tcBorders>
          </w:tcPr>
          <w:p w14:paraId="68FE847C" w14:textId="77777777" w:rsidR="003B6727" w:rsidRPr="00934C1C" w:rsidRDefault="00BE7FD6" w:rsidP="00DC195C">
            <w:pPr>
              <w:keepNext/>
              <w:widowControl/>
              <w:tabs>
                <w:tab w:val="left" w:pos="-1440"/>
                <w:tab w:val="left" w:pos="-720"/>
                <w:tab w:val="decimal" w:pos="0"/>
              </w:tabs>
              <w:jc w:val="center"/>
              <w:rPr>
                <w:rFonts w:ascii="Times New Roman" w:hAnsi="Times New Roman"/>
                <w:bCs/>
              </w:rPr>
            </w:pPr>
            <w:r w:rsidRPr="00934C1C">
              <w:rPr>
                <w:rFonts w:ascii="Times New Roman" w:hAnsi="Times New Roman"/>
                <w:bCs/>
              </w:rPr>
              <w:t>Costs</w:t>
            </w:r>
          </w:p>
        </w:tc>
      </w:tr>
      <w:tr w:rsidR="005C74F6" w:rsidRPr="00934C1C" w14:paraId="720F8BE3" w14:textId="77777777" w:rsidTr="00DC195C">
        <w:tc>
          <w:tcPr>
            <w:tcW w:w="3420" w:type="dxa"/>
            <w:tcBorders>
              <w:top w:val="single" w:sz="6" w:space="0" w:color="000000"/>
              <w:left w:val="double" w:sz="4" w:space="0" w:color="000000"/>
              <w:bottom w:val="single" w:sz="6" w:space="0" w:color="FFFFFF"/>
              <w:right w:val="single" w:sz="6" w:space="0" w:color="FFFFFF"/>
            </w:tcBorders>
          </w:tcPr>
          <w:p w14:paraId="73B30A93" w14:textId="77777777" w:rsidR="005C74F6" w:rsidRPr="00934C1C" w:rsidRDefault="005C74F6" w:rsidP="005C74F6">
            <w:pPr>
              <w:keepNext/>
              <w:widowControl/>
              <w:tabs>
                <w:tab w:val="left" w:pos="-1440"/>
                <w:tab w:val="left" w:pos="-720"/>
                <w:tab w:val="decimal" w:pos="0"/>
              </w:tabs>
              <w:rPr>
                <w:rFonts w:ascii="Times New Roman" w:hAnsi="Times New Roman"/>
                <w:bCs/>
              </w:rPr>
            </w:pPr>
            <w:r w:rsidRPr="00934C1C">
              <w:rPr>
                <w:rFonts w:ascii="Times New Roman" w:hAnsi="Times New Roman"/>
                <w:bCs/>
              </w:rPr>
              <w:t>Respondent Burden Estimate</w:t>
            </w:r>
          </w:p>
        </w:tc>
        <w:tc>
          <w:tcPr>
            <w:tcW w:w="3060" w:type="dxa"/>
            <w:tcBorders>
              <w:top w:val="single" w:sz="6" w:space="0" w:color="000000"/>
              <w:left w:val="single" w:sz="6" w:space="0" w:color="000000"/>
              <w:bottom w:val="single" w:sz="6" w:space="0" w:color="FFFFFF"/>
              <w:right w:val="single" w:sz="6" w:space="0" w:color="FFFFFF"/>
            </w:tcBorders>
            <w:vAlign w:val="center"/>
          </w:tcPr>
          <w:p w14:paraId="36A99167" w14:textId="37113B5B" w:rsidR="005C74F6" w:rsidRPr="00934C1C" w:rsidRDefault="005C74F6" w:rsidP="00DC195C">
            <w:pPr>
              <w:keepNext/>
              <w:widowControl/>
              <w:tabs>
                <w:tab w:val="left" w:pos="-1440"/>
                <w:tab w:val="left" w:pos="-720"/>
                <w:tab w:val="decimal" w:pos="0"/>
              </w:tabs>
              <w:jc w:val="center"/>
              <w:rPr>
                <w:rFonts w:ascii="Times New Roman" w:hAnsi="Times New Roman"/>
                <w:b/>
                <w:bCs/>
              </w:rPr>
            </w:pPr>
            <w:r w:rsidRPr="00934C1C">
              <w:rPr>
                <w:rFonts w:ascii="Times New Roman" w:hAnsi="Times New Roman"/>
                <w:b/>
                <w:bCs/>
              </w:rPr>
              <w:t xml:space="preserve">16,340 </w:t>
            </w:r>
          </w:p>
        </w:tc>
        <w:tc>
          <w:tcPr>
            <w:tcW w:w="2880" w:type="dxa"/>
            <w:tcBorders>
              <w:top w:val="single" w:sz="6" w:space="0" w:color="000000"/>
              <w:left w:val="single" w:sz="6" w:space="0" w:color="000000"/>
              <w:bottom w:val="single" w:sz="6" w:space="0" w:color="FFFFFF"/>
              <w:right w:val="double" w:sz="4" w:space="0" w:color="000000"/>
            </w:tcBorders>
            <w:vAlign w:val="center"/>
          </w:tcPr>
          <w:p w14:paraId="223BFAC1" w14:textId="595E69FB" w:rsidR="005C74F6" w:rsidRPr="00934C1C" w:rsidRDefault="005C74F6" w:rsidP="00DC195C">
            <w:pPr>
              <w:keepNext/>
              <w:widowControl/>
              <w:tabs>
                <w:tab w:val="left" w:pos="-1440"/>
                <w:tab w:val="left" w:pos="-720"/>
                <w:tab w:val="decimal" w:pos="0"/>
              </w:tabs>
              <w:jc w:val="center"/>
              <w:rPr>
                <w:rFonts w:ascii="Times New Roman" w:hAnsi="Times New Roman"/>
                <w:b/>
                <w:bCs/>
              </w:rPr>
            </w:pPr>
            <w:r w:rsidRPr="00934C1C">
              <w:rPr>
                <w:rFonts w:ascii="Times New Roman" w:hAnsi="Times New Roman"/>
                <w:b/>
                <w:bCs/>
              </w:rPr>
              <w:t xml:space="preserve">$1,006,034 </w:t>
            </w:r>
          </w:p>
        </w:tc>
      </w:tr>
      <w:tr w:rsidR="005C74F6" w:rsidRPr="00934C1C" w14:paraId="20D18063" w14:textId="77777777" w:rsidTr="00DC195C">
        <w:tc>
          <w:tcPr>
            <w:tcW w:w="3420" w:type="dxa"/>
            <w:tcBorders>
              <w:top w:val="single" w:sz="6" w:space="0" w:color="000000"/>
              <w:left w:val="double" w:sz="4" w:space="0" w:color="000000"/>
              <w:bottom w:val="double" w:sz="4" w:space="0" w:color="000000"/>
              <w:right w:val="single" w:sz="6" w:space="0" w:color="FFFFFF"/>
            </w:tcBorders>
          </w:tcPr>
          <w:p w14:paraId="59767222" w14:textId="77777777" w:rsidR="005C74F6" w:rsidRPr="00934C1C" w:rsidRDefault="005C74F6" w:rsidP="005C74F6">
            <w:pPr>
              <w:keepNext/>
              <w:widowControl/>
              <w:tabs>
                <w:tab w:val="left" w:pos="-1440"/>
                <w:tab w:val="left" w:pos="-720"/>
                <w:tab w:val="decimal" w:pos="0"/>
              </w:tabs>
              <w:rPr>
                <w:rFonts w:ascii="Times New Roman" w:hAnsi="Times New Roman"/>
                <w:bCs/>
              </w:rPr>
            </w:pPr>
            <w:r w:rsidRPr="00934C1C">
              <w:rPr>
                <w:rFonts w:ascii="Times New Roman" w:hAnsi="Times New Roman"/>
                <w:bCs/>
              </w:rPr>
              <w:t>Agency Burden Estimate</w:t>
            </w:r>
          </w:p>
        </w:tc>
        <w:tc>
          <w:tcPr>
            <w:tcW w:w="3060" w:type="dxa"/>
            <w:tcBorders>
              <w:top w:val="single" w:sz="6" w:space="0" w:color="000000"/>
              <w:left w:val="single" w:sz="6" w:space="0" w:color="000000"/>
              <w:bottom w:val="double" w:sz="4" w:space="0" w:color="000000"/>
              <w:right w:val="single" w:sz="6" w:space="0" w:color="FFFFFF"/>
            </w:tcBorders>
            <w:vAlign w:val="center"/>
          </w:tcPr>
          <w:p w14:paraId="30056722" w14:textId="16149D00" w:rsidR="005C74F6" w:rsidRPr="00934C1C" w:rsidRDefault="005C74F6" w:rsidP="00DC195C">
            <w:pPr>
              <w:keepNext/>
              <w:widowControl/>
              <w:tabs>
                <w:tab w:val="left" w:pos="-1440"/>
                <w:tab w:val="left" w:pos="-720"/>
                <w:tab w:val="decimal" w:pos="0"/>
              </w:tabs>
              <w:jc w:val="center"/>
              <w:rPr>
                <w:rFonts w:ascii="Times New Roman" w:hAnsi="Times New Roman"/>
                <w:bCs/>
              </w:rPr>
            </w:pPr>
            <w:r w:rsidRPr="00934C1C">
              <w:rPr>
                <w:rFonts w:ascii="Times New Roman" w:hAnsi="Times New Roman"/>
                <w:b/>
                <w:bCs/>
              </w:rPr>
              <w:t>20,800</w:t>
            </w:r>
          </w:p>
        </w:tc>
        <w:tc>
          <w:tcPr>
            <w:tcW w:w="2880" w:type="dxa"/>
            <w:tcBorders>
              <w:top w:val="single" w:sz="6" w:space="0" w:color="000000"/>
              <w:left w:val="single" w:sz="6" w:space="0" w:color="000000"/>
              <w:bottom w:val="double" w:sz="4" w:space="0" w:color="000000"/>
              <w:right w:val="double" w:sz="4" w:space="0" w:color="000000"/>
            </w:tcBorders>
            <w:vAlign w:val="center"/>
          </w:tcPr>
          <w:p w14:paraId="5A524297" w14:textId="6C119F5F" w:rsidR="005C74F6" w:rsidRPr="00934C1C" w:rsidRDefault="001729D2" w:rsidP="00F267AC">
            <w:pPr>
              <w:keepNext/>
              <w:widowControl/>
              <w:tabs>
                <w:tab w:val="left" w:pos="-1440"/>
                <w:tab w:val="left" w:pos="-720"/>
                <w:tab w:val="decimal" w:pos="0"/>
              </w:tabs>
              <w:jc w:val="center"/>
              <w:rPr>
                <w:rFonts w:ascii="Times New Roman" w:hAnsi="Times New Roman"/>
                <w:bCs/>
              </w:rPr>
            </w:pPr>
            <w:r w:rsidRPr="00934C1C">
              <w:rPr>
                <w:rFonts w:ascii="Times New Roman" w:hAnsi="Times New Roman"/>
                <w:b/>
              </w:rPr>
              <w:t>$1,</w:t>
            </w:r>
            <w:r w:rsidR="00F267AC" w:rsidRPr="00934C1C">
              <w:rPr>
                <w:rFonts w:ascii="Times New Roman" w:hAnsi="Times New Roman"/>
                <w:b/>
              </w:rPr>
              <w:t>77</w:t>
            </w:r>
            <w:r w:rsidR="00F267AC">
              <w:rPr>
                <w:rFonts w:ascii="Times New Roman" w:hAnsi="Times New Roman"/>
                <w:b/>
              </w:rPr>
              <w:t>7</w:t>
            </w:r>
            <w:r w:rsidRPr="00934C1C">
              <w:rPr>
                <w:rFonts w:ascii="Times New Roman" w:hAnsi="Times New Roman"/>
                <w:b/>
              </w:rPr>
              <w:t xml:space="preserve">,242 </w:t>
            </w:r>
          </w:p>
        </w:tc>
      </w:tr>
    </w:tbl>
    <w:p w14:paraId="20370E2A" w14:textId="77777777" w:rsidR="003B6727" w:rsidRPr="00263E20" w:rsidRDefault="003B6727" w:rsidP="005F3366">
      <w:pPr>
        <w:tabs>
          <w:tab w:val="left" w:pos="-1440"/>
          <w:tab w:val="left" w:pos="-720"/>
          <w:tab w:val="decimal" w:pos="0"/>
        </w:tabs>
        <w:rPr>
          <w:rFonts w:ascii="Times New Roman" w:hAnsi="Times New Roman"/>
          <w:b/>
          <w:bCs/>
        </w:rPr>
      </w:pPr>
    </w:p>
    <w:p w14:paraId="7B271D92" w14:textId="77777777" w:rsidR="00772F14" w:rsidRPr="00263E20" w:rsidRDefault="00772F14">
      <w:pPr>
        <w:widowControl/>
        <w:tabs>
          <w:tab w:val="left" w:pos="-1440"/>
          <w:tab w:val="left" w:pos="-720"/>
          <w:tab w:val="decimal" w:pos="0"/>
        </w:tabs>
        <w:ind w:left="720"/>
        <w:rPr>
          <w:rFonts w:ascii="Times New Roman" w:hAnsi="Times New Roman"/>
        </w:rPr>
      </w:pPr>
    </w:p>
    <w:p w14:paraId="26A672B6" w14:textId="77777777" w:rsidR="00772F14" w:rsidRPr="00263E20" w:rsidRDefault="00BE7FD6" w:rsidP="007F7DB9">
      <w:pPr>
        <w:keepNext/>
        <w:widowControl/>
        <w:tabs>
          <w:tab w:val="left" w:pos="-1440"/>
          <w:tab w:val="left" w:pos="-720"/>
          <w:tab w:val="decimal" w:pos="0"/>
        </w:tabs>
        <w:ind w:firstLine="720"/>
        <w:rPr>
          <w:rFonts w:ascii="Times New Roman" w:hAnsi="Times New Roman"/>
          <w:b/>
          <w:bCs/>
        </w:rPr>
      </w:pPr>
      <w:r w:rsidRPr="00263E20">
        <w:rPr>
          <w:rFonts w:ascii="Times New Roman" w:hAnsi="Times New Roman"/>
          <w:b/>
          <w:bCs/>
        </w:rPr>
        <w:t>6(f) Reasons for Change in Burden</w:t>
      </w:r>
    </w:p>
    <w:p w14:paraId="5A8B6F95" w14:textId="77777777" w:rsidR="00772F14" w:rsidRPr="00263E20" w:rsidRDefault="00772F14" w:rsidP="007F7DB9">
      <w:pPr>
        <w:keepNext/>
        <w:widowControl/>
        <w:tabs>
          <w:tab w:val="left" w:pos="-1440"/>
          <w:tab w:val="left" w:pos="-720"/>
          <w:tab w:val="decimal" w:pos="0"/>
        </w:tabs>
        <w:ind w:firstLine="720"/>
        <w:rPr>
          <w:rFonts w:ascii="Times New Roman" w:hAnsi="Times New Roman"/>
        </w:rPr>
      </w:pPr>
    </w:p>
    <w:p w14:paraId="32447B33" w14:textId="06687E6E" w:rsidR="005F3366" w:rsidRPr="00263E20" w:rsidRDefault="00302F41" w:rsidP="007F7DB9">
      <w:pPr>
        <w:keepNext/>
        <w:widowControl/>
        <w:tabs>
          <w:tab w:val="left" w:pos="-1440"/>
          <w:tab w:val="left" w:pos="-720"/>
          <w:tab w:val="decimal" w:pos="0"/>
        </w:tabs>
        <w:ind w:firstLine="720"/>
        <w:rPr>
          <w:rFonts w:ascii="Times New Roman" w:hAnsi="Times New Roman"/>
        </w:rPr>
      </w:pPr>
      <w:r w:rsidRPr="00263E20">
        <w:rPr>
          <w:rFonts w:ascii="Times New Roman" w:hAnsi="Times New Roman"/>
        </w:rPr>
        <w:t>There is</w:t>
      </w:r>
      <w:r w:rsidR="005F3366" w:rsidRPr="00263E20">
        <w:rPr>
          <w:rFonts w:ascii="Times New Roman" w:hAnsi="Times New Roman"/>
        </w:rPr>
        <w:t xml:space="preserve"> an increase of </w:t>
      </w:r>
      <w:r w:rsidR="009B333B">
        <w:rPr>
          <w:rFonts w:ascii="Times New Roman" w:hAnsi="Times New Roman"/>
        </w:rPr>
        <w:t>3,870</w:t>
      </w:r>
      <w:r w:rsidR="005F3366" w:rsidRPr="00263E20">
        <w:rPr>
          <w:rFonts w:ascii="Times New Roman" w:hAnsi="Times New Roman"/>
        </w:rPr>
        <w:t xml:space="preserve"> hours in the total estimated respondent burden compared with th</w:t>
      </w:r>
      <w:r w:rsidRPr="00263E20">
        <w:rPr>
          <w:rFonts w:ascii="Times New Roman" w:hAnsi="Times New Roman"/>
        </w:rPr>
        <w:t xml:space="preserve">e currently approved </w:t>
      </w:r>
      <w:r w:rsidR="005F3366" w:rsidRPr="00263E20">
        <w:rPr>
          <w:rFonts w:ascii="Times New Roman" w:hAnsi="Times New Roman"/>
        </w:rPr>
        <w:t xml:space="preserve">ICR </w:t>
      </w:r>
      <w:r w:rsidRPr="00263E20">
        <w:rPr>
          <w:rFonts w:ascii="Times New Roman" w:hAnsi="Times New Roman"/>
        </w:rPr>
        <w:t>burden</w:t>
      </w:r>
      <w:r w:rsidR="005F3366" w:rsidRPr="00263E20">
        <w:rPr>
          <w:rFonts w:ascii="Times New Roman" w:hAnsi="Times New Roman"/>
        </w:rPr>
        <w:t xml:space="preserve">. This increase is a result of an increase in the annual number </w:t>
      </w:r>
      <w:r w:rsidR="00C2636F" w:rsidRPr="00263E20">
        <w:rPr>
          <w:rFonts w:ascii="Times New Roman" w:hAnsi="Times New Roman"/>
        </w:rPr>
        <w:t>o</w:t>
      </w:r>
      <w:r w:rsidR="00535401" w:rsidRPr="00263E20">
        <w:rPr>
          <w:rFonts w:ascii="Times New Roman" w:hAnsi="Times New Roman"/>
        </w:rPr>
        <w:t>f NOAs submitt</w:t>
      </w:r>
      <w:r w:rsidR="005F3366" w:rsidRPr="00263E20">
        <w:rPr>
          <w:rFonts w:ascii="Times New Roman" w:hAnsi="Times New Roman"/>
        </w:rPr>
        <w:t>ed</w:t>
      </w:r>
      <w:r w:rsidR="001D569A" w:rsidRPr="00263E20">
        <w:rPr>
          <w:rFonts w:ascii="Times New Roman" w:hAnsi="Times New Roman"/>
        </w:rPr>
        <w:t xml:space="preserve">. The annual number of NOAs submitted to EPA increased </w:t>
      </w:r>
      <w:r w:rsidR="005F3366" w:rsidRPr="00263E20">
        <w:rPr>
          <w:rFonts w:ascii="Times New Roman" w:hAnsi="Times New Roman"/>
        </w:rPr>
        <w:t xml:space="preserve">from </w:t>
      </w:r>
      <w:r w:rsidR="00C01ED7" w:rsidRPr="00DC195C">
        <w:rPr>
          <w:rFonts w:ascii="Times New Roman" w:hAnsi="Times New Roman"/>
        </w:rPr>
        <w:t>3</w:t>
      </w:r>
      <w:r w:rsidR="005F3366" w:rsidRPr="00263E20">
        <w:rPr>
          <w:rFonts w:ascii="Times New Roman" w:hAnsi="Times New Roman"/>
        </w:rPr>
        <w:t xml:space="preserve">5,000 </w:t>
      </w:r>
      <w:r w:rsidR="007052A3" w:rsidRPr="00263E20">
        <w:rPr>
          <w:rFonts w:ascii="Times New Roman" w:hAnsi="Times New Roman"/>
        </w:rPr>
        <w:t xml:space="preserve">for the previous ICR renewal </w:t>
      </w:r>
      <w:r w:rsidR="005F3366" w:rsidRPr="00263E20">
        <w:rPr>
          <w:rFonts w:ascii="Times New Roman" w:hAnsi="Times New Roman"/>
        </w:rPr>
        <w:t xml:space="preserve">to </w:t>
      </w:r>
      <w:r w:rsidR="005F40A3" w:rsidRPr="00263E20">
        <w:rPr>
          <w:rFonts w:ascii="Times New Roman" w:hAnsi="Times New Roman"/>
        </w:rPr>
        <w:t>3</w:t>
      </w:r>
      <w:r w:rsidR="00C01ED7" w:rsidRPr="00DC195C">
        <w:rPr>
          <w:rFonts w:ascii="Times New Roman" w:hAnsi="Times New Roman"/>
        </w:rPr>
        <w:t>8</w:t>
      </w:r>
      <w:r w:rsidR="005F3366" w:rsidRPr="00263E20">
        <w:rPr>
          <w:rFonts w:ascii="Times New Roman" w:hAnsi="Times New Roman"/>
        </w:rPr>
        <w:t>,000</w:t>
      </w:r>
      <w:r w:rsidR="007052A3" w:rsidRPr="00263E20">
        <w:rPr>
          <w:rFonts w:ascii="Times New Roman" w:hAnsi="Times New Roman"/>
        </w:rPr>
        <w:t xml:space="preserve"> for this ICR renewal</w:t>
      </w:r>
      <w:r w:rsidR="005F3366" w:rsidRPr="00263E20">
        <w:rPr>
          <w:rFonts w:ascii="Times New Roman" w:hAnsi="Times New Roman"/>
        </w:rPr>
        <w:t>.</w:t>
      </w:r>
      <w:r w:rsidR="00C7726C" w:rsidRPr="00263E20">
        <w:rPr>
          <w:rFonts w:ascii="Times New Roman" w:hAnsi="Times New Roman"/>
        </w:rPr>
        <w:t xml:space="preserve"> </w:t>
      </w:r>
      <w:r w:rsidR="00BE7FD6" w:rsidRPr="00263E20">
        <w:rPr>
          <w:rFonts w:ascii="Times New Roman" w:hAnsi="Times New Roman"/>
        </w:rPr>
        <w:t xml:space="preserve">The </w:t>
      </w:r>
      <w:r w:rsidR="007052A3" w:rsidRPr="00263E20">
        <w:rPr>
          <w:rFonts w:ascii="Times New Roman" w:hAnsi="Times New Roman"/>
        </w:rPr>
        <w:t>average</w:t>
      </w:r>
      <w:r w:rsidR="00BE7FD6" w:rsidRPr="00263E20">
        <w:rPr>
          <w:rFonts w:ascii="Times New Roman" w:hAnsi="Times New Roman"/>
        </w:rPr>
        <w:t xml:space="preserve"> burden hours per response </w:t>
      </w:r>
      <w:r w:rsidR="00C01ED7" w:rsidRPr="00DC195C">
        <w:rPr>
          <w:rFonts w:ascii="Times New Roman" w:hAnsi="Times New Roman"/>
        </w:rPr>
        <w:t>remained unchanged</w:t>
      </w:r>
      <w:r w:rsidR="00C7726C" w:rsidRPr="00263E20">
        <w:rPr>
          <w:rFonts w:ascii="Times New Roman" w:hAnsi="Times New Roman"/>
        </w:rPr>
        <w:t xml:space="preserve"> from the previous ICR renewal </w:t>
      </w:r>
      <w:r w:rsidR="00C01ED7" w:rsidRPr="00DC195C">
        <w:rPr>
          <w:rFonts w:ascii="Times New Roman" w:hAnsi="Times New Roman"/>
        </w:rPr>
        <w:t>of</w:t>
      </w:r>
      <w:r w:rsidR="00C01ED7" w:rsidRPr="00263E20">
        <w:rPr>
          <w:rFonts w:ascii="Times New Roman" w:hAnsi="Times New Roman"/>
        </w:rPr>
        <w:t xml:space="preserve"> </w:t>
      </w:r>
      <w:r w:rsidR="00C7726C" w:rsidRPr="00263E20">
        <w:rPr>
          <w:rFonts w:ascii="Times New Roman" w:hAnsi="Times New Roman"/>
        </w:rPr>
        <w:t>0.4</w:t>
      </w:r>
      <w:r w:rsidR="007052A3" w:rsidRPr="00263E20">
        <w:rPr>
          <w:rFonts w:ascii="Times New Roman" w:hAnsi="Times New Roman"/>
        </w:rPr>
        <w:t>3</w:t>
      </w:r>
      <w:r w:rsidR="00C7726C" w:rsidRPr="00263E20">
        <w:rPr>
          <w:rFonts w:ascii="Times New Roman" w:hAnsi="Times New Roman"/>
        </w:rPr>
        <w:t xml:space="preserve"> hours</w:t>
      </w:r>
      <w:r w:rsidR="00C01ED7" w:rsidRPr="00DC195C">
        <w:rPr>
          <w:rFonts w:ascii="Times New Roman" w:hAnsi="Times New Roman"/>
        </w:rPr>
        <w:t xml:space="preserve"> per response.</w:t>
      </w:r>
      <w:r w:rsidR="00C7726C" w:rsidRPr="00263E20">
        <w:rPr>
          <w:rFonts w:ascii="Times New Roman" w:hAnsi="Times New Roman"/>
        </w:rPr>
        <w:t xml:space="preserve"> This </w:t>
      </w:r>
      <w:r w:rsidR="00C01ED7" w:rsidRPr="00263E20">
        <w:rPr>
          <w:rFonts w:ascii="Times New Roman" w:hAnsi="Times New Roman"/>
        </w:rPr>
        <w:t xml:space="preserve">estimate of </w:t>
      </w:r>
      <w:r w:rsidR="00C7726C" w:rsidRPr="00263E20">
        <w:rPr>
          <w:rFonts w:ascii="Times New Roman" w:hAnsi="Times New Roman"/>
        </w:rPr>
        <w:t xml:space="preserve">burden hours per response </w:t>
      </w:r>
      <w:r w:rsidR="00C01ED7" w:rsidRPr="00263E20">
        <w:rPr>
          <w:rFonts w:ascii="Times New Roman" w:hAnsi="Times New Roman"/>
        </w:rPr>
        <w:t xml:space="preserve">takes into account past </w:t>
      </w:r>
      <w:r w:rsidR="002969FD" w:rsidRPr="00263E20">
        <w:rPr>
          <w:rFonts w:ascii="Times New Roman" w:hAnsi="Times New Roman"/>
        </w:rPr>
        <w:t xml:space="preserve">changes to the data items on </w:t>
      </w:r>
      <w:r w:rsidR="00DA28C9">
        <w:rPr>
          <w:rFonts w:ascii="Times New Roman" w:hAnsi="Times New Roman"/>
        </w:rPr>
        <w:t>the NOA</w:t>
      </w:r>
      <w:r w:rsidR="002969FD" w:rsidRPr="00263E20">
        <w:rPr>
          <w:rFonts w:ascii="Times New Roman" w:hAnsi="Times New Roman"/>
        </w:rPr>
        <w:t>, a</w:t>
      </w:r>
      <w:r w:rsidR="000F4ED8">
        <w:rPr>
          <w:rFonts w:ascii="Times New Roman" w:hAnsi="Times New Roman"/>
        </w:rPr>
        <w:t>s</w:t>
      </w:r>
      <w:r w:rsidR="002969FD" w:rsidRPr="00263E20">
        <w:rPr>
          <w:rFonts w:ascii="Times New Roman" w:hAnsi="Times New Roman"/>
        </w:rPr>
        <w:t xml:space="preserve"> well as an</w:t>
      </w:r>
      <w:r w:rsidR="00C7726C" w:rsidRPr="00263E20">
        <w:rPr>
          <w:rFonts w:ascii="Times New Roman" w:hAnsi="Times New Roman"/>
        </w:rPr>
        <w:t xml:space="preserve"> accounting </w:t>
      </w:r>
      <w:r w:rsidR="001565DD" w:rsidRPr="00263E20">
        <w:rPr>
          <w:rFonts w:ascii="Times New Roman" w:hAnsi="Times New Roman"/>
        </w:rPr>
        <w:t>of</w:t>
      </w:r>
      <w:r w:rsidR="00C7726C" w:rsidRPr="00263E20">
        <w:rPr>
          <w:rFonts w:ascii="Times New Roman" w:hAnsi="Times New Roman"/>
        </w:rPr>
        <w:t xml:space="preserve"> the burden of submitting</w:t>
      </w:r>
      <w:r w:rsidR="001565DD" w:rsidRPr="00263E20">
        <w:rPr>
          <w:rFonts w:ascii="Times New Roman" w:hAnsi="Times New Roman"/>
        </w:rPr>
        <w:t xml:space="preserve"> certain information</w:t>
      </w:r>
      <w:r w:rsidR="00AA3D8D" w:rsidRPr="00263E20">
        <w:rPr>
          <w:rFonts w:ascii="Times New Roman" w:hAnsi="Times New Roman"/>
        </w:rPr>
        <w:t xml:space="preserve"> voluntarily or as part of current practice</w:t>
      </w:r>
      <w:r w:rsidR="002969FD" w:rsidRPr="00263E20">
        <w:rPr>
          <w:rFonts w:ascii="Times New Roman" w:hAnsi="Times New Roman"/>
        </w:rPr>
        <w:t xml:space="preserve">. </w:t>
      </w:r>
      <w:r w:rsidR="007052A3" w:rsidRPr="00263E20">
        <w:rPr>
          <w:rFonts w:ascii="Times New Roman" w:hAnsi="Times New Roman"/>
        </w:rPr>
        <w:t>Specifically, this burden estimate accounts for the burden</w:t>
      </w:r>
      <w:r w:rsidR="00C01ED7" w:rsidRPr="00263E20">
        <w:rPr>
          <w:rFonts w:ascii="Times New Roman" w:hAnsi="Times New Roman"/>
        </w:rPr>
        <w:t>s</w:t>
      </w:r>
      <w:r w:rsidR="007052A3" w:rsidRPr="00263E20">
        <w:rPr>
          <w:rFonts w:ascii="Times New Roman" w:hAnsi="Times New Roman"/>
        </w:rPr>
        <w:t xml:space="preserve"> related to providing </w:t>
      </w:r>
      <w:r w:rsidR="00F54901" w:rsidRPr="00263E20">
        <w:rPr>
          <w:rFonts w:ascii="Times New Roman" w:hAnsi="Times New Roman"/>
        </w:rPr>
        <w:t>a copy of the</w:t>
      </w:r>
      <w:r w:rsidR="00FC1559" w:rsidRPr="00263E20">
        <w:rPr>
          <w:rFonts w:ascii="Times New Roman" w:hAnsi="Times New Roman"/>
        </w:rPr>
        <w:t xml:space="preserve"> </w:t>
      </w:r>
      <w:r w:rsidR="00F54901" w:rsidRPr="00263E20">
        <w:rPr>
          <w:rFonts w:ascii="Times New Roman" w:hAnsi="Times New Roman"/>
        </w:rPr>
        <w:t xml:space="preserve">label as well as complete contact information, including a </w:t>
      </w:r>
      <w:r w:rsidR="002969FD" w:rsidRPr="00263E20">
        <w:rPr>
          <w:rFonts w:ascii="Times New Roman" w:hAnsi="Times New Roman"/>
        </w:rPr>
        <w:t>telephone number and email addresses</w:t>
      </w:r>
      <w:r w:rsidR="00F54901" w:rsidRPr="00263E20">
        <w:rPr>
          <w:rFonts w:ascii="Times New Roman" w:hAnsi="Times New Roman"/>
        </w:rPr>
        <w:t>, for the</w:t>
      </w:r>
      <w:r w:rsidR="002969FD" w:rsidRPr="00263E20">
        <w:rPr>
          <w:rFonts w:ascii="Times New Roman" w:hAnsi="Times New Roman"/>
        </w:rPr>
        <w:t xml:space="preserve"> shipper, importer of record, licensed broker,</w:t>
      </w:r>
      <w:r w:rsidR="00C2636F" w:rsidRPr="00263E20">
        <w:rPr>
          <w:rFonts w:ascii="Times New Roman" w:hAnsi="Times New Roman"/>
        </w:rPr>
        <w:t xml:space="preserve"> </w:t>
      </w:r>
      <w:r w:rsidR="00F54901" w:rsidRPr="00263E20">
        <w:rPr>
          <w:rFonts w:ascii="Times New Roman" w:hAnsi="Times New Roman"/>
        </w:rPr>
        <w:t xml:space="preserve">carrier </w:t>
      </w:r>
      <w:r w:rsidR="002969FD" w:rsidRPr="00263E20">
        <w:rPr>
          <w:rFonts w:ascii="Times New Roman" w:hAnsi="Times New Roman"/>
        </w:rPr>
        <w:t>and ultimate consignee when supplying name and address information</w:t>
      </w:r>
      <w:r w:rsidR="00F54901" w:rsidRPr="00263E20">
        <w:rPr>
          <w:rFonts w:ascii="Times New Roman" w:hAnsi="Times New Roman"/>
        </w:rPr>
        <w:t xml:space="preserve">. </w:t>
      </w:r>
      <w:r w:rsidR="007052A3" w:rsidRPr="00263E20">
        <w:rPr>
          <w:rFonts w:ascii="Times New Roman" w:hAnsi="Times New Roman"/>
        </w:rPr>
        <w:t xml:space="preserve">In addition, </w:t>
      </w:r>
      <w:r w:rsidR="003A189D" w:rsidRPr="00263E20">
        <w:rPr>
          <w:rFonts w:ascii="Times New Roman" w:hAnsi="Times New Roman"/>
        </w:rPr>
        <w:t>EPA is accounting for the</w:t>
      </w:r>
      <w:r w:rsidR="002969FD" w:rsidRPr="00263E20">
        <w:rPr>
          <w:rFonts w:ascii="Times New Roman" w:hAnsi="Times New Roman"/>
        </w:rPr>
        <w:t xml:space="preserve"> burden of voluntarily providing s</w:t>
      </w:r>
      <w:r w:rsidR="00C7726C" w:rsidRPr="00263E20">
        <w:rPr>
          <w:rFonts w:ascii="Times New Roman" w:hAnsi="Times New Roman"/>
        </w:rPr>
        <w:t>upporting documentation</w:t>
      </w:r>
      <w:r w:rsidR="003A189D" w:rsidRPr="00263E20">
        <w:rPr>
          <w:rFonts w:ascii="Times New Roman" w:hAnsi="Times New Roman"/>
        </w:rPr>
        <w:t xml:space="preserve"> </w:t>
      </w:r>
      <w:r w:rsidR="001565DD" w:rsidRPr="00263E20">
        <w:rPr>
          <w:rFonts w:ascii="Times New Roman" w:hAnsi="Times New Roman"/>
        </w:rPr>
        <w:t>for registered and unregistered pesticides,</w:t>
      </w:r>
      <w:r w:rsidR="00F92041" w:rsidRPr="00263E20">
        <w:rPr>
          <w:rFonts w:ascii="Times New Roman" w:hAnsi="Times New Roman"/>
        </w:rPr>
        <w:t xml:space="preserve"> active ingredients and percentage of each for registered pesticides,</w:t>
      </w:r>
      <w:r w:rsidR="001565DD" w:rsidRPr="00263E20">
        <w:rPr>
          <w:rFonts w:ascii="Times New Roman" w:hAnsi="Times New Roman"/>
        </w:rPr>
        <w:t xml:space="preserve"> as well as intended use information for unregistered pesticides</w:t>
      </w:r>
      <w:r w:rsidR="002969FD" w:rsidRPr="00263E20">
        <w:rPr>
          <w:rFonts w:ascii="Times New Roman" w:hAnsi="Times New Roman"/>
        </w:rPr>
        <w:t>.</w:t>
      </w:r>
      <w:r w:rsidR="00C7726C" w:rsidRPr="00263E20">
        <w:rPr>
          <w:rFonts w:ascii="Times New Roman" w:hAnsi="Times New Roman"/>
        </w:rPr>
        <w:t xml:space="preserve"> </w:t>
      </w:r>
      <w:r w:rsidR="005F3366" w:rsidRPr="00263E20">
        <w:rPr>
          <w:rFonts w:ascii="Times New Roman" w:hAnsi="Times New Roman"/>
        </w:rPr>
        <w:t xml:space="preserve">The annual burden increase represents an adjustment. </w:t>
      </w:r>
    </w:p>
    <w:p w14:paraId="083725BA" w14:textId="77777777" w:rsidR="005F3366" w:rsidRPr="00263E20" w:rsidRDefault="005F3366" w:rsidP="005F3366">
      <w:pPr>
        <w:widowControl/>
        <w:tabs>
          <w:tab w:val="left" w:pos="-1440"/>
          <w:tab w:val="left" w:pos="-720"/>
          <w:tab w:val="decimal" w:pos="0"/>
        </w:tabs>
        <w:ind w:firstLine="720"/>
        <w:rPr>
          <w:rFonts w:ascii="Times New Roman" w:hAnsi="Times New Roman"/>
          <w:b/>
          <w:bCs/>
        </w:rPr>
      </w:pPr>
    </w:p>
    <w:p w14:paraId="45C44E4A" w14:textId="71C6E52D" w:rsidR="003F20CA" w:rsidRDefault="001D569A" w:rsidP="005F3366">
      <w:pPr>
        <w:widowControl/>
        <w:tabs>
          <w:tab w:val="left" w:pos="-1440"/>
          <w:tab w:val="left" w:pos="-720"/>
          <w:tab w:val="decimal" w:pos="0"/>
        </w:tabs>
        <w:ind w:firstLine="720"/>
        <w:rPr>
          <w:rFonts w:ascii="Times New Roman" w:hAnsi="Times New Roman"/>
        </w:rPr>
      </w:pPr>
      <w:r w:rsidRPr="00263E20">
        <w:rPr>
          <w:rFonts w:ascii="Times New Roman" w:hAnsi="Times New Roman"/>
        </w:rPr>
        <w:t>Labor costs for respondents and the Agency increased as a result of changes in the wage rates made to: a) reflect current wage rates and b) to make the methodology for calculating wage rates consistent with other OPP ICRs. The new wage estimates incorporated higher estimates for benefits and overhead than were used in the past.</w:t>
      </w:r>
      <w:r w:rsidR="003F20CA" w:rsidRPr="003F20CA">
        <w:rPr>
          <w:rFonts w:ascii="Times New Roman" w:hAnsi="Times New Roman"/>
        </w:rPr>
        <w:t xml:space="preserve"> </w:t>
      </w:r>
    </w:p>
    <w:p w14:paraId="64D0944B" w14:textId="77777777" w:rsidR="003F20CA" w:rsidRDefault="003F20CA" w:rsidP="005F3366">
      <w:pPr>
        <w:widowControl/>
        <w:tabs>
          <w:tab w:val="left" w:pos="-1440"/>
          <w:tab w:val="left" w:pos="-720"/>
          <w:tab w:val="decimal" w:pos="0"/>
        </w:tabs>
        <w:ind w:firstLine="720"/>
        <w:rPr>
          <w:rFonts w:ascii="Times New Roman" w:hAnsi="Times New Roman"/>
        </w:rPr>
      </w:pPr>
    </w:p>
    <w:p w14:paraId="46AF0E03" w14:textId="3A8DD094" w:rsidR="007060E2" w:rsidRPr="00263E20" w:rsidRDefault="003F20CA" w:rsidP="005F3366">
      <w:pPr>
        <w:widowControl/>
        <w:tabs>
          <w:tab w:val="left" w:pos="-1440"/>
          <w:tab w:val="left" w:pos="-720"/>
          <w:tab w:val="decimal" w:pos="0"/>
        </w:tabs>
        <w:ind w:firstLine="720"/>
        <w:rPr>
          <w:rFonts w:ascii="Times New Roman" w:hAnsi="Times New Roman"/>
        </w:rPr>
      </w:pPr>
      <w:r>
        <w:rPr>
          <w:rFonts w:ascii="Times New Roman" w:hAnsi="Times New Roman"/>
        </w:rPr>
        <w:t>EPA expects that the burden hours and costs to file NOAs will decrease as electronic NOAs become a part of standard business practice. These cost reductions will be estimated as the ACE system is fully implemented and will be reflected in future updates of this ICR once EPA has data on the number of electronic and paper filings received by the Agency.</w:t>
      </w:r>
    </w:p>
    <w:p w14:paraId="44B960D5" w14:textId="77777777" w:rsidR="00772F14" w:rsidRPr="00263E20" w:rsidRDefault="00772F14">
      <w:pPr>
        <w:widowControl/>
        <w:tabs>
          <w:tab w:val="left" w:pos="-1440"/>
          <w:tab w:val="left" w:pos="-720"/>
          <w:tab w:val="decimal" w:pos="0"/>
        </w:tabs>
        <w:ind w:firstLine="720"/>
        <w:rPr>
          <w:rFonts w:ascii="Times New Roman" w:hAnsi="Times New Roman"/>
          <w:b/>
          <w:bCs/>
        </w:rPr>
      </w:pPr>
    </w:p>
    <w:p w14:paraId="16C499C2" w14:textId="77777777" w:rsidR="00772F14" w:rsidRPr="00263E20" w:rsidRDefault="00BE7FD6">
      <w:pPr>
        <w:widowControl/>
        <w:tabs>
          <w:tab w:val="left" w:pos="-1440"/>
          <w:tab w:val="left" w:pos="-720"/>
          <w:tab w:val="decimal" w:pos="0"/>
        </w:tabs>
        <w:ind w:firstLine="720"/>
        <w:rPr>
          <w:rFonts w:ascii="Times New Roman" w:hAnsi="Times New Roman"/>
          <w:b/>
          <w:bCs/>
        </w:rPr>
      </w:pPr>
      <w:r w:rsidRPr="00263E20">
        <w:rPr>
          <w:rFonts w:ascii="Times New Roman" w:hAnsi="Times New Roman"/>
          <w:b/>
          <w:bCs/>
        </w:rPr>
        <w:t>6(g) Burden Statement</w:t>
      </w:r>
    </w:p>
    <w:p w14:paraId="0F4B5ACE" w14:textId="77777777" w:rsidR="00772F14" w:rsidRPr="00263E20" w:rsidRDefault="00772F14">
      <w:pPr>
        <w:widowControl/>
        <w:tabs>
          <w:tab w:val="left" w:pos="-1440"/>
          <w:tab w:val="left" w:pos="-720"/>
          <w:tab w:val="decimal" w:pos="0"/>
        </w:tabs>
        <w:ind w:firstLine="720"/>
        <w:rPr>
          <w:rFonts w:ascii="Times New Roman" w:hAnsi="Times New Roman"/>
        </w:rPr>
      </w:pPr>
    </w:p>
    <w:p w14:paraId="58E75492" w14:textId="631F2F9C" w:rsidR="00955A62" w:rsidRPr="00263E20" w:rsidRDefault="00BE7FD6">
      <w:pPr>
        <w:widowControl/>
        <w:tabs>
          <w:tab w:val="left" w:pos="-1440"/>
          <w:tab w:val="left" w:pos="-720"/>
          <w:tab w:val="decimal" w:pos="0"/>
        </w:tabs>
        <w:ind w:firstLine="720"/>
        <w:rPr>
          <w:rFonts w:ascii="Times New Roman" w:hAnsi="Times New Roman"/>
        </w:rPr>
      </w:pPr>
      <w:r w:rsidRPr="00263E20">
        <w:rPr>
          <w:rFonts w:ascii="Times New Roman" w:hAnsi="Times New Roman"/>
        </w:rPr>
        <w:t>The total annual respondent burden for this collection of information is estimated to be 1</w:t>
      </w:r>
      <w:r w:rsidR="00C01ED7" w:rsidRPr="00DC195C">
        <w:rPr>
          <w:rFonts w:ascii="Times New Roman" w:hAnsi="Times New Roman"/>
        </w:rPr>
        <w:t>6</w:t>
      </w:r>
      <w:r w:rsidR="00D348BA" w:rsidRPr="00263E20">
        <w:rPr>
          <w:rFonts w:ascii="Times New Roman" w:hAnsi="Times New Roman"/>
        </w:rPr>
        <w:t>,</w:t>
      </w:r>
      <w:r w:rsidR="00C01ED7" w:rsidRPr="00DC195C">
        <w:rPr>
          <w:rFonts w:ascii="Times New Roman" w:hAnsi="Times New Roman"/>
        </w:rPr>
        <w:t>34</w:t>
      </w:r>
      <w:r w:rsidRPr="00263E20">
        <w:rPr>
          <w:rFonts w:ascii="Times New Roman" w:hAnsi="Times New Roman"/>
        </w:rPr>
        <w:t>0 hours. The annual respondent burden for the collection of information associated with the submission o</w:t>
      </w:r>
      <w:r w:rsidR="003A189D" w:rsidRPr="00263E20">
        <w:rPr>
          <w:rFonts w:ascii="Times New Roman" w:hAnsi="Times New Roman"/>
        </w:rPr>
        <w:t xml:space="preserve">f </w:t>
      </w:r>
      <w:r w:rsidR="00457F11">
        <w:rPr>
          <w:rFonts w:ascii="Times New Roman" w:hAnsi="Times New Roman"/>
        </w:rPr>
        <w:t>a NOA</w:t>
      </w:r>
      <w:r w:rsidRPr="00263E20">
        <w:rPr>
          <w:rFonts w:ascii="Times New Roman" w:hAnsi="Times New Roman"/>
        </w:rPr>
        <w:t xml:space="preserve"> is, on average, 0.4</w:t>
      </w:r>
      <w:r w:rsidR="00D348BA" w:rsidRPr="00263E20">
        <w:rPr>
          <w:rFonts w:ascii="Times New Roman" w:hAnsi="Times New Roman"/>
        </w:rPr>
        <w:t>3</w:t>
      </w:r>
      <w:r w:rsidRPr="00263E20">
        <w:rPr>
          <w:rFonts w:ascii="Times New Roman" w:hAnsi="Times New Roman"/>
        </w:rPr>
        <w:t xml:space="preserve"> hours per submission.</w:t>
      </w:r>
      <w:r w:rsidR="0061014F" w:rsidRPr="00263E20">
        <w:rPr>
          <w:rFonts w:ascii="Times New Roman" w:hAnsi="Times New Roman"/>
          <w:lang w:eastAsia="ko-KR"/>
        </w:rPr>
        <w:t xml:space="preserve"> </w:t>
      </w:r>
      <w:r w:rsidR="0061014F" w:rsidRPr="00263E20">
        <w:rPr>
          <w:rFonts w:ascii="Times New Roman" w:hAnsi="Times New Roman"/>
        </w:rPr>
        <w:t xml:space="preserve">This estimate includes the time for reviewing instructions, maintaining the data needed, and completing and reviewing the collection of information. The Agency may not conduct or sponsor, and a person is not required to respond to, a collection of information unless it displays a currently valid OMB control number. </w:t>
      </w:r>
    </w:p>
    <w:p w14:paraId="3DA446AC" w14:textId="77777777" w:rsidR="00772F14" w:rsidRPr="00263E20" w:rsidRDefault="00BE7FD6">
      <w:pPr>
        <w:widowControl/>
        <w:tabs>
          <w:tab w:val="left" w:pos="-1440"/>
          <w:tab w:val="left" w:pos="-720"/>
          <w:tab w:val="decimal" w:pos="0"/>
        </w:tabs>
        <w:ind w:firstLine="720"/>
        <w:rPr>
          <w:rFonts w:ascii="Times New Roman" w:hAnsi="Times New Roman"/>
        </w:rPr>
      </w:pPr>
      <w:r w:rsidRPr="00263E20">
        <w:rPr>
          <w:rFonts w:ascii="Times New Roman" w:hAnsi="Times New Roman"/>
        </w:rPr>
        <w:t xml:space="preserve"> </w:t>
      </w:r>
    </w:p>
    <w:p w14:paraId="623801F5" w14:textId="467579D3" w:rsidR="009773A4" w:rsidRPr="00263E20" w:rsidRDefault="00A7599B" w:rsidP="009773A4">
      <w:pPr>
        <w:pStyle w:val="PlainText"/>
        <w:ind w:firstLine="720"/>
        <w:rPr>
          <w:rFonts w:ascii="Times New Roman" w:hAnsi="Times New Roman" w:cs="Times New Roman"/>
          <w:sz w:val="24"/>
          <w:szCs w:val="24"/>
        </w:rPr>
      </w:pPr>
      <w:r w:rsidRPr="00263E20">
        <w:rPr>
          <w:rFonts w:ascii="Times New Roman" w:hAnsi="Times New Roman" w:cs="Times New Roman"/>
          <w:sz w:val="24"/>
          <w:szCs w:val="24"/>
        </w:rPr>
        <w:t>The Agency has established a public docket for this ICR under Docket ID No. EPA-HQ-</w:t>
      </w:r>
      <w:r w:rsidR="00BE7FD6" w:rsidRPr="00263E20">
        <w:rPr>
          <w:rFonts w:ascii="Times New Roman" w:hAnsi="Times New Roman" w:cs="Times New Roman"/>
          <w:sz w:val="24"/>
          <w:szCs w:val="24"/>
        </w:rPr>
        <w:t>OPP-</w:t>
      </w:r>
      <w:r w:rsidR="005132D6">
        <w:rPr>
          <w:rFonts w:ascii="Times New Roman" w:hAnsi="Times New Roman" w:cs="Times New Roman"/>
          <w:sz w:val="24"/>
          <w:szCs w:val="24"/>
        </w:rPr>
        <w:t>2016-0122</w:t>
      </w:r>
      <w:r w:rsidRPr="00263E20">
        <w:rPr>
          <w:rFonts w:ascii="Times New Roman" w:hAnsi="Times New Roman" w:cs="Times New Roman"/>
          <w:sz w:val="24"/>
          <w:szCs w:val="24"/>
        </w:rPr>
        <w:t xml:space="preserve">, which is available for online viewing at www.regulations.gov, or in person viewing at the OPP Docket in </w:t>
      </w:r>
      <w:r w:rsidR="005E0835" w:rsidRPr="00263E20">
        <w:rPr>
          <w:rFonts w:ascii="Times New Roman" w:hAnsi="Times New Roman" w:cs="Times New Roman"/>
          <w:sz w:val="24"/>
          <w:szCs w:val="24"/>
        </w:rPr>
        <w:t xml:space="preserve">the EPA Docket Center, </w:t>
      </w:r>
      <w:r w:rsidR="00B439C5">
        <w:rPr>
          <w:rFonts w:ascii="Times New Roman" w:hAnsi="Times New Roman" w:cs="Times New Roman"/>
          <w:sz w:val="24"/>
          <w:szCs w:val="24"/>
        </w:rPr>
        <w:t>William Jefferson Clinton (WJC) West</w:t>
      </w:r>
      <w:r w:rsidR="005E0835" w:rsidRPr="00263E20">
        <w:rPr>
          <w:rFonts w:ascii="Times New Roman" w:hAnsi="Times New Roman" w:cs="Times New Roman"/>
          <w:sz w:val="24"/>
          <w:szCs w:val="24"/>
        </w:rPr>
        <w:t xml:space="preserve">, </w:t>
      </w:r>
      <w:r w:rsidRPr="00263E20">
        <w:rPr>
          <w:rFonts w:ascii="Times New Roman" w:hAnsi="Times New Roman" w:cs="Times New Roman"/>
          <w:sz w:val="24"/>
          <w:szCs w:val="24"/>
        </w:rPr>
        <w:t xml:space="preserve">Rm. </w:t>
      </w:r>
      <w:r w:rsidR="005E0835" w:rsidRPr="00263E20">
        <w:rPr>
          <w:rFonts w:ascii="Times New Roman" w:hAnsi="Times New Roman" w:cs="Times New Roman"/>
          <w:sz w:val="24"/>
          <w:szCs w:val="24"/>
        </w:rPr>
        <w:t>3334, 1200 Pennsylvania Ave, NW, Washington DC</w:t>
      </w:r>
      <w:r w:rsidRPr="00263E20">
        <w:rPr>
          <w:rFonts w:ascii="Times New Roman" w:hAnsi="Times New Roman" w:cs="Times New Roman"/>
          <w:sz w:val="24"/>
          <w:szCs w:val="24"/>
        </w:rPr>
        <w:t>. This docket facility is open from 8:30 a.m. to 4</w:t>
      </w:r>
      <w:r w:rsidR="005E0835" w:rsidRPr="00263E20">
        <w:rPr>
          <w:rFonts w:ascii="Times New Roman" w:hAnsi="Times New Roman" w:cs="Times New Roman"/>
          <w:sz w:val="24"/>
          <w:szCs w:val="24"/>
        </w:rPr>
        <w:t xml:space="preserve">:30 </w:t>
      </w:r>
      <w:r w:rsidRPr="00263E20">
        <w:rPr>
          <w:rFonts w:ascii="Times New Roman" w:hAnsi="Times New Roman" w:cs="Times New Roman"/>
          <w:sz w:val="24"/>
          <w:szCs w:val="24"/>
        </w:rPr>
        <w:t xml:space="preserve">p.m., Monday through Friday, excluding legal holidays. The </w:t>
      </w:r>
      <w:r w:rsidR="005E0835" w:rsidRPr="00263E20">
        <w:rPr>
          <w:rFonts w:ascii="Times New Roman" w:hAnsi="Times New Roman" w:cs="Times New Roman"/>
          <w:sz w:val="24"/>
          <w:szCs w:val="24"/>
        </w:rPr>
        <w:t>OPP D</w:t>
      </w:r>
      <w:r w:rsidRPr="00263E20">
        <w:rPr>
          <w:rFonts w:ascii="Times New Roman" w:hAnsi="Times New Roman" w:cs="Times New Roman"/>
          <w:sz w:val="24"/>
          <w:szCs w:val="24"/>
        </w:rPr>
        <w:t xml:space="preserve">ocket telephone number is (703) 305-5805.  </w:t>
      </w:r>
    </w:p>
    <w:p w14:paraId="19B00D2A" w14:textId="77777777" w:rsidR="009773A4" w:rsidRPr="00263E20" w:rsidRDefault="009773A4" w:rsidP="009773A4">
      <w:pPr>
        <w:pStyle w:val="PlainText"/>
        <w:ind w:firstLine="720"/>
        <w:rPr>
          <w:rFonts w:ascii="Times New Roman" w:hAnsi="Times New Roman" w:cs="Times New Roman"/>
          <w:sz w:val="24"/>
          <w:szCs w:val="24"/>
        </w:rPr>
      </w:pPr>
    </w:p>
    <w:p w14:paraId="11F5D316" w14:textId="7589F681" w:rsidR="009773A4" w:rsidRPr="00263E20" w:rsidRDefault="00A7599B" w:rsidP="009773A4">
      <w:pPr>
        <w:pStyle w:val="PlainText"/>
        <w:ind w:firstLine="720"/>
        <w:rPr>
          <w:rFonts w:ascii="Times New Roman" w:hAnsi="Times New Roman" w:cs="Times New Roman"/>
          <w:sz w:val="24"/>
          <w:szCs w:val="24"/>
        </w:rPr>
      </w:pPr>
      <w:r w:rsidRPr="00263E20">
        <w:rPr>
          <w:rFonts w:ascii="Times New Roman" w:hAnsi="Times New Roman" w:cs="Times New Roman"/>
          <w:sz w:val="24"/>
          <w:szCs w:val="24"/>
        </w:rPr>
        <w:t xml:space="preserve">You may submit comments regarding the Agency's need for this information, the accuracy of the provided burden estimates and any suggested methods for minimizing respondent burden, including the use of automated collection techniques. </w:t>
      </w:r>
      <w:r w:rsidR="00BE7FD6" w:rsidRPr="00263E20">
        <w:rPr>
          <w:rFonts w:ascii="Times New Roman" w:hAnsi="Times New Roman"/>
          <w:sz w:val="24"/>
          <w:szCs w:val="24"/>
        </w:rPr>
        <w:t>Submit your comments, referencing Docket ID No. EPA-HQ-OPP-</w:t>
      </w:r>
      <w:r w:rsidR="005132D6">
        <w:rPr>
          <w:rFonts w:ascii="Times New Roman" w:hAnsi="Times New Roman"/>
          <w:sz w:val="24"/>
          <w:szCs w:val="24"/>
        </w:rPr>
        <w:t>2016-0122</w:t>
      </w:r>
      <w:r w:rsidR="00BE7FD6" w:rsidRPr="00263E20">
        <w:rPr>
          <w:rFonts w:ascii="Times New Roman" w:hAnsi="Times New Roman"/>
          <w:b/>
          <w:sz w:val="24"/>
          <w:szCs w:val="24"/>
        </w:rPr>
        <w:t xml:space="preserve"> </w:t>
      </w:r>
      <w:r w:rsidR="00BE7FD6" w:rsidRPr="00263E20">
        <w:rPr>
          <w:rFonts w:ascii="Times New Roman" w:hAnsi="Times New Roman"/>
          <w:sz w:val="24"/>
          <w:szCs w:val="24"/>
        </w:rPr>
        <w:t>and OMB Control No. 2070-002</w:t>
      </w:r>
      <w:r w:rsidR="005332E0" w:rsidRPr="00263E20">
        <w:rPr>
          <w:rFonts w:ascii="Times New Roman" w:hAnsi="Times New Roman"/>
          <w:sz w:val="24"/>
          <w:szCs w:val="24"/>
        </w:rPr>
        <w:t>0</w:t>
      </w:r>
      <w:r w:rsidR="00BE7FD6" w:rsidRPr="00263E20">
        <w:rPr>
          <w:rFonts w:ascii="Times New Roman" w:hAnsi="Times New Roman"/>
          <w:sz w:val="24"/>
          <w:szCs w:val="24"/>
        </w:rPr>
        <w:t xml:space="preserve">, to (1) EPA online using www.regulations.gov (our preferred method), or by mail to: </w:t>
      </w:r>
      <w:r w:rsidR="005C380E" w:rsidRPr="00263E20">
        <w:rPr>
          <w:rFonts w:ascii="Times New Roman" w:hAnsi="Times New Roman"/>
          <w:sz w:val="24"/>
          <w:szCs w:val="24"/>
        </w:rPr>
        <w:t xml:space="preserve">OPP Docket, Environmental Protection Agency Docket Center (EPA/DC), Mailcode: 28221T, 1200 Pennsylvania Ave., NW., Washington, DC 20460, </w:t>
      </w:r>
      <w:r w:rsidR="00BE7FD6" w:rsidRPr="00263E20">
        <w:rPr>
          <w:rFonts w:ascii="Times New Roman" w:hAnsi="Times New Roman"/>
          <w:sz w:val="24"/>
          <w:szCs w:val="24"/>
        </w:rPr>
        <w:t>and (2) OMB by mail to: Office of Information and Regulatory Affairs, Office of Management and Budget (OMB), Attention: Desk Officer for EPA, 725 17th Street, NW, Washington, DC 20503.</w:t>
      </w:r>
    </w:p>
    <w:p w14:paraId="1B470C49" w14:textId="3D3C4736" w:rsidR="00772F14" w:rsidRDefault="00BE7FD6" w:rsidP="009D3216">
      <w:pPr>
        <w:widowControl/>
        <w:tabs>
          <w:tab w:val="left" w:pos="-1440"/>
          <w:tab w:val="left" w:pos="-720"/>
          <w:tab w:val="decimal" w:pos="0"/>
        </w:tabs>
        <w:rPr>
          <w:rFonts w:ascii="Times New Roman" w:hAnsi="Times New Roman"/>
          <w:color w:val="000000"/>
        </w:rPr>
      </w:pPr>
      <w:r w:rsidRPr="00263E20">
        <w:rPr>
          <w:rFonts w:ascii="Times New Roman" w:hAnsi="Times New Roman"/>
          <w:color w:val="000000"/>
        </w:rPr>
        <w:t xml:space="preserve"> </w:t>
      </w:r>
    </w:p>
    <w:p w14:paraId="4C84BAE2" w14:textId="77777777" w:rsidR="009D3216" w:rsidRPr="00263E20" w:rsidRDefault="009D3216" w:rsidP="009D3216">
      <w:pPr>
        <w:widowControl/>
        <w:tabs>
          <w:tab w:val="left" w:pos="-1440"/>
          <w:tab w:val="left" w:pos="-720"/>
          <w:tab w:val="decimal" w:pos="0"/>
        </w:tabs>
        <w:rPr>
          <w:rFonts w:ascii="Times New Roman" w:hAnsi="Times New Roman"/>
          <w:color w:val="000000"/>
        </w:rPr>
      </w:pPr>
    </w:p>
    <w:p w14:paraId="0FAF04DE" w14:textId="77777777" w:rsidR="00772F14" w:rsidRPr="00263E20" w:rsidRDefault="00BE7FD6">
      <w:pPr>
        <w:widowControl/>
        <w:tabs>
          <w:tab w:val="left" w:pos="-1440"/>
          <w:tab w:val="left" w:pos="-720"/>
          <w:tab w:val="decimal" w:pos="0"/>
        </w:tabs>
        <w:rPr>
          <w:rFonts w:ascii="Times New Roman" w:hAnsi="Times New Roman"/>
          <w:color w:val="000000"/>
        </w:rPr>
      </w:pPr>
      <w:r w:rsidRPr="00263E20">
        <w:rPr>
          <w:rFonts w:ascii="Times New Roman" w:hAnsi="Times New Roman"/>
          <w:color w:val="000000"/>
        </w:rPr>
        <w:t xml:space="preserve">      </w:t>
      </w:r>
    </w:p>
    <w:p w14:paraId="485A82E7" w14:textId="20D2962F" w:rsidR="000C60AF" w:rsidRPr="00263E20" w:rsidRDefault="007F21CF" w:rsidP="009D3216">
      <w:pPr>
        <w:widowControl/>
        <w:autoSpaceDE/>
        <w:autoSpaceDN/>
        <w:adjustRightInd/>
        <w:jc w:val="center"/>
        <w:rPr>
          <w:rFonts w:ascii="Times New Roman" w:hAnsi="Times New Roman"/>
          <w:b/>
          <w:color w:val="000000"/>
        </w:rPr>
      </w:pPr>
      <w:r w:rsidRPr="00263E20">
        <w:rPr>
          <w:rFonts w:ascii="Times New Roman" w:hAnsi="Times New Roman"/>
          <w:b/>
          <w:color w:val="000000"/>
        </w:rPr>
        <w:t>ATTACHMENTS TO THE SUPPORTING STATEMENT</w:t>
      </w:r>
    </w:p>
    <w:p w14:paraId="535CB1FB" w14:textId="77777777" w:rsidR="007F21CF" w:rsidRPr="00263E20" w:rsidRDefault="007F21CF" w:rsidP="007F21CF">
      <w:pPr>
        <w:widowControl/>
        <w:tabs>
          <w:tab w:val="left" w:pos="-1440"/>
          <w:tab w:val="left" w:pos="-720"/>
          <w:tab w:val="decimal" w:pos="0"/>
        </w:tabs>
        <w:rPr>
          <w:rFonts w:ascii="Times New Roman" w:hAnsi="Times New Roman"/>
          <w:b/>
          <w:color w:val="000000"/>
        </w:rPr>
      </w:pPr>
    </w:p>
    <w:p w14:paraId="2624D0C3" w14:textId="23CF7117" w:rsidR="007F21CF" w:rsidRPr="00263E20" w:rsidRDefault="007F21CF" w:rsidP="007F21CF">
      <w:pPr>
        <w:widowControl/>
        <w:tabs>
          <w:tab w:val="left" w:pos="-1440"/>
          <w:tab w:val="left" w:pos="-720"/>
          <w:tab w:val="decimal" w:pos="0"/>
        </w:tabs>
        <w:rPr>
          <w:rFonts w:ascii="Times New Roman" w:hAnsi="Times New Roman"/>
          <w:color w:val="000000"/>
        </w:rPr>
      </w:pPr>
      <w:r w:rsidRPr="00263E20">
        <w:rPr>
          <w:rFonts w:ascii="Times New Roman" w:hAnsi="Times New Roman"/>
          <w:color w:val="000000"/>
        </w:rPr>
        <w:t xml:space="preserve">Attachments to the supporting statement are available in the public docket established for this ICR under docket identification number </w:t>
      </w:r>
      <w:r w:rsidRPr="00263E20">
        <w:rPr>
          <w:rFonts w:ascii="Times New Roman" w:hAnsi="Times New Roman"/>
          <w:b/>
          <w:color w:val="000000"/>
        </w:rPr>
        <w:t>EPA-HQ-OPP-</w:t>
      </w:r>
      <w:r w:rsidR="005132D6">
        <w:rPr>
          <w:rFonts w:ascii="Times New Roman" w:hAnsi="Times New Roman"/>
          <w:b/>
          <w:color w:val="000000"/>
        </w:rPr>
        <w:t>2016-0122</w:t>
      </w:r>
      <w:r w:rsidRPr="00263E20">
        <w:rPr>
          <w:rFonts w:ascii="Times New Roman" w:hAnsi="Times New Roman"/>
          <w:color w:val="000000"/>
        </w:rPr>
        <w:t xml:space="preserve">. These attachments are available for online viewing at </w:t>
      </w:r>
      <w:hyperlink r:id="rId11" w:history="1">
        <w:r w:rsidR="00DC195C" w:rsidRPr="006873B3">
          <w:rPr>
            <w:rStyle w:val="Hyperlink"/>
            <w:rFonts w:ascii="Times New Roman" w:hAnsi="Times New Roman"/>
          </w:rPr>
          <w:t>http://www.regulations.gov/</w:t>
        </w:r>
      </w:hyperlink>
      <w:r w:rsidR="00DC195C">
        <w:rPr>
          <w:rFonts w:ascii="Times New Roman" w:hAnsi="Times New Roman"/>
          <w:color w:val="000000"/>
        </w:rPr>
        <w:t xml:space="preserve"> </w:t>
      </w:r>
      <w:r w:rsidRPr="00263E20">
        <w:rPr>
          <w:rFonts w:ascii="Times New Roman" w:hAnsi="Times New Roman"/>
          <w:color w:val="000000"/>
        </w:rPr>
        <w:t>or otherwise accessed as described in section 6(f) of the supporting statement.</w:t>
      </w:r>
    </w:p>
    <w:p w14:paraId="6D6995DD" w14:textId="77777777" w:rsidR="007F21CF" w:rsidRPr="00263E20" w:rsidRDefault="007F21CF" w:rsidP="007F21CF">
      <w:pPr>
        <w:widowControl/>
        <w:tabs>
          <w:tab w:val="left" w:pos="-1440"/>
          <w:tab w:val="left" w:pos="-720"/>
          <w:tab w:val="decimal" w:pos="0"/>
        </w:tabs>
        <w:rPr>
          <w:rFonts w:ascii="Times New Roman" w:hAnsi="Times New Roman"/>
          <w:color w:val="000000"/>
        </w:rPr>
      </w:pPr>
    </w:p>
    <w:p w14:paraId="06A73500" w14:textId="77777777" w:rsidR="007F21CF" w:rsidRPr="00263E20" w:rsidRDefault="007F21CF" w:rsidP="007F21CF">
      <w:pPr>
        <w:widowControl/>
        <w:tabs>
          <w:tab w:val="left" w:pos="-1440"/>
          <w:tab w:val="left" w:pos="-720"/>
          <w:tab w:val="decimal" w:pos="0"/>
        </w:tabs>
        <w:rPr>
          <w:rFonts w:ascii="Times New Roman" w:hAnsi="Times New Roman"/>
          <w:color w:val="000000"/>
        </w:rPr>
      </w:pPr>
    </w:p>
    <w:tbl>
      <w:tblPr>
        <w:tblW w:w="0" w:type="auto"/>
        <w:tblLook w:val="01E0" w:firstRow="1" w:lastRow="1" w:firstColumn="1" w:lastColumn="1" w:noHBand="0" w:noVBand="0"/>
      </w:tblPr>
      <w:tblGrid>
        <w:gridCol w:w="2088"/>
        <w:gridCol w:w="7488"/>
      </w:tblGrid>
      <w:tr w:rsidR="007F21CF" w:rsidRPr="00263E20" w14:paraId="719CAE8B" w14:textId="77777777" w:rsidTr="00082A97">
        <w:tc>
          <w:tcPr>
            <w:tcW w:w="2088" w:type="dxa"/>
          </w:tcPr>
          <w:p w14:paraId="57A90243" w14:textId="77777777" w:rsidR="007F21CF" w:rsidRPr="00263E20" w:rsidRDefault="007F21CF" w:rsidP="007F21CF">
            <w:pPr>
              <w:widowControl/>
              <w:tabs>
                <w:tab w:val="left" w:pos="-1440"/>
                <w:tab w:val="left" w:pos="-720"/>
                <w:tab w:val="decimal" w:pos="0"/>
              </w:tabs>
              <w:rPr>
                <w:rFonts w:ascii="Times New Roman" w:hAnsi="Times New Roman"/>
                <w:b/>
                <w:bCs/>
                <w:color w:val="000000"/>
              </w:rPr>
            </w:pPr>
            <w:r w:rsidRPr="00263E20">
              <w:rPr>
                <w:rFonts w:ascii="Times New Roman" w:hAnsi="Times New Roman"/>
                <w:b/>
                <w:bCs/>
                <w:color w:val="000000"/>
              </w:rPr>
              <w:t>Attachment A:</w:t>
            </w:r>
          </w:p>
        </w:tc>
        <w:tc>
          <w:tcPr>
            <w:tcW w:w="7488" w:type="dxa"/>
          </w:tcPr>
          <w:p w14:paraId="09C8A633" w14:textId="0541516E" w:rsidR="007F21CF" w:rsidRPr="00263E20" w:rsidRDefault="00746F13" w:rsidP="007F21CF">
            <w:pPr>
              <w:widowControl/>
              <w:tabs>
                <w:tab w:val="left" w:pos="-1440"/>
                <w:tab w:val="left" w:pos="-720"/>
                <w:tab w:val="decimal" w:pos="0"/>
              </w:tabs>
              <w:rPr>
                <w:rFonts w:ascii="Times New Roman" w:hAnsi="Times New Roman"/>
                <w:b/>
                <w:color w:val="000000"/>
              </w:rPr>
            </w:pPr>
            <w:r w:rsidRPr="00263E20">
              <w:rPr>
                <w:rFonts w:ascii="Times New Roman" w:hAnsi="Times New Roman"/>
                <w:b/>
                <w:color w:val="000000"/>
              </w:rPr>
              <w:t xml:space="preserve">7 U.S.C. 136o - Section 17 of the </w:t>
            </w:r>
            <w:r w:rsidRPr="00263E20">
              <w:rPr>
                <w:rFonts w:ascii="Times New Roman" w:hAnsi="Times New Roman"/>
                <w:b/>
                <w:bCs/>
                <w:color w:val="000000"/>
              </w:rPr>
              <w:t>Federal Insecticide, Fungicide, and Rodenticide Act</w:t>
            </w:r>
            <w:r w:rsidRPr="00263E20">
              <w:rPr>
                <w:rFonts w:ascii="Times New Roman" w:hAnsi="Times New Roman"/>
                <w:b/>
                <w:color w:val="000000"/>
              </w:rPr>
              <w:t xml:space="preserve">. </w:t>
            </w:r>
            <w:r w:rsidRPr="00263E20">
              <w:rPr>
                <w:rFonts w:ascii="Times New Roman" w:hAnsi="Times New Roman"/>
                <w:color w:val="000000"/>
              </w:rPr>
              <w:t xml:space="preserve">Available online at the US Government Publishing Office’s </w:t>
            </w:r>
            <w:hyperlink r:id="rId12" w:history="1">
              <w:r w:rsidRPr="00263E20">
                <w:rPr>
                  <w:rStyle w:val="Hyperlink"/>
                  <w:rFonts w:ascii="Times New Roman" w:hAnsi="Times New Roman"/>
                </w:rPr>
                <w:t>website</w:t>
              </w:r>
            </w:hyperlink>
            <w:r w:rsidRPr="00263E20">
              <w:rPr>
                <w:rFonts w:ascii="Times New Roman" w:hAnsi="Times New Roman"/>
                <w:color w:val="000000"/>
              </w:rPr>
              <w:t>.</w:t>
            </w:r>
          </w:p>
        </w:tc>
      </w:tr>
      <w:tr w:rsidR="00082A97" w:rsidRPr="00263E20" w14:paraId="46BBF8BC" w14:textId="77777777" w:rsidTr="00082A97">
        <w:tc>
          <w:tcPr>
            <w:tcW w:w="2088" w:type="dxa"/>
          </w:tcPr>
          <w:p w14:paraId="22E0F74B" w14:textId="77777777" w:rsidR="00082A97" w:rsidRPr="00263E20" w:rsidRDefault="00082A97" w:rsidP="007F21CF">
            <w:pPr>
              <w:widowControl/>
              <w:tabs>
                <w:tab w:val="left" w:pos="-1440"/>
                <w:tab w:val="left" w:pos="-720"/>
                <w:tab w:val="decimal" w:pos="0"/>
              </w:tabs>
              <w:rPr>
                <w:rFonts w:ascii="Times New Roman" w:hAnsi="Times New Roman"/>
                <w:b/>
                <w:bCs/>
                <w:color w:val="000000"/>
              </w:rPr>
            </w:pPr>
          </w:p>
        </w:tc>
        <w:tc>
          <w:tcPr>
            <w:tcW w:w="7488" w:type="dxa"/>
          </w:tcPr>
          <w:p w14:paraId="2B7BC832" w14:textId="77777777" w:rsidR="00082A97" w:rsidRPr="00263E20" w:rsidRDefault="00082A97" w:rsidP="007F21CF">
            <w:pPr>
              <w:widowControl/>
              <w:tabs>
                <w:tab w:val="left" w:pos="-1440"/>
                <w:tab w:val="left" w:pos="-720"/>
                <w:tab w:val="decimal" w:pos="0"/>
              </w:tabs>
              <w:rPr>
                <w:rFonts w:ascii="Times New Roman" w:hAnsi="Times New Roman"/>
                <w:b/>
                <w:color w:val="000000"/>
              </w:rPr>
            </w:pPr>
          </w:p>
        </w:tc>
      </w:tr>
      <w:tr w:rsidR="007F21CF" w:rsidRPr="00263E20" w14:paraId="64C29FF3" w14:textId="77777777" w:rsidTr="00082A97">
        <w:tc>
          <w:tcPr>
            <w:tcW w:w="2088" w:type="dxa"/>
          </w:tcPr>
          <w:p w14:paraId="34422495" w14:textId="77777777" w:rsidR="007F21CF" w:rsidRPr="00263E20" w:rsidRDefault="007F21CF" w:rsidP="007F21CF">
            <w:pPr>
              <w:widowControl/>
              <w:tabs>
                <w:tab w:val="left" w:pos="-1440"/>
                <w:tab w:val="left" w:pos="-720"/>
                <w:tab w:val="decimal" w:pos="0"/>
              </w:tabs>
              <w:rPr>
                <w:rFonts w:ascii="Times New Roman" w:hAnsi="Times New Roman"/>
                <w:b/>
                <w:bCs/>
                <w:color w:val="000000"/>
              </w:rPr>
            </w:pPr>
            <w:r w:rsidRPr="00263E20">
              <w:rPr>
                <w:rFonts w:ascii="Times New Roman" w:hAnsi="Times New Roman"/>
                <w:b/>
                <w:bCs/>
                <w:color w:val="000000"/>
              </w:rPr>
              <w:t>Attachment B:</w:t>
            </w:r>
          </w:p>
        </w:tc>
        <w:tc>
          <w:tcPr>
            <w:tcW w:w="7488" w:type="dxa"/>
          </w:tcPr>
          <w:p w14:paraId="68822B43" w14:textId="6B455328" w:rsidR="007F21CF" w:rsidRPr="00263E20" w:rsidRDefault="007F21CF" w:rsidP="007F21CF">
            <w:pPr>
              <w:widowControl/>
              <w:tabs>
                <w:tab w:val="left" w:pos="-1440"/>
                <w:tab w:val="left" w:pos="-720"/>
                <w:tab w:val="decimal" w:pos="0"/>
              </w:tabs>
              <w:rPr>
                <w:rFonts w:ascii="Times New Roman" w:hAnsi="Times New Roman"/>
                <w:b/>
                <w:bCs/>
                <w:color w:val="000000"/>
              </w:rPr>
            </w:pPr>
            <w:r w:rsidRPr="00263E20">
              <w:rPr>
                <w:rFonts w:ascii="Times New Roman" w:hAnsi="Times New Roman"/>
                <w:b/>
                <w:color w:val="000000"/>
              </w:rPr>
              <w:t xml:space="preserve">19 CFR </w:t>
            </w:r>
            <w:r w:rsidRPr="00263E20">
              <w:rPr>
                <w:rFonts w:ascii="Times New Roman" w:hAnsi="Times New Roman"/>
                <w:b/>
                <w:bCs/>
                <w:color w:val="000000"/>
              </w:rPr>
              <w:t>1</w:t>
            </w:r>
            <w:r w:rsidR="005332E0" w:rsidRPr="00263E20">
              <w:rPr>
                <w:rFonts w:ascii="Times New Roman" w:hAnsi="Times New Roman"/>
                <w:b/>
                <w:bCs/>
                <w:color w:val="000000"/>
              </w:rPr>
              <w:t>2.110-117.</w:t>
            </w:r>
            <w:r w:rsidRPr="00263E20">
              <w:rPr>
                <w:rFonts w:ascii="Times New Roman" w:hAnsi="Times New Roman"/>
                <w:color w:val="000000"/>
              </w:rPr>
              <w:t xml:space="preserve">  </w:t>
            </w:r>
            <w:r w:rsidR="00746F13" w:rsidRPr="00263E20">
              <w:rPr>
                <w:rFonts w:ascii="Times New Roman" w:hAnsi="Times New Roman"/>
                <w:color w:val="000000"/>
              </w:rPr>
              <w:t xml:space="preserve">Available online at the US Government Publishing Office’s </w:t>
            </w:r>
            <w:hyperlink r:id="rId13" w:anchor="sg19.1.12_1109.sg27" w:history="1">
              <w:r w:rsidR="00746F13" w:rsidRPr="00263E20">
                <w:rPr>
                  <w:rStyle w:val="Hyperlink"/>
                  <w:rFonts w:ascii="Times New Roman" w:hAnsi="Times New Roman"/>
                </w:rPr>
                <w:t>Electronic CFR Website</w:t>
              </w:r>
            </w:hyperlink>
            <w:r w:rsidR="00746F13" w:rsidRPr="00263E20">
              <w:rPr>
                <w:rStyle w:val="Hyperlink"/>
                <w:rFonts w:ascii="Times New Roman" w:hAnsi="Times New Roman"/>
              </w:rPr>
              <w:t xml:space="preserve">. </w:t>
            </w:r>
          </w:p>
        </w:tc>
      </w:tr>
      <w:tr w:rsidR="00082A97" w:rsidRPr="00263E20" w14:paraId="7DD8095C" w14:textId="77777777" w:rsidTr="00082A97">
        <w:tc>
          <w:tcPr>
            <w:tcW w:w="2088" w:type="dxa"/>
          </w:tcPr>
          <w:p w14:paraId="197F1BB9" w14:textId="77777777" w:rsidR="00082A97" w:rsidRPr="00263E20" w:rsidRDefault="00082A97" w:rsidP="007F21CF">
            <w:pPr>
              <w:widowControl/>
              <w:tabs>
                <w:tab w:val="left" w:pos="-1440"/>
                <w:tab w:val="left" w:pos="-720"/>
                <w:tab w:val="decimal" w:pos="0"/>
              </w:tabs>
              <w:rPr>
                <w:rFonts w:ascii="Times New Roman" w:hAnsi="Times New Roman"/>
                <w:b/>
                <w:bCs/>
                <w:color w:val="000000"/>
              </w:rPr>
            </w:pPr>
          </w:p>
        </w:tc>
        <w:tc>
          <w:tcPr>
            <w:tcW w:w="7488" w:type="dxa"/>
          </w:tcPr>
          <w:p w14:paraId="3C575802" w14:textId="77777777" w:rsidR="00082A97" w:rsidRPr="00263E20" w:rsidRDefault="00082A97" w:rsidP="007F21CF">
            <w:pPr>
              <w:widowControl/>
              <w:tabs>
                <w:tab w:val="left" w:pos="-1440"/>
                <w:tab w:val="left" w:pos="-720"/>
                <w:tab w:val="decimal" w:pos="0"/>
              </w:tabs>
              <w:rPr>
                <w:rFonts w:ascii="Times New Roman" w:hAnsi="Times New Roman"/>
                <w:b/>
                <w:color w:val="000000"/>
              </w:rPr>
            </w:pPr>
          </w:p>
        </w:tc>
      </w:tr>
      <w:tr w:rsidR="007F21CF" w:rsidRPr="00263E20" w14:paraId="7B7052EB" w14:textId="77777777" w:rsidTr="00082A97">
        <w:tc>
          <w:tcPr>
            <w:tcW w:w="2088" w:type="dxa"/>
          </w:tcPr>
          <w:p w14:paraId="63EBF6F2" w14:textId="77777777" w:rsidR="007F21CF" w:rsidRPr="00263E20" w:rsidRDefault="00145A97" w:rsidP="00754110">
            <w:pPr>
              <w:widowControl/>
              <w:tabs>
                <w:tab w:val="left" w:pos="-1440"/>
                <w:tab w:val="left" w:pos="-720"/>
                <w:tab w:val="decimal" w:pos="0"/>
              </w:tabs>
              <w:rPr>
                <w:rFonts w:ascii="Times New Roman" w:hAnsi="Times New Roman"/>
                <w:b/>
                <w:bCs/>
                <w:color w:val="000000"/>
              </w:rPr>
            </w:pPr>
            <w:r w:rsidRPr="00263E20">
              <w:rPr>
                <w:rFonts w:ascii="Times New Roman" w:hAnsi="Times New Roman"/>
                <w:b/>
                <w:bCs/>
                <w:color w:val="000000"/>
              </w:rPr>
              <w:t xml:space="preserve">Attachment </w:t>
            </w:r>
            <w:r w:rsidR="000A0891" w:rsidRPr="00263E20">
              <w:rPr>
                <w:rFonts w:ascii="Times New Roman" w:hAnsi="Times New Roman"/>
                <w:b/>
                <w:bCs/>
                <w:color w:val="000000"/>
              </w:rPr>
              <w:t>C</w:t>
            </w:r>
            <w:r w:rsidRPr="00263E20">
              <w:rPr>
                <w:rFonts w:ascii="Times New Roman" w:hAnsi="Times New Roman"/>
                <w:color w:val="000000"/>
              </w:rPr>
              <w:t>:</w:t>
            </w:r>
          </w:p>
        </w:tc>
        <w:tc>
          <w:tcPr>
            <w:tcW w:w="7488" w:type="dxa"/>
          </w:tcPr>
          <w:p w14:paraId="6E6D8ABC" w14:textId="37BB07C4" w:rsidR="007F21CF" w:rsidRPr="009D3216" w:rsidRDefault="006D203F" w:rsidP="00145A97">
            <w:pPr>
              <w:widowControl/>
              <w:tabs>
                <w:tab w:val="left" w:pos="-1440"/>
                <w:tab w:val="left" w:pos="-720"/>
                <w:tab w:val="decimal" w:pos="0"/>
              </w:tabs>
              <w:rPr>
                <w:rFonts w:ascii="Times New Roman" w:hAnsi="Times New Roman"/>
                <w:b/>
                <w:color w:val="000000"/>
              </w:rPr>
            </w:pPr>
            <w:r>
              <w:rPr>
                <w:rFonts w:ascii="Times New Roman" w:hAnsi="Times New Roman"/>
                <w:b/>
                <w:color w:val="000000"/>
              </w:rPr>
              <w:t xml:space="preserve">Emergency Processing Request for Information Collected in the ITDS Pilot for Pesticide Notice of Arrival (OMB Control No. 2070-0020; EPA ICR No. 0152.11). </w:t>
            </w:r>
            <w:r w:rsidRPr="00B439C5">
              <w:rPr>
                <w:rFonts w:ascii="Times New Roman" w:hAnsi="Times New Roman"/>
                <w:color w:val="000000"/>
              </w:rPr>
              <w:t>Ava</w:t>
            </w:r>
            <w:r>
              <w:rPr>
                <w:rFonts w:ascii="Times New Roman" w:hAnsi="Times New Roman"/>
                <w:color w:val="000000"/>
              </w:rPr>
              <w:t xml:space="preserve">ilable online at </w:t>
            </w:r>
            <w:hyperlink r:id="rId14" w:history="1">
              <w:r w:rsidRPr="00277F51">
                <w:rPr>
                  <w:rStyle w:val="Hyperlink"/>
                  <w:rFonts w:ascii="Times New Roman" w:hAnsi="Times New Roman"/>
                </w:rPr>
                <w:t>http://www.reginfo.gov/public/do/PRAViewICR?ref_nbr=201606-2070-002</w:t>
              </w:r>
            </w:hyperlink>
          </w:p>
        </w:tc>
      </w:tr>
      <w:tr w:rsidR="00082A97" w:rsidRPr="00263E20" w14:paraId="4F58F3B7" w14:textId="77777777" w:rsidTr="00082A97">
        <w:tc>
          <w:tcPr>
            <w:tcW w:w="2088" w:type="dxa"/>
          </w:tcPr>
          <w:p w14:paraId="1F29EEB2" w14:textId="77777777" w:rsidR="00082A97" w:rsidRPr="00263E20" w:rsidRDefault="00082A97" w:rsidP="007F21CF">
            <w:pPr>
              <w:widowControl/>
              <w:tabs>
                <w:tab w:val="left" w:pos="-1440"/>
                <w:tab w:val="left" w:pos="-720"/>
                <w:tab w:val="decimal" w:pos="0"/>
              </w:tabs>
              <w:rPr>
                <w:rFonts w:ascii="Times New Roman" w:hAnsi="Times New Roman"/>
                <w:b/>
                <w:bCs/>
                <w:color w:val="000000"/>
              </w:rPr>
            </w:pPr>
          </w:p>
        </w:tc>
        <w:tc>
          <w:tcPr>
            <w:tcW w:w="7488" w:type="dxa"/>
          </w:tcPr>
          <w:p w14:paraId="26B6D6BE" w14:textId="77777777" w:rsidR="00082A97" w:rsidRPr="00263E20" w:rsidRDefault="00082A97" w:rsidP="00F53E3C">
            <w:pPr>
              <w:widowControl/>
              <w:tabs>
                <w:tab w:val="left" w:pos="-1440"/>
                <w:tab w:val="left" w:pos="-720"/>
                <w:tab w:val="decimal" w:pos="0"/>
              </w:tabs>
              <w:rPr>
                <w:rFonts w:ascii="Times New Roman" w:hAnsi="Times New Roman"/>
                <w:b/>
                <w:color w:val="000000"/>
              </w:rPr>
            </w:pPr>
          </w:p>
        </w:tc>
      </w:tr>
      <w:tr w:rsidR="00082A97" w:rsidRPr="00263E20" w14:paraId="218241D2" w14:textId="77777777" w:rsidTr="00082A97">
        <w:tc>
          <w:tcPr>
            <w:tcW w:w="2088" w:type="dxa"/>
          </w:tcPr>
          <w:p w14:paraId="1EABF770" w14:textId="77777777" w:rsidR="006D203F" w:rsidRDefault="006D203F" w:rsidP="006D203F">
            <w:pPr>
              <w:widowControl/>
              <w:tabs>
                <w:tab w:val="left" w:pos="-1440"/>
                <w:tab w:val="left" w:pos="-720"/>
                <w:tab w:val="decimal" w:pos="0"/>
              </w:tabs>
              <w:rPr>
                <w:rFonts w:ascii="Times New Roman" w:hAnsi="Times New Roman"/>
                <w:b/>
                <w:bCs/>
                <w:color w:val="000000"/>
              </w:rPr>
            </w:pPr>
            <w:r>
              <w:rPr>
                <w:rFonts w:ascii="Times New Roman" w:hAnsi="Times New Roman"/>
                <w:b/>
                <w:bCs/>
                <w:color w:val="000000"/>
              </w:rPr>
              <w:t>Attachment D:</w:t>
            </w:r>
          </w:p>
          <w:p w14:paraId="6D8CBB95" w14:textId="77777777" w:rsidR="00082A97" w:rsidRPr="00263E20" w:rsidRDefault="00082A97" w:rsidP="007F21CF">
            <w:pPr>
              <w:widowControl/>
              <w:tabs>
                <w:tab w:val="left" w:pos="-1440"/>
                <w:tab w:val="left" w:pos="-720"/>
                <w:tab w:val="decimal" w:pos="0"/>
              </w:tabs>
              <w:rPr>
                <w:rFonts w:ascii="Times New Roman" w:hAnsi="Times New Roman"/>
                <w:b/>
                <w:bCs/>
                <w:color w:val="000000"/>
              </w:rPr>
            </w:pPr>
          </w:p>
        </w:tc>
        <w:tc>
          <w:tcPr>
            <w:tcW w:w="7488" w:type="dxa"/>
          </w:tcPr>
          <w:p w14:paraId="46E2C3E1" w14:textId="77777777" w:rsidR="006D203F" w:rsidRPr="008E5B69" w:rsidRDefault="006D203F" w:rsidP="006D203F">
            <w:pPr>
              <w:widowControl/>
              <w:tabs>
                <w:tab w:val="left" w:pos="-1440"/>
                <w:tab w:val="left" w:pos="-720"/>
                <w:tab w:val="decimal" w:pos="0"/>
                <w:tab w:val="left" w:pos="1014"/>
              </w:tabs>
              <w:rPr>
                <w:rFonts w:ascii="Times New Roman" w:hAnsi="Times New Roman"/>
                <w:b/>
                <w:color w:val="000000"/>
              </w:rPr>
            </w:pPr>
            <w:r w:rsidRPr="008E5B69">
              <w:rPr>
                <w:rFonts w:ascii="Times New Roman" w:hAnsi="Times New Roman"/>
                <w:b/>
                <w:color w:val="000000"/>
              </w:rPr>
              <w:t xml:space="preserve">EPA Response to Comments from Bayer CropScience on “Information Collection Request for Notice of Arrival of Pesticides and Devices under Section 17(c) of FIFRA.” </w:t>
            </w:r>
          </w:p>
          <w:p w14:paraId="4B0532FF" w14:textId="77777777" w:rsidR="00082A97" w:rsidRPr="00263E20" w:rsidRDefault="00082A97" w:rsidP="00F53E3C">
            <w:pPr>
              <w:widowControl/>
              <w:tabs>
                <w:tab w:val="left" w:pos="-1440"/>
                <w:tab w:val="left" w:pos="-720"/>
                <w:tab w:val="decimal" w:pos="0"/>
              </w:tabs>
              <w:rPr>
                <w:rFonts w:ascii="Times New Roman" w:hAnsi="Times New Roman"/>
                <w:b/>
                <w:color w:val="000000"/>
              </w:rPr>
            </w:pPr>
          </w:p>
        </w:tc>
      </w:tr>
      <w:tr w:rsidR="00082A97" w:rsidRPr="007F21CF" w14:paraId="66FF9475" w14:textId="77777777" w:rsidTr="008E5B69">
        <w:trPr>
          <w:trHeight w:val="2142"/>
        </w:trPr>
        <w:tc>
          <w:tcPr>
            <w:tcW w:w="2088" w:type="dxa"/>
          </w:tcPr>
          <w:p w14:paraId="2A12521B" w14:textId="77777777" w:rsidR="006D203F" w:rsidRDefault="006D203F" w:rsidP="00746F13">
            <w:pPr>
              <w:widowControl/>
              <w:tabs>
                <w:tab w:val="left" w:pos="-1440"/>
                <w:tab w:val="left" w:pos="-720"/>
                <w:tab w:val="decimal" w:pos="0"/>
              </w:tabs>
              <w:rPr>
                <w:rFonts w:ascii="Times New Roman" w:hAnsi="Times New Roman"/>
                <w:b/>
                <w:bCs/>
                <w:color w:val="000000"/>
              </w:rPr>
            </w:pPr>
            <w:r>
              <w:rPr>
                <w:rFonts w:ascii="Times New Roman" w:hAnsi="Times New Roman"/>
                <w:b/>
                <w:bCs/>
                <w:color w:val="000000"/>
              </w:rPr>
              <w:t>Attachment E:</w:t>
            </w:r>
          </w:p>
          <w:p w14:paraId="2A341E87" w14:textId="77777777" w:rsidR="006D203F" w:rsidRDefault="006D203F" w:rsidP="00746F13">
            <w:pPr>
              <w:widowControl/>
              <w:tabs>
                <w:tab w:val="left" w:pos="-1440"/>
                <w:tab w:val="left" w:pos="-720"/>
                <w:tab w:val="decimal" w:pos="0"/>
              </w:tabs>
              <w:rPr>
                <w:rFonts w:ascii="Times New Roman" w:hAnsi="Times New Roman"/>
                <w:b/>
                <w:bCs/>
                <w:color w:val="000000"/>
              </w:rPr>
            </w:pPr>
          </w:p>
          <w:p w14:paraId="2B90DAAD" w14:textId="0B0C3CCF" w:rsidR="00082A97" w:rsidRDefault="00082A97" w:rsidP="00746F13">
            <w:pPr>
              <w:widowControl/>
              <w:tabs>
                <w:tab w:val="left" w:pos="-1440"/>
                <w:tab w:val="left" w:pos="-720"/>
                <w:tab w:val="decimal" w:pos="0"/>
              </w:tabs>
              <w:rPr>
                <w:rFonts w:ascii="Times New Roman" w:hAnsi="Times New Roman"/>
                <w:b/>
                <w:bCs/>
                <w:color w:val="000000"/>
              </w:rPr>
            </w:pPr>
            <w:r w:rsidRPr="00263E20">
              <w:rPr>
                <w:rFonts w:ascii="Times New Roman" w:hAnsi="Times New Roman"/>
                <w:b/>
                <w:bCs/>
                <w:color w:val="000000"/>
              </w:rPr>
              <w:t xml:space="preserve">Attachment </w:t>
            </w:r>
            <w:r w:rsidR="006D203F">
              <w:rPr>
                <w:rFonts w:ascii="Times New Roman" w:hAnsi="Times New Roman"/>
                <w:b/>
                <w:bCs/>
                <w:color w:val="000000"/>
              </w:rPr>
              <w:t>F</w:t>
            </w:r>
            <w:r w:rsidRPr="00263E20">
              <w:rPr>
                <w:rFonts w:ascii="Times New Roman" w:hAnsi="Times New Roman"/>
                <w:b/>
                <w:bCs/>
                <w:color w:val="000000"/>
              </w:rPr>
              <w:t>:</w:t>
            </w:r>
          </w:p>
          <w:p w14:paraId="6F21D671" w14:textId="77777777" w:rsidR="0099257D" w:rsidRDefault="0099257D" w:rsidP="00746F13">
            <w:pPr>
              <w:widowControl/>
              <w:tabs>
                <w:tab w:val="left" w:pos="-1440"/>
                <w:tab w:val="left" w:pos="-720"/>
                <w:tab w:val="decimal" w:pos="0"/>
              </w:tabs>
              <w:rPr>
                <w:rFonts w:ascii="Times New Roman" w:hAnsi="Times New Roman"/>
                <w:b/>
                <w:bCs/>
                <w:color w:val="000000"/>
              </w:rPr>
            </w:pPr>
          </w:p>
          <w:p w14:paraId="4EF11CBD" w14:textId="6F857AEF" w:rsidR="0099257D" w:rsidRDefault="0099257D" w:rsidP="00746F13">
            <w:pPr>
              <w:widowControl/>
              <w:tabs>
                <w:tab w:val="left" w:pos="-1440"/>
                <w:tab w:val="left" w:pos="-720"/>
                <w:tab w:val="decimal" w:pos="0"/>
              </w:tabs>
              <w:rPr>
                <w:rFonts w:ascii="Times New Roman" w:hAnsi="Times New Roman"/>
                <w:b/>
                <w:bCs/>
                <w:color w:val="000000"/>
              </w:rPr>
            </w:pPr>
            <w:r>
              <w:rPr>
                <w:rFonts w:ascii="Times New Roman" w:hAnsi="Times New Roman"/>
                <w:b/>
                <w:bCs/>
                <w:color w:val="000000"/>
              </w:rPr>
              <w:t xml:space="preserve">Attachment </w:t>
            </w:r>
            <w:r w:rsidR="006D203F">
              <w:rPr>
                <w:rFonts w:ascii="Times New Roman" w:hAnsi="Times New Roman"/>
                <w:b/>
                <w:bCs/>
                <w:color w:val="000000"/>
              </w:rPr>
              <w:t>G</w:t>
            </w:r>
            <w:r>
              <w:rPr>
                <w:rFonts w:ascii="Times New Roman" w:hAnsi="Times New Roman"/>
                <w:b/>
                <w:bCs/>
                <w:color w:val="000000"/>
              </w:rPr>
              <w:t xml:space="preserve">: </w:t>
            </w:r>
          </w:p>
          <w:p w14:paraId="12E86397" w14:textId="77777777" w:rsidR="00262E45" w:rsidRDefault="00262E45" w:rsidP="00746F13">
            <w:pPr>
              <w:widowControl/>
              <w:tabs>
                <w:tab w:val="left" w:pos="-1440"/>
                <w:tab w:val="left" w:pos="-720"/>
                <w:tab w:val="decimal" w:pos="0"/>
              </w:tabs>
              <w:rPr>
                <w:rFonts w:ascii="Times New Roman" w:hAnsi="Times New Roman"/>
                <w:b/>
                <w:bCs/>
                <w:color w:val="000000"/>
              </w:rPr>
            </w:pPr>
          </w:p>
          <w:p w14:paraId="1D23DF52" w14:textId="41F07828" w:rsidR="00262E45" w:rsidRPr="00263E20" w:rsidRDefault="00262E45" w:rsidP="006D203F">
            <w:pPr>
              <w:widowControl/>
              <w:tabs>
                <w:tab w:val="left" w:pos="-1440"/>
                <w:tab w:val="left" w:pos="-720"/>
                <w:tab w:val="decimal" w:pos="0"/>
              </w:tabs>
              <w:rPr>
                <w:rFonts w:ascii="Times New Roman" w:hAnsi="Times New Roman"/>
                <w:b/>
                <w:bCs/>
                <w:color w:val="000000"/>
              </w:rPr>
            </w:pPr>
          </w:p>
        </w:tc>
        <w:tc>
          <w:tcPr>
            <w:tcW w:w="7488" w:type="dxa"/>
          </w:tcPr>
          <w:p w14:paraId="497385A6" w14:textId="77777777" w:rsidR="006D203F" w:rsidRDefault="006D203F" w:rsidP="00082A97">
            <w:pPr>
              <w:widowControl/>
              <w:tabs>
                <w:tab w:val="left" w:pos="-1440"/>
                <w:tab w:val="left" w:pos="-720"/>
                <w:tab w:val="decimal" w:pos="0"/>
              </w:tabs>
              <w:rPr>
                <w:rFonts w:ascii="Times New Roman" w:hAnsi="Times New Roman"/>
                <w:b/>
                <w:color w:val="000000"/>
              </w:rPr>
            </w:pPr>
            <w:r w:rsidRPr="008E5B69">
              <w:rPr>
                <w:rFonts w:ascii="Times New Roman" w:hAnsi="Times New Roman"/>
                <w:b/>
                <w:color w:val="000000"/>
              </w:rPr>
              <w:t xml:space="preserve">Summary of Consultations. </w:t>
            </w:r>
          </w:p>
          <w:p w14:paraId="42EDE91A" w14:textId="77777777" w:rsidR="006D203F" w:rsidRDefault="006D203F" w:rsidP="00082A97">
            <w:pPr>
              <w:widowControl/>
              <w:tabs>
                <w:tab w:val="left" w:pos="-1440"/>
                <w:tab w:val="left" w:pos="-720"/>
                <w:tab w:val="decimal" w:pos="0"/>
              </w:tabs>
              <w:rPr>
                <w:rFonts w:ascii="Times New Roman" w:hAnsi="Times New Roman"/>
                <w:b/>
                <w:color w:val="000000"/>
              </w:rPr>
            </w:pPr>
          </w:p>
          <w:p w14:paraId="265700D6" w14:textId="6FDB1628" w:rsidR="0099257D" w:rsidRDefault="00082A97" w:rsidP="00082A97">
            <w:pPr>
              <w:widowControl/>
              <w:tabs>
                <w:tab w:val="left" w:pos="-1440"/>
                <w:tab w:val="left" w:pos="-720"/>
                <w:tab w:val="decimal" w:pos="0"/>
              </w:tabs>
              <w:rPr>
                <w:rFonts w:ascii="Times New Roman" w:hAnsi="Times New Roman"/>
                <w:b/>
                <w:color w:val="000000"/>
              </w:rPr>
            </w:pPr>
            <w:r w:rsidRPr="00263E20">
              <w:rPr>
                <w:rFonts w:ascii="Times New Roman" w:hAnsi="Times New Roman"/>
                <w:b/>
                <w:color w:val="000000"/>
              </w:rPr>
              <w:t>EPA Form 3540-1</w:t>
            </w:r>
            <w:r w:rsidR="00457F11">
              <w:rPr>
                <w:rFonts w:ascii="Times New Roman" w:hAnsi="Times New Roman"/>
                <w:b/>
                <w:color w:val="000000"/>
              </w:rPr>
              <w:t xml:space="preserve"> (Paper Form)</w:t>
            </w:r>
          </w:p>
          <w:p w14:paraId="76F0EF7A" w14:textId="77777777" w:rsidR="0099257D" w:rsidRDefault="0099257D" w:rsidP="00082A97">
            <w:pPr>
              <w:widowControl/>
              <w:tabs>
                <w:tab w:val="left" w:pos="-1440"/>
                <w:tab w:val="left" w:pos="-720"/>
                <w:tab w:val="decimal" w:pos="0"/>
              </w:tabs>
              <w:rPr>
                <w:rFonts w:ascii="Times New Roman" w:hAnsi="Times New Roman"/>
                <w:b/>
                <w:color w:val="000000"/>
              </w:rPr>
            </w:pPr>
          </w:p>
          <w:p w14:paraId="692C63DA" w14:textId="0A36ED66" w:rsidR="00082A97" w:rsidRDefault="006D203F" w:rsidP="00C5483C">
            <w:pPr>
              <w:widowControl/>
              <w:tabs>
                <w:tab w:val="left" w:pos="-1440"/>
                <w:tab w:val="left" w:pos="-720"/>
                <w:tab w:val="decimal" w:pos="0"/>
              </w:tabs>
              <w:rPr>
                <w:rFonts w:ascii="Times New Roman" w:hAnsi="Times New Roman"/>
                <w:b/>
                <w:color w:val="000000"/>
              </w:rPr>
            </w:pPr>
            <w:r w:rsidRPr="00263E20">
              <w:rPr>
                <w:rFonts w:ascii="Times New Roman" w:hAnsi="Times New Roman"/>
                <w:b/>
                <w:color w:val="000000"/>
              </w:rPr>
              <w:t xml:space="preserve">Work Sheets used to Calculate </w:t>
            </w:r>
            <w:r w:rsidRPr="00263E20">
              <w:rPr>
                <w:rFonts w:ascii="Times New Roman" w:hAnsi="Times New Roman"/>
                <w:b/>
                <w:bCs/>
                <w:color w:val="000000"/>
              </w:rPr>
              <w:t>Labor Costs</w:t>
            </w:r>
          </w:p>
        </w:tc>
      </w:tr>
    </w:tbl>
    <w:p w14:paraId="233E793C" w14:textId="22B757FE" w:rsidR="007F21CF" w:rsidRPr="007F21CF" w:rsidRDefault="00886C10" w:rsidP="00886C10">
      <w:pPr>
        <w:widowControl/>
        <w:tabs>
          <w:tab w:val="left" w:pos="-1440"/>
          <w:tab w:val="left" w:pos="-720"/>
          <w:tab w:val="decimal" w:pos="0"/>
          <w:tab w:val="left" w:pos="6323"/>
        </w:tabs>
        <w:rPr>
          <w:rFonts w:ascii="Times New Roman" w:hAnsi="Times New Roman"/>
          <w:color w:val="000000"/>
        </w:rPr>
      </w:pPr>
      <w:r>
        <w:rPr>
          <w:rFonts w:ascii="Times New Roman" w:hAnsi="Times New Roman"/>
          <w:color w:val="000000"/>
        </w:rPr>
        <w:tab/>
      </w:r>
    </w:p>
    <w:p w14:paraId="2EBDA680" w14:textId="77777777" w:rsidR="00772F14" w:rsidRPr="00C0504A" w:rsidRDefault="00772F14">
      <w:pPr>
        <w:widowControl/>
        <w:tabs>
          <w:tab w:val="left" w:pos="-1440"/>
          <w:tab w:val="left" w:pos="-720"/>
          <w:tab w:val="decimal" w:pos="0"/>
        </w:tabs>
        <w:rPr>
          <w:rFonts w:ascii="Times New Roman" w:hAnsi="Times New Roman"/>
          <w:color w:val="000000"/>
        </w:rPr>
      </w:pPr>
    </w:p>
    <w:sectPr w:rsidR="00772F14" w:rsidRPr="00C0504A" w:rsidSect="00C5483C">
      <w:pgSz w:w="12240" w:h="15840" w:code="1"/>
      <w:pgMar w:top="1080" w:right="1080" w:bottom="108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BB21A" w14:textId="77777777" w:rsidR="008C5332" w:rsidRDefault="008C5332">
      <w:r>
        <w:separator/>
      </w:r>
    </w:p>
  </w:endnote>
  <w:endnote w:type="continuationSeparator" w:id="0">
    <w:p w14:paraId="3F4168A1" w14:textId="77777777" w:rsidR="008C5332" w:rsidRDefault="008C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29825"/>
      <w:docPartObj>
        <w:docPartGallery w:val="Page Numbers (Bottom of Page)"/>
        <w:docPartUnique/>
      </w:docPartObj>
    </w:sdtPr>
    <w:sdtEndPr/>
    <w:sdtContent>
      <w:sdt>
        <w:sdtPr>
          <w:id w:val="565050477"/>
          <w:docPartObj>
            <w:docPartGallery w:val="Page Numbers (Top of Page)"/>
            <w:docPartUnique/>
          </w:docPartObj>
        </w:sdtPr>
        <w:sdtEndPr/>
        <w:sdtContent>
          <w:p w14:paraId="12CA3116" w14:textId="3B5A81DA" w:rsidR="00304602" w:rsidRDefault="00304602">
            <w:pPr>
              <w:pStyle w:val="Footer"/>
              <w:jc w:val="center"/>
            </w:pPr>
            <w:r w:rsidRPr="00100BD5">
              <w:rPr>
                <w:rFonts w:ascii="Times New Roman" w:hAnsi="Times New Roman"/>
              </w:rPr>
              <w:t xml:space="preserve">Page </w:t>
            </w:r>
            <w:r w:rsidRPr="00100BD5">
              <w:rPr>
                <w:rFonts w:ascii="Times New Roman" w:hAnsi="Times New Roman"/>
              </w:rPr>
              <w:fldChar w:fldCharType="begin"/>
            </w:r>
            <w:r w:rsidRPr="00100BD5">
              <w:rPr>
                <w:rFonts w:ascii="Times New Roman" w:hAnsi="Times New Roman"/>
              </w:rPr>
              <w:instrText xml:space="preserve"> PAGE </w:instrText>
            </w:r>
            <w:r w:rsidRPr="00100BD5">
              <w:rPr>
                <w:rFonts w:ascii="Times New Roman" w:hAnsi="Times New Roman"/>
              </w:rPr>
              <w:fldChar w:fldCharType="separate"/>
            </w:r>
            <w:r w:rsidR="002F7BC2">
              <w:rPr>
                <w:rFonts w:ascii="Times New Roman" w:hAnsi="Times New Roman"/>
                <w:noProof/>
              </w:rPr>
              <w:t>1</w:t>
            </w:r>
            <w:r w:rsidRPr="00100BD5">
              <w:rPr>
                <w:rFonts w:ascii="Times New Roman" w:hAnsi="Times New Roman"/>
              </w:rPr>
              <w:fldChar w:fldCharType="end"/>
            </w:r>
            <w:r w:rsidRPr="00100BD5">
              <w:rPr>
                <w:rFonts w:ascii="Times New Roman" w:hAnsi="Times New Roman"/>
              </w:rPr>
              <w:t xml:space="preserve"> of </w:t>
            </w:r>
            <w:r w:rsidRPr="00100BD5">
              <w:rPr>
                <w:rFonts w:ascii="Times New Roman" w:hAnsi="Times New Roman"/>
              </w:rPr>
              <w:fldChar w:fldCharType="begin"/>
            </w:r>
            <w:r w:rsidRPr="00100BD5">
              <w:rPr>
                <w:rFonts w:ascii="Times New Roman" w:hAnsi="Times New Roman"/>
              </w:rPr>
              <w:instrText xml:space="preserve"> NUMPAGES  </w:instrText>
            </w:r>
            <w:r w:rsidRPr="00100BD5">
              <w:rPr>
                <w:rFonts w:ascii="Times New Roman" w:hAnsi="Times New Roman"/>
              </w:rPr>
              <w:fldChar w:fldCharType="separate"/>
            </w:r>
            <w:r w:rsidR="002F7BC2">
              <w:rPr>
                <w:rFonts w:ascii="Times New Roman" w:hAnsi="Times New Roman"/>
                <w:noProof/>
              </w:rPr>
              <w:t>3</w:t>
            </w:r>
            <w:r w:rsidRPr="00100BD5">
              <w:rPr>
                <w:rFonts w:ascii="Times New Roman" w:hAnsi="Times New Roman"/>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166C4" w14:textId="77777777" w:rsidR="008C5332" w:rsidRDefault="008C5332">
      <w:r>
        <w:separator/>
      </w:r>
    </w:p>
  </w:footnote>
  <w:footnote w:type="continuationSeparator" w:id="0">
    <w:p w14:paraId="72099CE7" w14:textId="77777777" w:rsidR="008C5332" w:rsidRDefault="008C5332">
      <w:r>
        <w:continuationSeparator/>
      </w:r>
    </w:p>
  </w:footnote>
  <w:footnote w:id="1">
    <w:p w14:paraId="0C40F8DF" w14:textId="7BC0294A" w:rsidR="00304602" w:rsidRDefault="00304602">
      <w:pPr>
        <w:pStyle w:val="FootnoteText"/>
      </w:pPr>
      <w:r>
        <w:rPr>
          <w:rStyle w:val="FootnoteReference"/>
        </w:rPr>
        <w:footnoteRef/>
      </w:r>
      <w:r>
        <w:t xml:space="preserve"> </w:t>
      </w:r>
      <w:r w:rsidRPr="0032665A">
        <w:rPr>
          <w:rFonts w:ascii="Times New Roman" w:hAnsi="Times New Roman"/>
          <w:szCs w:val="22"/>
        </w:rPr>
        <w:t xml:space="preserve">The prices from the previous ICR were updated using the </w:t>
      </w:r>
      <w:r w:rsidRPr="00263E20">
        <w:rPr>
          <w:rFonts w:ascii="Times New Roman" w:hAnsi="Times New Roman"/>
          <w:szCs w:val="22"/>
        </w:rPr>
        <w:t>Consumer Price Index</w:t>
      </w:r>
      <w:r w:rsidRPr="0032665A">
        <w:rPr>
          <w:rFonts w:ascii="Times New Roman" w:hAnsi="Times New Roman"/>
          <w:szCs w:val="22"/>
        </w:rPr>
        <w:t xml:space="preserve"> </w:t>
      </w:r>
      <w:r>
        <w:rPr>
          <w:rFonts w:ascii="Times New Roman" w:hAnsi="Times New Roman"/>
          <w:szCs w:val="22"/>
        </w:rPr>
        <w:t>(</w:t>
      </w:r>
      <w:r w:rsidRPr="0032665A">
        <w:rPr>
          <w:rFonts w:ascii="Times New Roman" w:hAnsi="Times New Roman"/>
          <w:szCs w:val="22"/>
        </w:rPr>
        <w:t>CPI</w:t>
      </w:r>
      <w:r>
        <w:rPr>
          <w:rFonts w:ascii="Times New Roman" w:hAnsi="Times New Roman"/>
          <w:szCs w:val="22"/>
        </w:rPr>
        <w:t>)</w:t>
      </w:r>
      <w:r w:rsidRPr="0032665A">
        <w:rPr>
          <w:rFonts w:ascii="Times New Roman" w:hAnsi="Times New Roman"/>
          <w:szCs w:val="22"/>
        </w:rPr>
        <w:t xml:space="preserve">. </w:t>
      </w:r>
      <w:r w:rsidRPr="00263E20">
        <w:rPr>
          <w:rFonts w:ascii="Times New Roman" w:hAnsi="Times New Roman"/>
          <w:szCs w:val="22"/>
        </w:rPr>
        <w:t>Inflation rate based on</w:t>
      </w:r>
      <w:r>
        <w:rPr>
          <w:rFonts w:ascii="Times New Roman" w:hAnsi="Times New Roman"/>
          <w:szCs w:val="22"/>
        </w:rPr>
        <w:t xml:space="preserve"> </w:t>
      </w:r>
      <w:r w:rsidRPr="0032665A">
        <w:rPr>
          <w:rFonts w:ascii="Times New Roman" w:hAnsi="Times New Roman"/>
          <w:szCs w:val="22"/>
        </w:rPr>
        <w:t>CPI</w:t>
      </w:r>
      <w:r w:rsidRPr="00263E20">
        <w:rPr>
          <w:rFonts w:ascii="Times New Roman" w:hAnsi="Times New Roman"/>
          <w:szCs w:val="22"/>
        </w:rPr>
        <w:t>, All Urban Consumers, U.S. City Average, Series ID: CUSR0000SA0; change from June 20</w:t>
      </w:r>
      <w:r w:rsidRPr="00DC195C">
        <w:rPr>
          <w:rFonts w:ascii="Times New Roman" w:hAnsi="Times New Roman"/>
          <w:szCs w:val="22"/>
        </w:rPr>
        <w:t>11</w:t>
      </w:r>
      <w:r w:rsidRPr="00263E20">
        <w:rPr>
          <w:rFonts w:ascii="Times New Roman" w:hAnsi="Times New Roman"/>
          <w:szCs w:val="22"/>
        </w:rPr>
        <w:t xml:space="preserve"> to June 201</w:t>
      </w:r>
      <w:r w:rsidRPr="00DC195C">
        <w:rPr>
          <w:rFonts w:ascii="Times New Roman" w:hAnsi="Times New Roman"/>
          <w:szCs w:val="22"/>
        </w:rPr>
        <w:t>5</w:t>
      </w:r>
      <w:r w:rsidRPr="00263E20">
        <w:rPr>
          <w:rFonts w:ascii="Times New Roman" w:hAnsi="Times New Roman"/>
          <w:szCs w:val="22"/>
        </w:rPr>
        <w:t>.</w:t>
      </w:r>
    </w:p>
  </w:footnote>
  <w:footnote w:id="2">
    <w:p w14:paraId="2644BFA5" w14:textId="46240074" w:rsidR="00304602" w:rsidRPr="005B772A" w:rsidRDefault="00304602" w:rsidP="005B772A">
      <w:pPr>
        <w:pStyle w:val="FootnoteText"/>
        <w:rPr>
          <w:rFonts w:ascii="Times New Roman" w:hAnsi="Times New Roman"/>
          <w:szCs w:val="22"/>
        </w:rPr>
      </w:pPr>
      <w:r w:rsidRPr="00263E20">
        <w:rPr>
          <w:rStyle w:val="FootnoteReference"/>
          <w:rFonts w:ascii="Times New Roman" w:hAnsi="Times New Roman"/>
          <w:sz w:val="22"/>
          <w:szCs w:val="22"/>
        </w:rPr>
        <w:footnoteRef/>
      </w:r>
      <w:r w:rsidRPr="00263E20">
        <w:rPr>
          <w:rFonts w:ascii="Times New Roman" w:hAnsi="Times New Roman"/>
          <w:szCs w:val="22"/>
        </w:rPr>
        <w:t xml:space="preserve"> Inflation rate based on Consumer Price Index, All Urban Consumers, U.S. City Average, Series ID: CUSR0000SA0; change from June 20</w:t>
      </w:r>
      <w:r w:rsidRPr="00DC195C">
        <w:rPr>
          <w:rFonts w:ascii="Times New Roman" w:hAnsi="Times New Roman"/>
          <w:szCs w:val="22"/>
        </w:rPr>
        <w:t>11</w:t>
      </w:r>
      <w:r w:rsidRPr="00263E20">
        <w:rPr>
          <w:rFonts w:ascii="Times New Roman" w:hAnsi="Times New Roman"/>
          <w:szCs w:val="22"/>
        </w:rPr>
        <w:t xml:space="preserve"> to June 201</w:t>
      </w:r>
      <w:r w:rsidRPr="00DC195C">
        <w:rPr>
          <w:rFonts w:ascii="Times New Roman" w:hAnsi="Times New Roman"/>
          <w:szCs w:val="22"/>
        </w:rPr>
        <w:t>5</w:t>
      </w:r>
      <w:r w:rsidRPr="00263E20">
        <w:rPr>
          <w:rFonts w:ascii="Times New Roman" w:hAnsi="Times New Roman"/>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D3CB4" w14:textId="34C5BB6A" w:rsidR="00304602" w:rsidRPr="0019391C" w:rsidRDefault="00304602">
    <w:pPr>
      <w:pStyle w:val="Header"/>
      <w:rPr>
        <w:rFonts w:ascii="Times New Roman" w:hAnsi="Times New Roman"/>
      </w:rPr>
    </w:pPr>
    <w:r>
      <w:rPr>
        <w:rFonts w:ascii="Times New Roman" w:hAnsi="Times New Roman"/>
      </w:rPr>
      <w:t>November 13,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Diamonds"/>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E8A0454"/>
    <w:multiLevelType w:val="hybridMultilevel"/>
    <w:tmpl w:val="D88C24FE"/>
    <w:lvl w:ilvl="0" w:tplc="89004AAE">
      <w:start w:val="1"/>
      <w:numFmt w:val="lowerRoman"/>
      <w:pStyle w:val="Heading4"/>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nsid w:val="176B297E"/>
    <w:multiLevelType w:val="hybridMultilevel"/>
    <w:tmpl w:val="1DD002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8F06016"/>
    <w:multiLevelType w:val="hybridMultilevel"/>
    <w:tmpl w:val="859C2874"/>
    <w:lvl w:ilvl="0" w:tplc="FA4498B2">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8F7A71"/>
    <w:multiLevelType w:val="hybridMultilevel"/>
    <w:tmpl w:val="03DE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D21CA4"/>
    <w:multiLevelType w:val="hybridMultilevel"/>
    <w:tmpl w:val="4DD0BE92"/>
    <w:lvl w:ilvl="0" w:tplc="01BE22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C36D6E"/>
    <w:multiLevelType w:val="hybridMultilevel"/>
    <w:tmpl w:val="DA5A6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AE76F3"/>
    <w:multiLevelType w:val="hybridMultilevel"/>
    <w:tmpl w:val="47EC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F005CC"/>
    <w:multiLevelType w:val="hybridMultilevel"/>
    <w:tmpl w:val="1C7E8F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40AC3D43"/>
    <w:multiLevelType w:val="hybridMultilevel"/>
    <w:tmpl w:val="CDB09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AC40CFA"/>
    <w:multiLevelType w:val="hybridMultilevel"/>
    <w:tmpl w:val="0CD8FD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71C109E"/>
    <w:multiLevelType w:val="hybridMultilevel"/>
    <w:tmpl w:val="C99E57A0"/>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nsid w:val="593E6C76"/>
    <w:multiLevelType w:val="multilevel"/>
    <w:tmpl w:val="92927C98"/>
    <w:lvl w:ilvl="0">
      <w:start w:val="12"/>
      <w:numFmt w:val="decimal"/>
      <w:lvlText w:val="%1"/>
      <w:lvlJc w:val="left"/>
      <w:pPr>
        <w:ind w:left="660" w:hanging="660"/>
      </w:pPr>
      <w:rPr>
        <w:rFonts w:hint="default"/>
      </w:rPr>
    </w:lvl>
    <w:lvl w:ilvl="1">
      <w:start w:val="110"/>
      <w:numFmt w:val="decimal"/>
      <w:lvlText w:val="%1.%2"/>
      <w:lvlJc w:val="left"/>
      <w:pPr>
        <w:ind w:left="15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A632033"/>
    <w:multiLevelType w:val="hybridMultilevel"/>
    <w:tmpl w:val="E8A23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C791EFC"/>
    <w:multiLevelType w:val="hybridMultilevel"/>
    <w:tmpl w:val="CD92E5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2"/>
  </w:num>
  <w:num w:numId="3">
    <w:abstractNumId w:val="9"/>
  </w:num>
  <w:num w:numId="4">
    <w:abstractNumId w:val="11"/>
  </w:num>
  <w:num w:numId="5">
    <w:abstractNumId w:val="10"/>
  </w:num>
  <w:num w:numId="6">
    <w:abstractNumId w:val="3"/>
  </w:num>
  <w:num w:numId="7">
    <w:abstractNumId w:val="15"/>
  </w:num>
  <w:num w:numId="8">
    <w:abstractNumId w:val="2"/>
  </w:num>
  <w:num w:numId="9">
    <w:abstractNumId w:val="2"/>
    <w:lvlOverride w:ilvl="0">
      <w:startOverride w:val="1"/>
    </w:lvlOverride>
  </w:num>
  <w:num w:numId="10">
    <w:abstractNumId w:val="6"/>
  </w:num>
  <w:num w:numId="11">
    <w:abstractNumId w:val="13"/>
  </w:num>
  <w:num w:numId="12">
    <w:abstractNumId w:val="7"/>
  </w:num>
  <w:num w:numId="13">
    <w:abstractNumId w:val="14"/>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F14"/>
    <w:rsid w:val="000004E0"/>
    <w:rsid w:val="00004AD0"/>
    <w:rsid w:val="000062E1"/>
    <w:rsid w:val="0001154F"/>
    <w:rsid w:val="000119FD"/>
    <w:rsid w:val="00014306"/>
    <w:rsid w:val="000212A9"/>
    <w:rsid w:val="00021D4A"/>
    <w:rsid w:val="00024C60"/>
    <w:rsid w:val="000322EC"/>
    <w:rsid w:val="00033B5E"/>
    <w:rsid w:val="0003678B"/>
    <w:rsid w:val="0003702D"/>
    <w:rsid w:val="00041B9A"/>
    <w:rsid w:val="00041EA9"/>
    <w:rsid w:val="0004378D"/>
    <w:rsid w:val="000475D9"/>
    <w:rsid w:val="00047D04"/>
    <w:rsid w:val="00050251"/>
    <w:rsid w:val="00053573"/>
    <w:rsid w:val="0005477D"/>
    <w:rsid w:val="00063301"/>
    <w:rsid w:val="00063F7F"/>
    <w:rsid w:val="000706A1"/>
    <w:rsid w:val="00082A97"/>
    <w:rsid w:val="00086B2C"/>
    <w:rsid w:val="0009227A"/>
    <w:rsid w:val="00093CF2"/>
    <w:rsid w:val="00094464"/>
    <w:rsid w:val="00095636"/>
    <w:rsid w:val="00095B0B"/>
    <w:rsid w:val="000A0891"/>
    <w:rsid w:val="000A5E90"/>
    <w:rsid w:val="000B55F4"/>
    <w:rsid w:val="000C0A7A"/>
    <w:rsid w:val="000C4CFB"/>
    <w:rsid w:val="000C60AF"/>
    <w:rsid w:val="000D0D0E"/>
    <w:rsid w:val="000E1550"/>
    <w:rsid w:val="000E535B"/>
    <w:rsid w:val="000E555E"/>
    <w:rsid w:val="000E7C34"/>
    <w:rsid w:val="000F2551"/>
    <w:rsid w:val="000F2F90"/>
    <w:rsid w:val="000F4ED8"/>
    <w:rsid w:val="00100BD5"/>
    <w:rsid w:val="001121ED"/>
    <w:rsid w:val="00113D4A"/>
    <w:rsid w:val="001179C9"/>
    <w:rsid w:val="001214C6"/>
    <w:rsid w:val="00125EF3"/>
    <w:rsid w:val="00126204"/>
    <w:rsid w:val="00131427"/>
    <w:rsid w:val="00136082"/>
    <w:rsid w:val="0014337E"/>
    <w:rsid w:val="00145A97"/>
    <w:rsid w:val="00155A54"/>
    <w:rsid w:val="001565DD"/>
    <w:rsid w:val="00166062"/>
    <w:rsid w:val="001669C7"/>
    <w:rsid w:val="00166F58"/>
    <w:rsid w:val="001707B3"/>
    <w:rsid w:val="00170D10"/>
    <w:rsid w:val="001729D2"/>
    <w:rsid w:val="001730F7"/>
    <w:rsid w:val="00173FBB"/>
    <w:rsid w:val="001777F9"/>
    <w:rsid w:val="00180C99"/>
    <w:rsid w:val="0018164C"/>
    <w:rsid w:val="001853E1"/>
    <w:rsid w:val="0018560F"/>
    <w:rsid w:val="00190D58"/>
    <w:rsid w:val="00192183"/>
    <w:rsid w:val="0019391C"/>
    <w:rsid w:val="001A0505"/>
    <w:rsid w:val="001A210C"/>
    <w:rsid w:val="001B35F7"/>
    <w:rsid w:val="001C658B"/>
    <w:rsid w:val="001C6D8C"/>
    <w:rsid w:val="001D40EB"/>
    <w:rsid w:val="001D569A"/>
    <w:rsid w:val="001D582F"/>
    <w:rsid w:val="001E68FF"/>
    <w:rsid w:val="001F0277"/>
    <w:rsid w:val="001F21C5"/>
    <w:rsid w:val="00200F0E"/>
    <w:rsid w:val="002024F8"/>
    <w:rsid w:val="00202B85"/>
    <w:rsid w:val="00205230"/>
    <w:rsid w:val="00212F11"/>
    <w:rsid w:val="0022362E"/>
    <w:rsid w:val="00223C23"/>
    <w:rsid w:val="00225491"/>
    <w:rsid w:val="00226992"/>
    <w:rsid w:val="00232A06"/>
    <w:rsid w:val="00236BDF"/>
    <w:rsid w:val="00240CE1"/>
    <w:rsid w:val="00242950"/>
    <w:rsid w:val="00247355"/>
    <w:rsid w:val="00256056"/>
    <w:rsid w:val="00262E45"/>
    <w:rsid w:val="00263E20"/>
    <w:rsid w:val="00265B44"/>
    <w:rsid w:val="002678E7"/>
    <w:rsid w:val="00267DCF"/>
    <w:rsid w:val="00270CAC"/>
    <w:rsid w:val="002727AA"/>
    <w:rsid w:val="00274718"/>
    <w:rsid w:val="002747E2"/>
    <w:rsid w:val="002779B7"/>
    <w:rsid w:val="002805A1"/>
    <w:rsid w:val="0029190C"/>
    <w:rsid w:val="002920DA"/>
    <w:rsid w:val="002969FD"/>
    <w:rsid w:val="002A215F"/>
    <w:rsid w:val="002A2477"/>
    <w:rsid w:val="002B29A4"/>
    <w:rsid w:val="002B33C9"/>
    <w:rsid w:val="002B3EF8"/>
    <w:rsid w:val="002C00CA"/>
    <w:rsid w:val="002D61B9"/>
    <w:rsid w:val="002E052F"/>
    <w:rsid w:val="002E097C"/>
    <w:rsid w:val="002E1844"/>
    <w:rsid w:val="002F0F8F"/>
    <w:rsid w:val="002F14E8"/>
    <w:rsid w:val="002F1F58"/>
    <w:rsid w:val="002F3D66"/>
    <w:rsid w:val="002F63B3"/>
    <w:rsid w:val="002F6B52"/>
    <w:rsid w:val="002F7BC2"/>
    <w:rsid w:val="003001FC"/>
    <w:rsid w:val="00300D42"/>
    <w:rsid w:val="00302F41"/>
    <w:rsid w:val="00304602"/>
    <w:rsid w:val="00304A06"/>
    <w:rsid w:val="00305AA7"/>
    <w:rsid w:val="00305E20"/>
    <w:rsid w:val="00307426"/>
    <w:rsid w:val="00310466"/>
    <w:rsid w:val="00312017"/>
    <w:rsid w:val="00316CC2"/>
    <w:rsid w:val="00320FC8"/>
    <w:rsid w:val="0032665A"/>
    <w:rsid w:val="00333A41"/>
    <w:rsid w:val="00333BC5"/>
    <w:rsid w:val="0033409E"/>
    <w:rsid w:val="00341793"/>
    <w:rsid w:val="00344529"/>
    <w:rsid w:val="003446FC"/>
    <w:rsid w:val="00344D68"/>
    <w:rsid w:val="00347B06"/>
    <w:rsid w:val="003525F5"/>
    <w:rsid w:val="0035399C"/>
    <w:rsid w:val="003548AE"/>
    <w:rsid w:val="00355F8F"/>
    <w:rsid w:val="003658F5"/>
    <w:rsid w:val="00371C30"/>
    <w:rsid w:val="00376EED"/>
    <w:rsid w:val="003809D2"/>
    <w:rsid w:val="003822C6"/>
    <w:rsid w:val="003834CE"/>
    <w:rsid w:val="00386FE9"/>
    <w:rsid w:val="00387CC6"/>
    <w:rsid w:val="0039251A"/>
    <w:rsid w:val="00394751"/>
    <w:rsid w:val="0039743A"/>
    <w:rsid w:val="00397E11"/>
    <w:rsid w:val="003A0661"/>
    <w:rsid w:val="003A189D"/>
    <w:rsid w:val="003B1536"/>
    <w:rsid w:val="003B6727"/>
    <w:rsid w:val="003B6BAF"/>
    <w:rsid w:val="003C5E0A"/>
    <w:rsid w:val="003C5E20"/>
    <w:rsid w:val="003C719F"/>
    <w:rsid w:val="003D048E"/>
    <w:rsid w:val="003D4248"/>
    <w:rsid w:val="003E2F45"/>
    <w:rsid w:val="003E44CC"/>
    <w:rsid w:val="003E4F30"/>
    <w:rsid w:val="003E68F7"/>
    <w:rsid w:val="003F20CA"/>
    <w:rsid w:val="003F511D"/>
    <w:rsid w:val="003F6041"/>
    <w:rsid w:val="003F7440"/>
    <w:rsid w:val="00406A14"/>
    <w:rsid w:val="004103A2"/>
    <w:rsid w:val="004109A0"/>
    <w:rsid w:val="0041241D"/>
    <w:rsid w:val="00412E2E"/>
    <w:rsid w:val="00413215"/>
    <w:rsid w:val="004174DA"/>
    <w:rsid w:val="004225A7"/>
    <w:rsid w:val="004249FB"/>
    <w:rsid w:val="004330F1"/>
    <w:rsid w:val="004358DB"/>
    <w:rsid w:val="00441FED"/>
    <w:rsid w:val="004522B6"/>
    <w:rsid w:val="0045550D"/>
    <w:rsid w:val="00455751"/>
    <w:rsid w:val="00457F11"/>
    <w:rsid w:val="004607F4"/>
    <w:rsid w:val="004622D9"/>
    <w:rsid w:val="00462781"/>
    <w:rsid w:val="004655AE"/>
    <w:rsid w:val="00465BB9"/>
    <w:rsid w:val="004679AA"/>
    <w:rsid w:val="00480220"/>
    <w:rsid w:val="00480AAA"/>
    <w:rsid w:val="0048152C"/>
    <w:rsid w:val="00483BED"/>
    <w:rsid w:val="00484891"/>
    <w:rsid w:val="0048728A"/>
    <w:rsid w:val="0048769C"/>
    <w:rsid w:val="00490310"/>
    <w:rsid w:val="00490997"/>
    <w:rsid w:val="00494BC2"/>
    <w:rsid w:val="004957C0"/>
    <w:rsid w:val="00495D4B"/>
    <w:rsid w:val="00497F7D"/>
    <w:rsid w:val="004A302F"/>
    <w:rsid w:val="004A3075"/>
    <w:rsid w:val="004A5261"/>
    <w:rsid w:val="004A5776"/>
    <w:rsid w:val="004A5E98"/>
    <w:rsid w:val="004B4130"/>
    <w:rsid w:val="004B56D3"/>
    <w:rsid w:val="004B67CC"/>
    <w:rsid w:val="004C0628"/>
    <w:rsid w:val="004C0BBA"/>
    <w:rsid w:val="004C16A7"/>
    <w:rsid w:val="004D235F"/>
    <w:rsid w:val="004D507D"/>
    <w:rsid w:val="004E3AD5"/>
    <w:rsid w:val="004E6421"/>
    <w:rsid w:val="004F069F"/>
    <w:rsid w:val="004F0948"/>
    <w:rsid w:val="004F11F8"/>
    <w:rsid w:val="004F1797"/>
    <w:rsid w:val="004F23AD"/>
    <w:rsid w:val="004F4A28"/>
    <w:rsid w:val="004F4F8B"/>
    <w:rsid w:val="00500347"/>
    <w:rsid w:val="00500EBB"/>
    <w:rsid w:val="00511C0E"/>
    <w:rsid w:val="005132D6"/>
    <w:rsid w:val="00514B6D"/>
    <w:rsid w:val="00520F86"/>
    <w:rsid w:val="00527781"/>
    <w:rsid w:val="0053026B"/>
    <w:rsid w:val="005324E9"/>
    <w:rsid w:val="005332E0"/>
    <w:rsid w:val="005351F5"/>
    <w:rsid w:val="00535401"/>
    <w:rsid w:val="005358E0"/>
    <w:rsid w:val="00536CA2"/>
    <w:rsid w:val="005405D2"/>
    <w:rsid w:val="0054257F"/>
    <w:rsid w:val="005435BC"/>
    <w:rsid w:val="00545412"/>
    <w:rsid w:val="005460B0"/>
    <w:rsid w:val="00546B78"/>
    <w:rsid w:val="00551F92"/>
    <w:rsid w:val="005539ED"/>
    <w:rsid w:val="00553D4B"/>
    <w:rsid w:val="0055528A"/>
    <w:rsid w:val="0055597A"/>
    <w:rsid w:val="00565ADC"/>
    <w:rsid w:val="00567F79"/>
    <w:rsid w:val="00574985"/>
    <w:rsid w:val="00580CEE"/>
    <w:rsid w:val="00582B41"/>
    <w:rsid w:val="00584CB3"/>
    <w:rsid w:val="0058548E"/>
    <w:rsid w:val="005867E2"/>
    <w:rsid w:val="00591446"/>
    <w:rsid w:val="00591E77"/>
    <w:rsid w:val="005A1FED"/>
    <w:rsid w:val="005A2010"/>
    <w:rsid w:val="005A2DF9"/>
    <w:rsid w:val="005A6432"/>
    <w:rsid w:val="005B007E"/>
    <w:rsid w:val="005B14DD"/>
    <w:rsid w:val="005B41F8"/>
    <w:rsid w:val="005B772A"/>
    <w:rsid w:val="005C0800"/>
    <w:rsid w:val="005C15B9"/>
    <w:rsid w:val="005C380E"/>
    <w:rsid w:val="005C4840"/>
    <w:rsid w:val="005C74F6"/>
    <w:rsid w:val="005C766E"/>
    <w:rsid w:val="005C7CB6"/>
    <w:rsid w:val="005C7DC2"/>
    <w:rsid w:val="005E0835"/>
    <w:rsid w:val="005E3A00"/>
    <w:rsid w:val="005E4815"/>
    <w:rsid w:val="005E74FC"/>
    <w:rsid w:val="005F083F"/>
    <w:rsid w:val="005F12C7"/>
    <w:rsid w:val="005F3366"/>
    <w:rsid w:val="005F40A3"/>
    <w:rsid w:val="005F4C42"/>
    <w:rsid w:val="005F4FDD"/>
    <w:rsid w:val="005F6D24"/>
    <w:rsid w:val="00601B91"/>
    <w:rsid w:val="00603108"/>
    <w:rsid w:val="00604E22"/>
    <w:rsid w:val="00606CCB"/>
    <w:rsid w:val="0061014F"/>
    <w:rsid w:val="00611DE5"/>
    <w:rsid w:val="006130A3"/>
    <w:rsid w:val="006130A7"/>
    <w:rsid w:val="006138E7"/>
    <w:rsid w:val="00613F65"/>
    <w:rsid w:val="006148ED"/>
    <w:rsid w:val="006178D5"/>
    <w:rsid w:val="00620D55"/>
    <w:rsid w:val="00625635"/>
    <w:rsid w:val="0063254D"/>
    <w:rsid w:val="00632DD5"/>
    <w:rsid w:val="006340F6"/>
    <w:rsid w:val="00637158"/>
    <w:rsid w:val="00641A16"/>
    <w:rsid w:val="006423FF"/>
    <w:rsid w:val="00647326"/>
    <w:rsid w:val="00647F39"/>
    <w:rsid w:val="0065123D"/>
    <w:rsid w:val="00654A98"/>
    <w:rsid w:val="006572D6"/>
    <w:rsid w:val="006614B8"/>
    <w:rsid w:val="00662E66"/>
    <w:rsid w:val="00663DF7"/>
    <w:rsid w:val="00666873"/>
    <w:rsid w:val="00666B05"/>
    <w:rsid w:val="00667DDB"/>
    <w:rsid w:val="006707A6"/>
    <w:rsid w:val="00670C7A"/>
    <w:rsid w:val="00675CDB"/>
    <w:rsid w:val="00675D6F"/>
    <w:rsid w:val="00680AD5"/>
    <w:rsid w:val="006826D7"/>
    <w:rsid w:val="0069202B"/>
    <w:rsid w:val="00694D2F"/>
    <w:rsid w:val="006A7D30"/>
    <w:rsid w:val="006B10A7"/>
    <w:rsid w:val="006C3670"/>
    <w:rsid w:val="006C5295"/>
    <w:rsid w:val="006C6EC2"/>
    <w:rsid w:val="006D1B19"/>
    <w:rsid w:val="006D203F"/>
    <w:rsid w:val="006D51D1"/>
    <w:rsid w:val="006E3D11"/>
    <w:rsid w:val="006E55AD"/>
    <w:rsid w:val="006E5BA5"/>
    <w:rsid w:val="006E738E"/>
    <w:rsid w:val="006F2AD8"/>
    <w:rsid w:val="006F5DC6"/>
    <w:rsid w:val="00700BDF"/>
    <w:rsid w:val="00703253"/>
    <w:rsid w:val="007052A3"/>
    <w:rsid w:val="007060E2"/>
    <w:rsid w:val="00716829"/>
    <w:rsid w:val="00717FA2"/>
    <w:rsid w:val="0073121F"/>
    <w:rsid w:val="00735644"/>
    <w:rsid w:val="0073715E"/>
    <w:rsid w:val="007417CE"/>
    <w:rsid w:val="00741FE1"/>
    <w:rsid w:val="007434BF"/>
    <w:rsid w:val="0074357F"/>
    <w:rsid w:val="00746F13"/>
    <w:rsid w:val="00754110"/>
    <w:rsid w:val="007576F8"/>
    <w:rsid w:val="00765026"/>
    <w:rsid w:val="007653F8"/>
    <w:rsid w:val="00766408"/>
    <w:rsid w:val="007703CA"/>
    <w:rsid w:val="007705F0"/>
    <w:rsid w:val="00772B5A"/>
    <w:rsid w:val="00772F14"/>
    <w:rsid w:val="00777EAD"/>
    <w:rsid w:val="00780D74"/>
    <w:rsid w:val="00783907"/>
    <w:rsid w:val="00794A89"/>
    <w:rsid w:val="00795AA3"/>
    <w:rsid w:val="007A1B24"/>
    <w:rsid w:val="007A3CF1"/>
    <w:rsid w:val="007A596E"/>
    <w:rsid w:val="007A7BCF"/>
    <w:rsid w:val="007B1AD6"/>
    <w:rsid w:val="007B7A74"/>
    <w:rsid w:val="007C000F"/>
    <w:rsid w:val="007C1724"/>
    <w:rsid w:val="007C1B83"/>
    <w:rsid w:val="007C26A8"/>
    <w:rsid w:val="007C4134"/>
    <w:rsid w:val="007D28F7"/>
    <w:rsid w:val="007D30A8"/>
    <w:rsid w:val="007D3F28"/>
    <w:rsid w:val="007D40E0"/>
    <w:rsid w:val="007D59EC"/>
    <w:rsid w:val="007E3579"/>
    <w:rsid w:val="007F04E1"/>
    <w:rsid w:val="007F08AE"/>
    <w:rsid w:val="007F21CF"/>
    <w:rsid w:val="007F266B"/>
    <w:rsid w:val="007F30CF"/>
    <w:rsid w:val="007F54C6"/>
    <w:rsid w:val="007F7DB9"/>
    <w:rsid w:val="008011BF"/>
    <w:rsid w:val="008125DF"/>
    <w:rsid w:val="00814236"/>
    <w:rsid w:val="00817CE4"/>
    <w:rsid w:val="00820142"/>
    <w:rsid w:val="0082245E"/>
    <w:rsid w:val="0082298B"/>
    <w:rsid w:val="00824752"/>
    <w:rsid w:val="00824896"/>
    <w:rsid w:val="00834802"/>
    <w:rsid w:val="00845B84"/>
    <w:rsid w:val="00847175"/>
    <w:rsid w:val="0085041C"/>
    <w:rsid w:val="008504F5"/>
    <w:rsid w:val="008506E3"/>
    <w:rsid w:val="008518C1"/>
    <w:rsid w:val="0085499E"/>
    <w:rsid w:val="00857DB3"/>
    <w:rsid w:val="00862768"/>
    <w:rsid w:val="008648F7"/>
    <w:rsid w:val="00865B9F"/>
    <w:rsid w:val="00866B98"/>
    <w:rsid w:val="00866BB7"/>
    <w:rsid w:val="00873EF6"/>
    <w:rsid w:val="00877856"/>
    <w:rsid w:val="00877F4C"/>
    <w:rsid w:val="00881A66"/>
    <w:rsid w:val="00881CBE"/>
    <w:rsid w:val="00881F42"/>
    <w:rsid w:val="00886C10"/>
    <w:rsid w:val="00890326"/>
    <w:rsid w:val="00891D5A"/>
    <w:rsid w:val="008926EA"/>
    <w:rsid w:val="0089514A"/>
    <w:rsid w:val="00895179"/>
    <w:rsid w:val="00895244"/>
    <w:rsid w:val="008967C5"/>
    <w:rsid w:val="00896AF4"/>
    <w:rsid w:val="008A0D91"/>
    <w:rsid w:val="008A1677"/>
    <w:rsid w:val="008A2440"/>
    <w:rsid w:val="008A30A2"/>
    <w:rsid w:val="008A6493"/>
    <w:rsid w:val="008A6654"/>
    <w:rsid w:val="008A7ADE"/>
    <w:rsid w:val="008B0693"/>
    <w:rsid w:val="008B40E9"/>
    <w:rsid w:val="008B56CA"/>
    <w:rsid w:val="008C255F"/>
    <w:rsid w:val="008C5332"/>
    <w:rsid w:val="008D1591"/>
    <w:rsid w:val="008D2CC7"/>
    <w:rsid w:val="008D3A70"/>
    <w:rsid w:val="008D6D4E"/>
    <w:rsid w:val="008E0468"/>
    <w:rsid w:val="008E43AB"/>
    <w:rsid w:val="008E5B69"/>
    <w:rsid w:val="008F5D56"/>
    <w:rsid w:val="00902433"/>
    <w:rsid w:val="00903997"/>
    <w:rsid w:val="00903BD4"/>
    <w:rsid w:val="00910636"/>
    <w:rsid w:val="0091102C"/>
    <w:rsid w:val="00912C29"/>
    <w:rsid w:val="00914DD2"/>
    <w:rsid w:val="00916680"/>
    <w:rsid w:val="00924D04"/>
    <w:rsid w:val="00926A4C"/>
    <w:rsid w:val="00934C1C"/>
    <w:rsid w:val="009379B0"/>
    <w:rsid w:val="00940F27"/>
    <w:rsid w:val="0094709C"/>
    <w:rsid w:val="0095352C"/>
    <w:rsid w:val="00955A62"/>
    <w:rsid w:val="009561E1"/>
    <w:rsid w:val="009565A0"/>
    <w:rsid w:val="00956C59"/>
    <w:rsid w:val="00964927"/>
    <w:rsid w:val="00964EA5"/>
    <w:rsid w:val="009654CA"/>
    <w:rsid w:val="009678FF"/>
    <w:rsid w:val="009707E8"/>
    <w:rsid w:val="00971E61"/>
    <w:rsid w:val="009773A4"/>
    <w:rsid w:val="00977D98"/>
    <w:rsid w:val="00982211"/>
    <w:rsid w:val="00983711"/>
    <w:rsid w:val="00985C91"/>
    <w:rsid w:val="00985FB3"/>
    <w:rsid w:val="009872AB"/>
    <w:rsid w:val="0099257D"/>
    <w:rsid w:val="00996688"/>
    <w:rsid w:val="009A0CA6"/>
    <w:rsid w:val="009A318B"/>
    <w:rsid w:val="009A6DB5"/>
    <w:rsid w:val="009B333B"/>
    <w:rsid w:val="009B3747"/>
    <w:rsid w:val="009B603E"/>
    <w:rsid w:val="009C0977"/>
    <w:rsid w:val="009C3911"/>
    <w:rsid w:val="009C6F65"/>
    <w:rsid w:val="009D0D3E"/>
    <w:rsid w:val="009D3216"/>
    <w:rsid w:val="009D42CE"/>
    <w:rsid w:val="009D72FC"/>
    <w:rsid w:val="009E2B12"/>
    <w:rsid w:val="009E4AD8"/>
    <w:rsid w:val="009E662F"/>
    <w:rsid w:val="009E6F01"/>
    <w:rsid w:val="009F1967"/>
    <w:rsid w:val="009F1EDF"/>
    <w:rsid w:val="009F277A"/>
    <w:rsid w:val="009F7509"/>
    <w:rsid w:val="00A00B86"/>
    <w:rsid w:val="00A01F9F"/>
    <w:rsid w:val="00A07845"/>
    <w:rsid w:val="00A15C4A"/>
    <w:rsid w:val="00A23F7D"/>
    <w:rsid w:val="00A270C0"/>
    <w:rsid w:val="00A33518"/>
    <w:rsid w:val="00A33730"/>
    <w:rsid w:val="00A43441"/>
    <w:rsid w:val="00A546BB"/>
    <w:rsid w:val="00A574F1"/>
    <w:rsid w:val="00A62673"/>
    <w:rsid w:val="00A633E1"/>
    <w:rsid w:val="00A634BD"/>
    <w:rsid w:val="00A64AF5"/>
    <w:rsid w:val="00A70D39"/>
    <w:rsid w:val="00A749F0"/>
    <w:rsid w:val="00A755BC"/>
    <w:rsid w:val="00A7599B"/>
    <w:rsid w:val="00A77B8B"/>
    <w:rsid w:val="00A77C8F"/>
    <w:rsid w:val="00A8300A"/>
    <w:rsid w:val="00A87438"/>
    <w:rsid w:val="00A87F90"/>
    <w:rsid w:val="00A91198"/>
    <w:rsid w:val="00A936C2"/>
    <w:rsid w:val="00A94E6D"/>
    <w:rsid w:val="00AA3D8D"/>
    <w:rsid w:val="00AB297E"/>
    <w:rsid w:val="00AB4775"/>
    <w:rsid w:val="00AB5681"/>
    <w:rsid w:val="00AB718D"/>
    <w:rsid w:val="00AC4BF1"/>
    <w:rsid w:val="00AC59CC"/>
    <w:rsid w:val="00AC5E5E"/>
    <w:rsid w:val="00AC70EA"/>
    <w:rsid w:val="00AD10BF"/>
    <w:rsid w:val="00AD5148"/>
    <w:rsid w:val="00AD574A"/>
    <w:rsid w:val="00AD64A8"/>
    <w:rsid w:val="00AD6A71"/>
    <w:rsid w:val="00AE1491"/>
    <w:rsid w:val="00AE1591"/>
    <w:rsid w:val="00AE48F7"/>
    <w:rsid w:val="00AE6411"/>
    <w:rsid w:val="00AF2062"/>
    <w:rsid w:val="00AF42E3"/>
    <w:rsid w:val="00AF4A82"/>
    <w:rsid w:val="00B012C1"/>
    <w:rsid w:val="00B04024"/>
    <w:rsid w:val="00B13EC1"/>
    <w:rsid w:val="00B1765D"/>
    <w:rsid w:val="00B21A1F"/>
    <w:rsid w:val="00B21D12"/>
    <w:rsid w:val="00B30CFF"/>
    <w:rsid w:val="00B34533"/>
    <w:rsid w:val="00B35592"/>
    <w:rsid w:val="00B439C5"/>
    <w:rsid w:val="00B51753"/>
    <w:rsid w:val="00B52226"/>
    <w:rsid w:val="00B53AE0"/>
    <w:rsid w:val="00B54B81"/>
    <w:rsid w:val="00B55B70"/>
    <w:rsid w:val="00B5646A"/>
    <w:rsid w:val="00B564D1"/>
    <w:rsid w:val="00B56B6B"/>
    <w:rsid w:val="00B5709D"/>
    <w:rsid w:val="00B5765B"/>
    <w:rsid w:val="00B57866"/>
    <w:rsid w:val="00B6052E"/>
    <w:rsid w:val="00B62E60"/>
    <w:rsid w:val="00B711C4"/>
    <w:rsid w:val="00B738E1"/>
    <w:rsid w:val="00B74425"/>
    <w:rsid w:val="00B746C6"/>
    <w:rsid w:val="00B7475E"/>
    <w:rsid w:val="00B759E1"/>
    <w:rsid w:val="00B766D4"/>
    <w:rsid w:val="00B8153E"/>
    <w:rsid w:val="00B81820"/>
    <w:rsid w:val="00B81E19"/>
    <w:rsid w:val="00B81F35"/>
    <w:rsid w:val="00B86F30"/>
    <w:rsid w:val="00B9245F"/>
    <w:rsid w:val="00B97EFA"/>
    <w:rsid w:val="00BA1BAB"/>
    <w:rsid w:val="00BA265F"/>
    <w:rsid w:val="00BA774D"/>
    <w:rsid w:val="00BB43D4"/>
    <w:rsid w:val="00BC0E1D"/>
    <w:rsid w:val="00BC5C3F"/>
    <w:rsid w:val="00BD0863"/>
    <w:rsid w:val="00BD1BCD"/>
    <w:rsid w:val="00BD2E9A"/>
    <w:rsid w:val="00BD3679"/>
    <w:rsid w:val="00BD5C58"/>
    <w:rsid w:val="00BD6213"/>
    <w:rsid w:val="00BD76B1"/>
    <w:rsid w:val="00BD775E"/>
    <w:rsid w:val="00BE0E26"/>
    <w:rsid w:val="00BE2EA7"/>
    <w:rsid w:val="00BE43C5"/>
    <w:rsid w:val="00BE6995"/>
    <w:rsid w:val="00BE73D5"/>
    <w:rsid w:val="00BE7FD6"/>
    <w:rsid w:val="00BF33EA"/>
    <w:rsid w:val="00BF3C47"/>
    <w:rsid w:val="00BF67C1"/>
    <w:rsid w:val="00C00D72"/>
    <w:rsid w:val="00C01ED7"/>
    <w:rsid w:val="00C0504A"/>
    <w:rsid w:val="00C05E76"/>
    <w:rsid w:val="00C14A35"/>
    <w:rsid w:val="00C212BF"/>
    <w:rsid w:val="00C213CC"/>
    <w:rsid w:val="00C219B7"/>
    <w:rsid w:val="00C23A7C"/>
    <w:rsid w:val="00C23C9E"/>
    <w:rsid w:val="00C2636F"/>
    <w:rsid w:val="00C376CF"/>
    <w:rsid w:val="00C434F7"/>
    <w:rsid w:val="00C441DD"/>
    <w:rsid w:val="00C44575"/>
    <w:rsid w:val="00C51453"/>
    <w:rsid w:val="00C515D0"/>
    <w:rsid w:val="00C531E3"/>
    <w:rsid w:val="00C5483C"/>
    <w:rsid w:val="00C63655"/>
    <w:rsid w:val="00C6366D"/>
    <w:rsid w:val="00C639E2"/>
    <w:rsid w:val="00C6417C"/>
    <w:rsid w:val="00C66B46"/>
    <w:rsid w:val="00C727FF"/>
    <w:rsid w:val="00C73C2B"/>
    <w:rsid w:val="00C755C0"/>
    <w:rsid w:val="00C7628F"/>
    <w:rsid w:val="00C763A0"/>
    <w:rsid w:val="00C7726C"/>
    <w:rsid w:val="00C83271"/>
    <w:rsid w:val="00C94F7E"/>
    <w:rsid w:val="00CA6132"/>
    <w:rsid w:val="00CA7C06"/>
    <w:rsid w:val="00CA7E0D"/>
    <w:rsid w:val="00CB0360"/>
    <w:rsid w:val="00CB1C96"/>
    <w:rsid w:val="00CB3F40"/>
    <w:rsid w:val="00CC743A"/>
    <w:rsid w:val="00CD1D06"/>
    <w:rsid w:val="00CD1D14"/>
    <w:rsid w:val="00CD42C9"/>
    <w:rsid w:val="00CD4691"/>
    <w:rsid w:val="00CD5645"/>
    <w:rsid w:val="00CD7B98"/>
    <w:rsid w:val="00CE255F"/>
    <w:rsid w:val="00D0424D"/>
    <w:rsid w:val="00D059CC"/>
    <w:rsid w:val="00D10D45"/>
    <w:rsid w:val="00D12875"/>
    <w:rsid w:val="00D14EBE"/>
    <w:rsid w:val="00D21CC4"/>
    <w:rsid w:val="00D22FDE"/>
    <w:rsid w:val="00D23465"/>
    <w:rsid w:val="00D23F36"/>
    <w:rsid w:val="00D26AC4"/>
    <w:rsid w:val="00D31F92"/>
    <w:rsid w:val="00D322D3"/>
    <w:rsid w:val="00D3394F"/>
    <w:rsid w:val="00D34564"/>
    <w:rsid w:val="00D34571"/>
    <w:rsid w:val="00D348BA"/>
    <w:rsid w:val="00D34E44"/>
    <w:rsid w:val="00D3698C"/>
    <w:rsid w:val="00D36C6C"/>
    <w:rsid w:val="00D4148C"/>
    <w:rsid w:val="00D45C5A"/>
    <w:rsid w:val="00D4692C"/>
    <w:rsid w:val="00D5072E"/>
    <w:rsid w:val="00D523F7"/>
    <w:rsid w:val="00D52FC9"/>
    <w:rsid w:val="00D55BDD"/>
    <w:rsid w:val="00D61F95"/>
    <w:rsid w:val="00D67800"/>
    <w:rsid w:val="00D6782F"/>
    <w:rsid w:val="00D70345"/>
    <w:rsid w:val="00D70E32"/>
    <w:rsid w:val="00D7143C"/>
    <w:rsid w:val="00D73A5F"/>
    <w:rsid w:val="00D7447F"/>
    <w:rsid w:val="00D7487A"/>
    <w:rsid w:val="00D74D04"/>
    <w:rsid w:val="00D76A0C"/>
    <w:rsid w:val="00D854DF"/>
    <w:rsid w:val="00D85A1B"/>
    <w:rsid w:val="00D8629C"/>
    <w:rsid w:val="00D86DE0"/>
    <w:rsid w:val="00D92F71"/>
    <w:rsid w:val="00D94C2E"/>
    <w:rsid w:val="00DA04B1"/>
    <w:rsid w:val="00DA0C25"/>
    <w:rsid w:val="00DA1C5D"/>
    <w:rsid w:val="00DA28C9"/>
    <w:rsid w:val="00DB0294"/>
    <w:rsid w:val="00DB038B"/>
    <w:rsid w:val="00DB0E8E"/>
    <w:rsid w:val="00DC1521"/>
    <w:rsid w:val="00DC195C"/>
    <w:rsid w:val="00DC5B94"/>
    <w:rsid w:val="00DC6C66"/>
    <w:rsid w:val="00DD19FD"/>
    <w:rsid w:val="00DE226E"/>
    <w:rsid w:val="00DE3E60"/>
    <w:rsid w:val="00DE7075"/>
    <w:rsid w:val="00DE7148"/>
    <w:rsid w:val="00E033A0"/>
    <w:rsid w:val="00E14D26"/>
    <w:rsid w:val="00E15436"/>
    <w:rsid w:val="00E15CC9"/>
    <w:rsid w:val="00E17791"/>
    <w:rsid w:val="00E17984"/>
    <w:rsid w:val="00E21349"/>
    <w:rsid w:val="00E261EA"/>
    <w:rsid w:val="00E2664C"/>
    <w:rsid w:val="00E30365"/>
    <w:rsid w:val="00E3128C"/>
    <w:rsid w:val="00E33E02"/>
    <w:rsid w:val="00E379E2"/>
    <w:rsid w:val="00E40B4F"/>
    <w:rsid w:val="00E415F7"/>
    <w:rsid w:val="00E43926"/>
    <w:rsid w:val="00E43C21"/>
    <w:rsid w:val="00E43E7B"/>
    <w:rsid w:val="00E464CA"/>
    <w:rsid w:val="00E52B2F"/>
    <w:rsid w:val="00E55AC6"/>
    <w:rsid w:val="00E56076"/>
    <w:rsid w:val="00E57B51"/>
    <w:rsid w:val="00E677CB"/>
    <w:rsid w:val="00E71003"/>
    <w:rsid w:val="00E71B3C"/>
    <w:rsid w:val="00E7355C"/>
    <w:rsid w:val="00E77FF8"/>
    <w:rsid w:val="00E80097"/>
    <w:rsid w:val="00E824A9"/>
    <w:rsid w:val="00E83D3C"/>
    <w:rsid w:val="00E845E2"/>
    <w:rsid w:val="00E87F6C"/>
    <w:rsid w:val="00EA55FA"/>
    <w:rsid w:val="00EB08D6"/>
    <w:rsid w:val="00EB2100"/>
    <w:rsid w:val="00EC1175"/>
    <w:rsid w:val="00EC12B8"/>
    <w:rsid w:val="00EC6527"/>
    <w:rsid w:val="00ED051C"/>
    <w:rsid w:val="00ED09F0"/>
    <w:rsid w:val="00ED593E"/>
    <w:rsid w:val="00EE1B07"/>
    <w:rsid w:val="00EE3D97"/>
    <w:rsid w:val="00EE5D3B"/>
    <w:rsid w:val="00EE62A2"/>
    <w:rsid w:val="00EE732E"/>
    <w:rsid w:val="00EF0F45"/>
    <w:rsid w:val="00EF7574"/>
    <w:rsid w:val="00F20159"/>
    <w:rsid w:val="00F207C2"/>
    <w:rsid w:val="00F20980"/>
    <w:rsid w:val="00F26528"/>
    <w:rsid w:val="00F267AC"/>
    <w:rsid w:val="00F277DC"/>
    <w:rsid w:val="00F30C06"/>
    <w:rsid w:val="00F33623"/>
    <w:rsid w:val="00F34638"/>
    <w:rsid w:val="00F35B4D"/>
    <w:rsid w:val="00F40A8E"/>
    <w:rsid w:val="00F41BDB"/>
    <w:rsid w:val="00F46ADC"/>
    <w:rsid w:val="00F5278C"/>
    <w:rsid w:val="00F537A2"/>
    <w:rsid w:val="00F53E3C"/>
    <w:rsid w:val="00F54901"/>
    <w:rsid w:val="00F549CD"/>
    <w:rsid w:val="00F551D7"/>
    <w:rsid w:val="00F560E1"/>
    <w:rsid w:val="00F56C85"/>
    <w:rsid w:val="00F57642"/>
    <w:rsid w:val="00F602CB"/>
    <w:rsid w:val="00F60BB3"/>
    <w:rsid w:val="00F60F4F"/>
    <w:rsid w:val="00F6239A"/>
    <w:rsid w:val="00F625BF"/>
    <w:rsid w:val="00F81480"/>
    <w:rsid w:val="00F81FFB"/>
    <w:rsid w:val="00F8397C"/>
    <w:rsid w:val="00F84508"/>
    <w:rsid w:val="00F84DEE"/>
    <w:rsid w:val="00F85991"/>
    <w:rsid w:val="00F86BA1"/>
    <w:rsid w:val="00F86E48"/>
    <w:rsid w:val="00F90311"/>
    <w:rsid w:val="00F90A5F"/>
    <w:rsid w:val="00F91098"/>
    <w:rsid w:val="00F92041"/>
    <w:rsid w:val="00F93636"/>
    <w:rsid w:val="00FA328D"/>
    <w:rsid w:val="00FB0C16"/>
    <w:rsid w:val="00FC1559"/>
    <w:rsid w:val="00FC4063"/>
    <w:rsid w:val="00FC4F07"/>
    <w:rsid w:val="00FD523B"/>
    <w:rsid w:val="00FD52C0"/>
    <w:rsid w:val="00FD536D"/>
    <w:rsid w:val="00FE0FAF"/>
    <w:rsid w:val="00FE1986"/>
    <w:rsid w:val="00FE22FC"/>
    <w:rsid w:val="00FE29B3"/>
    <w:rsid w:val="00FE5B7C"/>
    <w:rsid w:val="00FE5E97"/>
    <w:rsid w:val="00FE652B"/>
    <w:rsid w:val="00FF3B65"/>
    <w:rsid w:val="00FF4C42"/>
    <w:rsid w:val="00FF5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05BE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992"/>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C050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7D3F2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5B772A"/>
    <w:pPr>
      <w:numPr>
        <w:numId w:val="8"/>
      </w:numPr>
      <w:spacing w:before="240" w:after="180"/>
      <w:outlineLvl w:val="3"/>
    </w:pPr>
    <w:rPr>
      <w:rFonts w:ascii="Times New Roman PS" w:hAnsi="Times New Roman PS" w:cs="Times New Roman PS"/>
      <w:bCs/>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6366D"/>
    <w:pPr>
      <w:widowControl/>
      <w:autoSpaceDE/>
      <w:autoSpaceDN/>
      <w:adjustRightInd/>
    </w:pPr>
    <w:rPr>
      <w:rFonts w:ascii="Tahoma" w:hAnsi="Tahoma" w:cs="Tahoma"/>
      <w:sz w:val="16"/>
      <w:szCs w:val="16"/>
    </w:rPr>
  </w:style>
  <w:style w:type="character" w:styleId="FootnoteReference">
    <w:name w:val="footnote reference"/>
    <w:semiHidden/>
    <w:rsid w:val="00226992"/>
  </w:style>
  <w:style w:type="paragraph" w:styleId="Header">
    <w:name w:val="header"/>
    <w:basedOn w:val="Normal"/>
    <w:link w:val="HeaderChar"/>
    <w:uiPriority w:val="99"/>
    <w:rsid w:val="00B746C6"/>
    <w:pPr>
      <w:tabs>
        <w:tab w:val="center" w:pos="4320"/>
        <w:tab w:val="right" w:pos="8640"/>
      </w:tabs>
    </w:pPr>
  </w:style>
  <w:style w:type="paragraph" w:styleId="Footer">
    <w:name w:val="footer"/>
    <w:basedOn w:val="Normal"/>
    <w:link w:val="FooterChar"/>
    <w:uiPriority w:val="99"/>
    <w:rsid w:val="00B746C6"/>
    <w:pPr>
      <w:tabs>
        <w:tab w:val="center" w:pos="4320"/>
        <w:tab w:val="right" w:pos="8640"/>
      </w:tabs>
    </w:pPr>
  </w:style>
  <w:style w:type="character" w:styleId="PageNumber">
    <w:name w:val="page number"/>
    <w:basedOn w:val="DefaultParagraphFont"/>
    <w:rsid w:val="00B746C6"/>
  </w:style>
  <w:style w:type="character" w:styleId="Hyperlink">
    <w:name w:val="Hyperlink"/>
    <w:basedOn w:val="DefaultParagraphFont"/>
    <w:rsid w:val="00232A06"/>
    <w:rPr>
      <w:color w:val="0000FF"/>
      <w:u w:val="single"/>
    </w:rPr>
  </w:style>
  <w:style w:type="character" w:styleId="CommentReference">
    <w:name w:val="annotation reference"/>
    <w:basedOn w:val="DefaultParagraphFont"/>
    <w:uiPriority w:val="99"/>
    <w:rsid w:val="005C766E"/>
    <w:rPr>
      <w:sz w:val="16"/>
      <w:szCs w:val="16"/>
    </w:rPr>
  </w:style>
  <w:style w:type="paragraph" w:styleId="CommentText">
    <w:name w:val="annotation text"/>
    <w:basedOn w:val="Normal"/>
    <w:link w:val="CommentTextChar"/>
    <w:uiPriority w:val="99"/>
    <w:rsid w:val="005C766E"/>
    <w:rPr>
      <w:sz w:val="20"/>
      <w:szCs w:val="20"/>
    </w:rPr>
  </w:style>
  <w:style w:type="character" w:customStyle="1" w:styleId="CommentTextChar">
    <w:name w:val="Comment Text Char"/>
    <w:basedOn w:val="DefaultParagraphFont"/>
    <w:link w:val="CommentText"/>
    <w:uiPriority w:val="99"/>
    <w:rsid w:val="005C766E"/>
    <w:rPr>
      <w:rFonts w:ascii="Courier" w:hAnsi="Courier"/>
    </w:rPr>
  </w:style>
  <w:style w:type="paragraph" w:styleId="CommentSubject">
    <w:name w:val="annotation subject"/>
    <w:basedOn w:val="CommentText"/>
    <w:next w:val="CommentText"/>
    <w:link w:val="CommentSubjectChar"/>
    <w:rsid w:val="005C766E"/>
    <w:rPr>
      <w:b/>
      <w:bCs/>
    </w:rPr>
  </w:style>
  <w:style w:type="character" w:customStyle="1" w:styleId="CommentSubjectChar">
    <w:name w:val="Comment Subject Char"/>
    <w:basedOn w:val="CommentTextChar"/>
    <w:link w:val="CommentSubject"/>
    <w:rsid w:val="005C766E"/>
    <w:rPr>
      <w:rFonts w:ascii="Courier" w:hAnsi="Courier"/>
      <w:b/>
      <w:bCs/>
    </w:rPr>
  </w:style>
  <w:style w:type="paragraph" w:styleId="PlainText">
    <w:name w:val="Plain Text"/>
    <w:basedOn w:val="Normal"/>
    <w:link w:val="PlainTextChar"/>
    <w:rsid w:val="00E415F7"/>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E415F7"/>
    <w:rPr>
      <w:rFonts w:ascii="Courier New" w:hAnsi="Courier New" w:cs="Courier New"/>
    </w:rPr>
  </w:style>
  <w:style w:type="table" w:styleId="TableGrid">
    <w:name w:val="Table Grid"/>
    <w:basedOn w:val="TableNormal"/>
    <w:uiPriority w:val="59"/>
    <w:rsid w:val="00E41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1491"/>
    <w:rPr>
      <w:rFonts w:ascii="Courier" w:hAnsi="Courier"/>
      <w:sz w:val="24"/>
      <w:szCs w:val="24"/>
    </w:rPr>
  </w:style>
  <w:style w:type="paragraph" w:styleId="ListParagraph">
    <w:name w:val="List Paragraph"/>
    <w:basedOn w:val="Normal"/>
    <w:uiPriority w:val="34"/>
    <w:qFormat/>
    <w:rsid w:val="00D7143C"/>
    <w:pPr>
      <w:ind w:left="720"/>
      <w:contextualSpacing/>
    </w:pPr>
  </w:style>
  <w:style w:type="character" w:customStyle="1" w:styleId="Heading1Char">
    <w:name w:val="Heading 1 Char"/>
    <w:basedOn w:val="DefaultParagraphFont"/>
    <w:link w:val="Heading1"/>
    <w:rsid w:val="00C0504A"/>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rsid w:val="00A87F90"/>
    <w:rPr>
      <w:sz w:val="20"/>
      <w:szCs w:val="20"/>
    </w:rPr>
  </w:style>
  <w:style w:type="character" w:customStyle="1" w:styleId="FootnoteTextChar">
    <w:name w:val="Footnote Text Char"/>
    <w:basedOn w:val="DefaultParagraphFont"/>
    <w:link w:val="FootnoteText"/>
    <w:rsid w:val="00A87F90"/>
    <w:rPr>
      <w:rFonts w:ascii="Courier" w:hAnsi="Courier"/>
    </w:rPr>
  </w:style>
  <w:style w:type="character" w:customStyle="1" w:styleId="Heading4Char">
    <w:name w:val="Heading 4 Char"/>
    <w:basedOn w:val="DefaultParagraphFont"/>
    <w:link w:val="Heading4"/>
    <w:rsid w:val="005B772A"/>
    <w:rPr>
      <w:rFonts w:ascii="Times New Roman PS" w:hAnsi="Times New Roman PS" w:cs="Times New Roman PS"/>
      <w:bCs/>
      <w:i/>
      <w:sz w:val="23"/>
      <w:szCs w:val="23"/>
    </w:rPr>
  </w:style>
  <w:style w:type="character" w:styleId="FollowedHyperlink">
    <w:name w:val="FollowedHyperlink"/>
    <w:basedOn w:val="DefaultParagraphFont"/>
    <w:rsid w:val="007F21CF"/>
    <w:rPr>
      <w:color w:val="800080" w:themeColor="followedHyperlink"/>
      <w:u w:val="single"/>
    </w:rPr>
  </w:style>
  <w:style w:type="character" w:customStyle="1" w:styleId="FooterChar">
    <w:name w:val="Footer Char"/>
    <w:basedOn w:val="DefaultParagraphFont"/>
    <w:link w:val="Footer"/>
    <w:uiPriority w:val="99"/>
    <w:rsid w:val="007A1B24"/>
    <w:rPr>
      <w:rFonts w:ascii="Courier" w:hAnsi="Courier"/>
      <w:sz w:val="24"/>
      <w:szCs w:val="24"/>
    </w:rPr>
  </w:style>
  <w:style w:type="paragraph" w:styleId="HTMLPreformatted">
    <w:name w:val="HTML Preformatted"/>
    <w:basedOn w:val="Normal"/>
    <w:link w:val="HTMLPreformattedChar"/>
    <w:rsid w:val="00D45C5A"/>
    <w:rPr>
      <w:rFonts w:ascii="Consolas" w:hAnsi="Consolas"/>
      <w:sz w:val="20"/>
      <w:szCs w:val="20"/>
    </w:rPr>
  </w:style>
  <w:style w:type="character" w:customStyle="1" w:styleId="HTMLPreformattedChar">
    <w:name w:val="HTML Preformatted Char"/>
    <w:basedOn w:val="DefaultParagraphFont"/>
    <w:link w:val="HTMLPreformatted"/>
    <w:rsid w:val="00D45C5A"/>
    <w:rPr>
      <w:rFonts w:ascii="Consolas" w:hAnsi="Consolas"/>
    </w:rPr>
  </w:style>
  <w:style w:type="paragraph" w:customStyle="1" w:styleId="Default">
    <w:name w:val="Default"/>
    <w:rsid w:val="00F56C85"/>
    <w:pPr>
      <w:autoSpaceDE w:val="0"/>
      <w:autoSpaceDN w:val="0"/>
      <w:adjustRightInd w:val="0"/>
    </w:pPr>
    <w:rPr>
      <w:rFonts w:ascii="Calibri" w:eastAsiaTheme="minorHAnsi" w:hAnsi="Calibri" w:cs="Calibri"/>
      <w:color w:val="000000"/>
      <w:sz w:val="24"/>
      <w:szCs w:val="24"/>
    </w:rPr>
  </w:style>
  <w:style w:type="character" w:customStyle="1" w:styleId="HeaderChar">
    <w:name w:val="Header Char"/>
    <w:basedOn w:val="DefaultParagraphFont"/>
    <w:link w:val="Header"/>
    <w:uiPriority w:val="99"/>
    <w:rsid w:val="007C26A8"/>
    <w:rPr>
      <w:rFonts w:ascii="Courier" w:hAnsi="Courier"/>
      <w:sz w:val="24"/>
      <w:szCs w:val="24"/>
    </w:rPr>
  </w:style>
  <w:style w:type="paragraph" w:customStyle="1" w:styleId="Level1">
    <w:name w:val="Level 1"/>
    <w:rsid w:val="007705F0"/>
    <w:pPr>
      <w:widowControl w:val="0"/>
      <w:autoSpaceDE w:val="0"/>
      <w:autoSpaceDN w:val="0"/>
      <w:adjustRightInd w:val="0"/>
      <w:ind w:left="720"/>
      <w:jc w:val="both"/>
    </w:pPr>
    <w:rPr>
      <w:rFonts w:ascii="Courier 10cpi" w:hAnsi="Courier 10cpi"/>
      <w:sz w:val="24"/>
      <w:szCs w:val="24"/>
    </w:rPr>
  </w:style>
  <w:style w:type="character" w:customStyle="1" w:styleId="Heading3Char">
    <w:name w:val="Heading 3 Char"/>
    <w:basedOn w:val="DefaultParagraphFont"/>
    <w:link w:val="Heading3"/>
    <w:semiHidden/>
    <w:rsid w:val="007D3F28"/>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992"/>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C050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7D3F2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5B772A"/>
    <w:pPr>
      <w:numPr>
        <w:numId w:val="8"/>
      </w:numPr>
      <w:spacing w:before="240" w:after="180"/>
      <w:outlineLvl w:val="3"/>
    </w:pPr>
    <w:rPr>
      <w:rFonts w:ascii="Times New Roman PS" w:hAnsi="Times New Roman PS" w:cs="Times New Roman PS"/>
      <w:bCs/>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6366D"/>
    <w:pPr>
      <w:widowControl/>
      <w:autoSpaceDE/>
      <w:autoSpaceDN/>
      <w:adjustRightInd/>
    </w:pPr>
    <w:rPr>
      <w:rFonts w:ascii="Tahoma" w:hAnsi="Tahoma" w:cs="Tahoma"/>
      <w:sz w:val="16"/>
      <w:szCs w:val="16"/>
    </w:rPr>
  </w:style>
  <w:style w:type="character" w:styleId="FootnoteReference">
    <w:name w:val="footnote reference"/>
    <w:semiHidden/>
    <w:rsid w:val="00226992"/>
  </w:style>
  <w:style w:type="paragraph" w:styleId="Header">
    <w:name w:val="header"/>
    <w:basedOn w:val="Normal"/>
    <w:link w:val="HeaderChar"/>
    <w:uiPriority w:val="99"/>
    <w:rsid w:val="00B746C6"/>
    <w:pPr>
      <w:tabs>
        <w:tab w:val="center" w:pos="4320"/>
        <w:tab w:val="right" w:pos="8640"/>
      </w:tabs>
    </w:pPr>
  </w:style>
  <w:style w:type="paragraph" w:styleId="Footer">
    <w:name w:val="footer"/>
    <w:basedOn w:val="Normal"/>
    <w:link w:val="FooterChar"/>
    <w:uiPriority w:val="99"/>
    <w:rsid w:val="00B746C6"/>
    <w:pPr>
      <w:tabs>
        <w:tab w:val="center" w:pos="4320"/>
        <w:tab w:val="right" w:pos="8640"/>
      </w:tabs>
    </w:pPr>
  </w:style>
  <w:style w:type="character" w:styleId="PageNumber">
    <w:name w:val="page number"/>
    <w:basedOn w:val="DefaultParagraphFont"/>
    <w:rsid w:val="00B746C6"/>
  </w:style>
  <w:style w:type="character" w:styleId="Hyperlink">
    <w:name w:val="Hyperlink"/>
    <w:basedOn w:val="DefaultParagraphFont"/>
    <w:rsid w:val="00232A06"/>
    <w:rPr>
      <w:color w:val="0000FF"/>
      <w:u w:val="single"/>
    </w:rPr>
  </w:style>
  <w:style w:type="character" w:styleId="CommentReference">
    <w:name w:val="annotation reference"/>
    <w:basedOn w:val="DefaultParagraphFont"/>
    <w:uiPriority w:val="99"/>
    <w:rsid w:val="005C766E"/>
    <w:rPr>
      <w:sz w:val="16"/>
      <w:szCs w:val="16"/>
    </w:rPr>
  </w:style>
  <w:style w:type="paragraph" w:styleId="CommentText">
    <w:name w:val="annotation text"/>
    <w:basedOn w:val="Normal"/>
    <w:link w:val="CommentTextChar"/>
    <w:uiPriority w:val="99"/>
    <w:rsid w:val="005C766E"/>
    <w:rPr>
      <w:sz w:val="20"/>
      <w:szCs w:val="20"/>
    </w:rPr>
  </w:style>
  <w:style w:type="character" w:customStyle="1" w:styleId="CommentTextChar">
    <w:name w:val="Comment Text Char"/>
    <w:basedOn w:val="DefaultParagraphFont"/>
    <w:link w:val="CommentText"/>
    <w:uiPriority w:val="99"/>
    <w:rsid w:val="005C766E"/>
    <w:rPr>
      <w:rFonts w:ascii="Courier" w:hAnsi="Courier"/>
    </w:rPr>
  </w:style>
  <w:style w:type="paragraph" w:styleId="CommentSubject">
    <w:name w:val="annotation subject"/>
    <w:basedOn w:val="CommentText"/>
    <w:next w:val="CommentText"/>
    <w:link w:val="CommentSubjectChar"/>
    <w:rsid w:val="005C766E"/>
    <w:rPr>
      <w:b/>
      <w:bCs/>
    </w:rPr>
  </w:style>
  <w:style w:type="character" w:customStyle="1" w:styleId="CommentSubjectChar">
    <w:name w:val="Comment Subject Char"/>
    <w:basedOn w:val="CommentTextChar"/>
    <w:link w:val="CommentSubject"/>
    <w:rsid w:val="005C766E"/>
    <w:rPr>
      <w:rFonts w:ascii="Courier" w:hAnsi="Courier"/>
      <w:b/>
      <w:bCs/>
    </w:rPr>
  </w:style>
  <w:style w:type="paragraph" w:styleId="PlainText">
    <w:name w:val="Plain Text"/>
    <w:basedOn w:val="Normal"/>
    <w:link w:val="PlainTextChar"/>
    <w:rsid w:val="00E415F7"/>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E415F7"/>
    <w:rPr>
      <w:rFonts w:ascii="Courier New" w:hAnsi="Courier New" w:cs="Courier New"/>
    </w:rPr>
  </w:style>
  <w:style w:type="table" w:styleId="TableGrid">
    <w:name w:val="Table Grid"/>
    <w:basedOn w:val="TableNormal"/>
    <w:uiPriority w:val="59"/>
    <w:rsid w:val="00E41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1491"/>
    <w:rPr>
      <w:rFonts w:ascii="Courier" w:hAnsi="Courier"/>
      <w:sz w:val="24"/>
      <w:szCs w:val="24"/>
    </w:rPr>
  </w:style>
  <w:style w:type="paragraph" w:styleId="ListParagraph">
    <w:name w:val="List Paragraph"/>
    <w:basedOn w:val="Normal"/>
    <w:uiPriority w:val="34"/>
    <w:qFormat/>
    <w:rsid w:val="00D7143C"/>
    <w:pPr>
      <w:ind w:left="720"/>
      <w:contextualSpacing/>
    </w:pPr>
  </w:style>
  <w:style w:type="character" w:customStyle="1" w:styleId="Heading1Char">
    <w:name w:val="Heading 1 Char"/>
    <w:basedOn w:val="DefaultParagraphFont"/>
    <w:link w:val="Heading1"/>
    <w:rsid w:val="00C0504A"/>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rsid w:val="00A87F90"/>
    <w:rPr>
      <w:sz w:val="20"/>
      <w:szCs w:val="20"/>
    </w:rPr>
  </w:style>
  <w:style w:type="character" w:customStyle="1" w:styleId="FootnoteTextChar">
    <w:name w:val="Footnote Text Char"/>
    <w:basedOn w:val="DefaultParagraphFont"/>
    <w:link w:val="FootnoteText"/>
    <w:rsid w:val="00A87F90"/>
    <w:rPr>
      <w:rFonts w:ascii="Courier" w:hAnsi="Courier"/>
    </w:rPr>
  </w:style>
  <w:style w:type="character" w:customStyle="1" w:styleId="Heading4Char">
    <w:name w:val="Heading 4 Char"/>
    <w:basedOn w:val="DefaultParagraphFont"/>
    <w:link w:val="Heading4"/>
    <w:rsid w:val="005B772A"/>
    <w:rPr>
      <w:rFonts w:ascii="Times New Roman PS" w:hAnsi="Times New Roman PS" w:cs="Times New Roman PS"/>
      <w:bCs/>
      <w:i/>
      <w:sz w:val="23"/>
      <w:szCs w:val="23"/>
    </w:rPr>
  </w:style>
  <w:style w:type="character" w:styleId="FollowedHyperlink">
    <w:name w:val="FollowedHyperlink"/>
    <w:basedOn w:val="DefaultParagraphFont"/>
    <w:rsid w:val="007F21CF"/>
    <w:rPr>
      <w:color w:val="800080" w:themeColor="followedHyperlink"/>
      <w:u w:val="single"/>
    </w:rPr>
  </w:style>
  <w:style w:type="character" w:customStyle="1" w:styleId="FooterChar">
    <w:name w:val="Footer Char"/>
    <w:basedOn w:val="DefaultParagraphFont"/>
    <w:link w:val="Footer"/>
    <w:uiPriority w:val="99"/>
    <w:rsid w:val="007A1B24"/>
    <w:rPr>
      <w:rFonts w:ascii="Courier" w:hAnsi="Courier"/>
      <w:sz w:val="24"/>
      <w:szCs w:val="24"/>
    </w:rPr>
  </w:style>
  <w:style w:type="paragraph" w:styleId="HTMLPreformatted">
    <w:name w:val="HTML Preformatted"/>
    <w:basedOn w:val="Normal"/>
    <w:link w:val="HTMLPreformattedChar"/>
    <w:rsid w:val="00D45C5A"/>
    <w:rPr>
      <w:rFonts w:ascii="Consolas" w:hAnsi="Consolas"/>
      <w:sz w:val="20"/>
      <w:szCs w:val="20"/>
    </w:rPr>
  </w:style>
  <w:style w:type="character" w:customStyle="1" w:styleId="HTMLPreformattedChar">
    <w:name w:val="HTML Preformatted Char"/>
    <w:basedOn w:val="DefaultParagraphFont"/>
    <w:link w:val="HTMLPreformatted"/>
    <w:rsid w:val="00D45C5A"/>
    <w:rPr>
      <w:rFonts w:ascii="Consolas" w:hAnsi="Consolas"/>
    </w:rPr>
  </w:style>
  <w:style w:type="paragraph" w:customStyle="1" w:styleId="Default">
    <w:name w:val="Default"/>
    <w:rsid w:val="00F56C85"/>
    <w:pPr>
      <w:autoSpaceDE w:val="0"/>
      <w:autoSpaceDN w:val="0"/>
      <w:adjustRightInd w:val="0"/>
    </w:pPr>
    <w:rPr>
      <w:rFonts w:ascii="Calibri" w:eastAsiaTheme="minorHAnsi" w:hAnsi="Calibri" w:cs="Calibri"/>
      <w:color w:val="000000"/>
      <w:sz w:val="24"/>
      <w:szCs w:val="24"/>
    </w:rPr>
  </w:style>
  <w:style w:type="character" w:customStyle="1" w:styleId="HeaderChar">
    <w:name w:val="Header Char"/>
    <w:basedOn w:val="DefaultParagraphFont"/>
    <w:link w:val="Header"/>
    <w:uiPriority w:val="99"/>
    <w:rsid w:val="007C26A8"/>
    <w:rPr>
      <w:rFonts w:ascii="Courier" w:hAnsi="Courier"/>
      <w:sz w:val="24"/>
      <w:szCs w:val="24"/>
    </w:rPr>
  </w:style>
  <w:style w:type="paragraph" w:customStyle="1" w:styleId="Level1">
    <w:name w:val="Level 1"/>
    <w:rsid w:val="007705F0"/>
    <w:pPr>
      <w:widowControl w:val="0"/>
      <w:autoSpaceDE w:val="0"/>
      <w:autoSpaceDN w:val="0"/>
      <w:adjustRightInd w:val="0"/>
      <w:ind w:left="720"/>
      <w:jc w:val="both"/>
    </w:pPr>
    <w:rPr>
      <w:rFonts w:ascii="Courier 10cpi" w:hAnsi="Courier 10cpi"/>
      <w:sz w:val="24"/>
      <w:szCs w:val="24"/>
    </w:rPr>
  </w:style>
  <w:style w:type="character" w:customStyle="1" w:styleId="Heading3Char">
    <w:name w:val="Heading 3 Char"/>
    <w:basedOn w:val="DefaultParagraphFont"/>
    <w:link w:val="Heading3"/>
    <w:semiHidden/>
    <w:rsid w:val="007D3F2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06237">
      <w:bodyDiv w:val="1"/>
      <w:marLeft w:val="0"/>
      <w:marRight w:val="0"/>
      <w:marTop w:val="0"/>
      <w:marBottom w:val="0"/>
      <w:divBdr>
        <w:top w:val="none" w:sz="0" w:space="0" w:color="auto"/>
        <w:left w:val="none" w:sz="0" w:space="0" w:color="auto"/>
        <w:bottom w:val="none" w:sz="0" w:space="0" w:color="auto"/>
        <w:right w:val="none" w:sz="0" w:space="0" w:color="auto"/>
      </w:divBdr>
    </w:div>
    <w:div w:id="361438328">
      <w:bodyDiv w:val="1"/>
      <w:marLeft w:val="0"/>
      <w:marRight w:val="0"/>
      <w:marTop w:val="0"/>
      <w:marBottom w:val="0"/>
      <w:divBdr>
        <w:top w:val="none" w:sz="0" w:space="0" w:color="auto"/>
        <w:left w:val="none" w:sz="0" w:space="0" w:color="auto"/>
        <w:bottom w:val="none" w:sz="0" w:space="0" w:color="auto"/>
        <w:right w:val="none" w:sz="0" w:space="0" w:color="auto"/>
      </w:divBdr>
    </w:div>
    <w:div w:id="489951231">
      <w:bodyDiv w:val="1"/>
      <w:marLeft w:val="0"/>
      <w:marRight w:val="0"/>
      <w:marTop w:val="0"/>
      <w:marBottom w:val="0"/>
      <w:divBdr>
        <w:top w:val="none" w:sz="0" w:space="0" w:color="auto"/>
        <w:left w:val="none" w:sz="0" w:space="0" w:color="auto"/>
        <w:bottom w:val="none" w:sz="0" w:space="0" w:color="auto"/>
        <w:right w:val="none" w:sz="0" w:space="0" w:color="auto"/>
      </w:divBdr>
    </w:div>
    <w:div w:id="491607055">
      <w:bodyDiv w:val="1"/>
      <w:marLeft w:val="0"/>
      <w:marRight w:val="0"/>
      <w:marTop w:val="0"/>
      <w:marBottom w:val="0"/>
      <w:divBdr>
        <w:top w:val="none" w:sz="0" w:space="0" w:color="auto"/>
        <w:left w:val="none" w:sz="0" w:space="0" w:color="auto"/>
        <w:bottom w:val="none" w:sz="0" w:space="0" w:color="auto"/>
        <w:right w:val="none" w:sz="0" w:space="0" w:color="auto"/>
      </w:divBdr>
    </w:div>
    <w:div w:id="773403320">
      <w:bodyDiv w:val="1"/>
      <w:marLeft w:val="0"/>
      <w:marRight w:val="0"/>
      <w:marTop w:val="0"/>
      <w:marBottom w:val="0"/>
      <w:divBdr>
        <w:top w:val="none" w:sz="0" w:space="0" w:color="auto"/>
        <w:left w:val="none" w:sz="0" w:space="0" w:color="auto"/>
        <w:bottom w:val="none" w:sz="0" w:space="0" w:color="auto"/>
        <w:right w:val="none" w:sz="0" w:space="0" w:color="auto"/>
      </w:divBdr>
    </w:div>
    <w:div w:id="901216482">
      <w:bodyDiv w:val="1"/>
      <w:marLeft w:val="0"/>
      <w:marRight w:val="0"/>
      <w:marTop w:val="0"/>
      <w:marBottom w:val="0"/>
      <w:divBdr>
        <w:top w:val="none" w:sz="0" w:space="0" w:color="auto"/>
        <w:left w:val="none" w:sz="0" w:space="0" w:color="auto"/>
        <w:bottom w:val="none" w:sz="0" w:space="0" w:color="auto"/>
        <w:right w:val="none" w:sz="0" w:space="0" w:color="auto"/>
      </w:divBdr>
    </w:div>
    <w:div w:id="1169980981">
      <w:bodyDiv w:val="1"/>
      <w:marLeft w:val="0"/>
      <w:marRight w:val="0"/>
      <w:marTop w:val="0"/>
      <w:marBottom w:val="0"/>
      <w:divBdr>
        <w:top w:val="none" w:sz="0" w:space="0" w:color="auto"/>
        <w:left w:val="none" w:sz="0" w:space="0" w:color="auto"/>
        <w:bottom w:val="none" w:sz="0" w:space="0" w:color="auto"/>
        <w:right w:val="none" w:sz="0" w:space="0" w:color="auto"/>
      </w:divBdr>
    </w:div>
    <w:div w:id="1243296407">
      <w:bodyDiv w:val="1"/>
      <w:marLeft w:val="0"/>
      <w:marRight w:val="0"/>
      <w:marTop w:val="0"/>
      <w:marBottom w:val="0"/>
      <w:divBdr>
        <w:top w:val="none" w:sz="0" w:space="0" w:color="auto"/>
        <w:left w:val="none" w:sz="0" w:space="0" w:color="auto"/>
        <w:bottom w:val="none" w:sz="0" w:space="0" w:color="auto"/>
        <w:right w:val="none" w:sz="0" w:space="0" w:color="auto"/>
      </w:divBdr>
    </w:div>
    <w:div w:id="1635596921">
      <w:bodyDiv w:val="1"/>
      <w:marLeft w:val="0"/>
      <w:marRight w:val="0"/>
      <w:marTop w:val="0"/>
      <w:marBottom w:val="0"/>
      <w:divBdr>
        <w:top w:val="none" w:sz="0" w:space="0" w:color="auto"/>
        <w:left w:val="none" w:sz="0" w:space="0" w:color="auto"/>
        <w:bottom w:val="none" w:sz="0" w:space="0" w:color="auto"/>
        <w:right w:val="none" w:sz="0" w:space="0" w:color="auto"/>
      </w:divBdr>
    </w:div>
    <w:div w:id="1844975707">
      <w:bodyDiv w:val="1"/>
      <w:marLeft w:val="0"/>
      <w:marRight w:val="0"/>
      <w:marTop w:val="0"/>
      <w:marBottom w:val="0"/>
      <w:divBdr>
        <w:top w:val="none" w:sz="0" w:space="0" w:color="auto"/>
        <w:left w:val="none" w:sz="0" w:space="0" w:color="auto"/>
        <w:bottom w:val="none" w:sz="0" w:space="0" w:color="auto"/>
        <w:right w:val="none" w:sz="0" w:space="0" w:color="auto"/>
      </w:divBdr>
    </w:div>
    <w:div w:id="1998721879">
      <w:bodyDiv w:val="1"/>
      <w:marLeft w:val="0"/>
      <w:marRight w:val="0"/>
      <w:marTop w:val="0"/>
      <w:marBottom w:val="0"/>
      <w:divBdr>
        <w:top w:val="none" w:sz="0" w:space="0" w:color="auto"/>
        <w:left w:val="none" w:sz="0" w:space="0" w:color="auto"/>
        <w:bottom w:val="none" w:sz="0" w:space="0" w:color="auto"/>
        <w:right w:val="none" w:sz="0" w:space="0" w:color="auto"/>
      </w:divBdr>
    </w:div>
    <w:div w:id="2010055700">
      <w:bodyDiv w:val="1"/>
      <w:marLeft w:val="0"/>
      <w:marRight w:val="0"/>
      <w:marTop w:val="0"/>
      <w:marBottom w:val="0"/>
      <w:divBdr>
        <w:top w:val="none" w:sz="0" w:space="0" w:color="auto"/>
        <w:left w:val="none" w:sz="0" w:space="0" w:color="auto"/>
        <w:bottom w:val="none" w:sz="0" w:space="0" w:color="auto"/>
        <w:right w:val="none" w:sz="0" w:space="0" w:color="auto"/>
      </w:divBdr>
    </w:div>
    <w:div w:id="214565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fr.gov/cgi-bin/text-idx?SID=0c0d2546bd3c2bf1210ef8b0e480518a&amp;mc=true&amp;node=pt19.1.12&amp;rgn=div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po.gov/fdsys/pkg/USCODE-2010-title7/html/USCODE-2010-title7-chap6-subchapII-sec136o.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reginfo.gov/public/do/PRAViewICR?ref_nbr=201606-2070-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2755B-1718-4E6A-8EC1-794161CA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8860</Words>
  <Characters>50508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59250</CharactersWithSpaces>
  <SharedDoc>false</SharedDoc>
  <HLinks>
    <vt:vector size="12" baseType="variant">
      <vt:variant>
        <vt:i4>2818151</vt:i4>
      </vt:variant>
      <vt:variant>
        <vt:i4>32</vt:i4>
      </vt:variant>
      <vt:variant>
        <vt:i4>0</vt:i4>
      </vt:variant>
      <vt:variant>
        <vt:i4>5</vt:i4>
      </vt:variant>
      <vt:variant>
        <vt:lpwstr>http://www.regulations.gov/</vt:lpwstr>
      </vt:variant>
      <vt:variant>
        <vt:lpwstr/>
      </vt:variant>
      <vt:variant>
        <vt:i4>2818151</vt:i4>
      </vt:variant>
      <vt:variant>
        <vt:i4>29</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2017-12-07T21:44:00Z</dcterms:created>
  <dcterms:modified xsi:type="dcterms:W3CDTF">2017-12-07T21:44:00Z</dcterms:modified>
</cp:coreProperties>
</file>